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3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6" w:lineRule="exact"/>
        <w:rPr>
          <w:sz w:val="24"/>
          <w:szCs w:val="24"/>
          <w:color w:val="auto"/>
        </w:rPr>
      </w:pPr>
    </w:p>
    <w:p>
      <w:pPr>
        <w:spacing w:after="0" w:line="207" w:lineRule="exact"/>
        <w:tabs>
          <w:tab w:leader="none" w:pos="2200" w:val="left"/>
          <w:tab w:leader="none" w:pos="2380" w:val="left"/>
          <w:tab w:leader="none" w:pos="2560" w:val="left"/>
          <w:tab w:leader="none" w:pos="2740" w:val="left"/>
          <w:tab w:leader="none" w:pos="2960" w:val="left"/>
          <w:tab w:leader="none" w:pos="6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tab/>
        <w:t> </w:t>
        <w:tab/>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32"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69850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2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337185</wp:posOffset>
            </wp:positionV>
            <wp:extent cx="6035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98"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93345</wp:posOffset>
            </wp:positionV>
            <wp:extent cx="702945" cy="960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RENT THE RUNWAY,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234"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You are cordially invited to attend the Special Meeting of Stockholders (the “Special Meeting”) of Rent the Runway, Inc. (“Rent the Runway,” “RTR,” the “Company,” “us” or “we”) to be held on October 21, 2025 at 8:30 a.m., Eastern Time. The Special Meeting will be a “virtual meeting” of stockholders, which will be conducted exclusively online via live webcast.</w:t>
      </w:r>
    </w:p>
    <w:p>
      <w:pPr>
        <w:spacing w:after="0" w:line="13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Notice of Special Meeting of Stockholders and Proxy Statement on the following pages describe the matters to be presented at the Special Meeting. Details regarding how to attend the Special Meeting and the business to be conducted at the Special Meeting are more fully described in the Notice of Special Meeting of Stockholders and Proxy Statement.</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Your vote “FOR” the matters to be presented at the Special Meeting is very important. Whether you plan to participate in the Special Meeting or not, please be sure to vote. Voting instructions can be found on page </w:t>
      </w:r>
      <w:r>
        <w:rPr>
          <w:rFonts w:ascii="Arial" w:cs="Arial" w:eastAsia="Arial" w:hAnsi="Arial"/>
          <w:sz w:val="18"/>
          <w:szCs w:val="18"/>
          <w:u w:val="single" w:color="auto"/>
          <w:color w:val="0000EE"/>
        </w:rPr>
        <w:t>3</w:t>
      </w:r>
      <w:r>
        <w:rPr>
          <w:rFonts w:ascii="Arial" w:cs="Arial" w:eastAsia="Arial" w:hAnsi="Arial"/>
          <w:sz w:val="18"/>
          <w:szCs w:val="18"/>
          <w:color w:val="auto"/>
        </w:rPr>
        <w:t xml:space="preserve"> of the Proxy Statement.</w:t>
      </w:r>
    </w:p>
    <w:p>
      <w:pPr>
        <w:spacing w:after="0" w:line="14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On behalf of the Board of Directors and the management team, thank you for your ongoing support of and continued interest in Rent the Runway.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169735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3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Jennifer Hyman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Co-Founder, Chair, CEO &amp; President</w:t>
      </w: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109220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200" w:top="263"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right="1980"/>
        <w:spacing w:after="0" w:line="290" w:lineRule="auto"/>
        <w:rPr>
          <w:sz w:val="20"/>
          <w:szCs w:val="20"/>
          <w:color w:val="auto"/>
        </w:rPr>
      </w:pPr>
      <w:r>
        <w:rPr>
          <w:rFonts w:ascii="Arial" w:cs="Arial" w:eastAsia="Arial" w:hAnsi="Arial"/>
          <w:sz w:val="64"/>
          <w:szCs w:val="64"/>
          <w:b w:val="1"/>
          <w:bCs w:val="1"/>
          <w:color w:val="auto"/>
        </w:rPr>
        <w:t>Notice of Special Meeting of Stockholders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21,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www.virtualshareholdermeeting.com/RENT2025SM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September 23,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71"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We are holding the Special Meeting in connection with our entry into an exchange agreement, dated as of August 20, 2025 (as it may be amended from time to time in accordance with its terms, the “Exchange Agreement”), between us and CHS US Investments LLC (the “Lender”), to enhance our financial position and financial flexibility by significantly reducing our existing indebtedness, improving the interest rate on our borrowings and extending the maturity of our remaining indebtedness.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Exchange Agreement, we agreed to enter into an amended and restated credit agreement (the “New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with CHS (US) Management LLC, our Lender, Gateway Runway, LLC (“Nexus”) and S3 RR</w:t>
      </w:r>
    </w:p>
    <w:p>
      <w:pPr>
        <w:spacing w:after="0" w:line="234" w:lineRule="auto"/>
        <w:rPr>
          <w:sz w:val="20"/>
          <w:szCs w:val="20"/>
          <w:color w:val="auto"/>
        </w:rPr>
      </w:pPr>
      <w:r>
        <w:rPr>
          <w:rFonts w:ascii="Arial" w:cs="Arial" w:eastAsia="Arial" w:hAnsi="Arial"/>
          <w:sz w:val="18"/>
          <w:szCs w:val="18"/>
          <w:color w:val="auto"/>
        </w:rPr>
        <w:t>Aggregator, LLC (“STORY3” and, collectively with Nexus and our Lender, the “Investor Group”), and Lender agreed to</w:t>
      </w:r>
    </w:p>
    <w:p>
      <w:pPr>
        <w:spacing w:after="0" w:line="235" w:lineRule="auto"/>
        <w:rPr>
          <w:sz w:val="20"/>
          <w:szCs w:val="20"/>
          <w:color w:val="auto"/>
        </w:rPr>
      </w:pPr>
      <w:r>
        <w:rPr>
          <w:rFonts w:ascii="Arial" w:cs="Arial" w:eastAsia="Arial" w:hAnsi="Arial"/>
          <w:sz w:val="18"/>
          <w:szCs w:val="18"/>
          <w:color w:val="auto"/>
        </w:rPr>
        <w:t>convert all of the indebtedness under our Existing Credit Agreement (as defined in the accompanying Proxy Statement)</w:t>
      </w:r>
    </w:p>
    <w:p>
      <w:pPr>
        <w:spacing w:after="0" w:line="235" w:lineRule="auto"/>
        <w:rPr>
          <w:sz w:val="20"/>
          <w:szCs w:val="20"/>
          <w:color w:val="auto"/>
        </w:rPr>
      </w:pPr>
      <w:r>
        <w:rPr>
          <w:rFonts w:ascii="Arial" w:cs="Arial" w:eastAsia="Arial" w:hAnsi="Arial"/>
          <w:sz w:val="18"/>
          <w:szCs w:val="18"/>
          <w:color w:val="auto"/>
        </w:rPr>
        <w:t>in excess of $100.0 million into shares of our Class A common stock, par value $0.001 per share (the “Class A</w:t>
      </w:r>
    </w:p>
    <w:p>
      <w:pPr>
        <w:spacing w:after="0" w:line="235" w:lineRule="auto"/>
        <w:rPr>
          <w:sz w:val="20"/>
          <w:szCs w:val="20"/>
          <w:color w:val="auto"/>
        </w:rPr>
      </w:pPr>
      <w:r>
        <w:rPr>
          <w:rFonts w:ascii="Arial" w:cs="Arial" w:eastAsia="Arial" w:hAnsi="Arial"/>
          <w:sz w:val="18"/>
          <w:szCs w:val="18"/>
          <w:color w:val="auto"/>
        </w:rPr>
        <w:t>Common Stock”), in an aggregate amount equal to 86% of our outstanding Common Stock as of the closing of the</w:t>
      </w:r>
    </w:p>
    <w:p>
      <w:pPr>
        <w:spacing w:after="0" w:line="235" w:lineRule="auto"/>
        <w:rPr>
          <w:sz w:val="20"/>
          <w:szCs w:val="20"/>
          <w:color w:val="auto"/>
        </w:rPr>
      </w:pPr>
      <w:r>
        <w:rPr>
          <w:rFonts w:ascii="Arial" w:cs="Arial" w:eastAsia="Arial" w:hAnsi="Arial"/>
          <w:sz w:val="18"/>
          <w:szCs w:val="18"/>
          <w:color w:val="auto"/>
        </w:rPr>
        <w:t>Recapitalization Transactions (as defined in the accompanying Proxy Statement) and our existing stockholders will own</w:t>
      </w:r>
    </w:p>
    <w:p>
      <w:pPr>
        <w:spacing w:after="0" w:line="234" w:lineRule="auto"/>
        <w:rPr>
          <w:sz w:val="20"/>
          <w:szCs w:val="20"/>
          <w:color w:val="auto"/>
        </w:rPr>
      </w:pPr>
      <w:r>
        <w:rPr>
          <w:rFonts w:ascii="Arial" w:cs="Arial" w:eastAsia="Arial" w:hAnsi="Arial"/>
          <w:sz w:val="18"/>
          <w:szCs w:val="18"/>
          <w:color w:val="auto"/>
        </w:rPr>
        <w:t>the remaining 14% of our outstanding Common Stock as of the closing of the Recapitalization Transactions (in each</w:t>
      </w:r>
    </w:p>
    <w:p>
      <w:pPr>
        <w:spacing w:after="0" w:line="235" w:lineRule="auto"/>
        <w:rPr>
          <w:sz w:val="20"/>
          <w:szCs w:val="20"/>
          <w:color w:val="auto"/>
        </w:rPr>
      </w:pPr>
      <w:r>
        <w:rPr>
          <w:rFonts w:ascii="Arial" w:cs="Arial" w:eastAsia="Arial" w:hAnsi="Arial"/>
          <w:sz w:val="18"/>
          <w:szCs w:val="18"/>
          <w:color w:val="auto"/>
        </w:rPr>
        <w:t>case, after giving effect to the Conversions (as defined in the accompanying Proxy Statement) but before giving effect</w:t>
      </w:r>
    </w:p>
    <w:p>
      <w:pPr>
        <w:spacing w:after="0" w:line="235" w:lineRule="auto"/>
        <w:rPr>
          <w:sz w:val="20"/>
          <w:szCs w:val="20"/>
          <w:color w:val="auto"/>
        </w:rPr>
      </w:pPr>
      <w:r>
        <w:rPr>
          <w:rFonts w:ascii="Arial" w:cs="Arial" w:eastAsia="Arial" w:hAnsi="Arial"/>
          <w:sz w:val="18"/>
          <w:szCs w:val="18"/>
          <w:color w:val="auto"/>
        </w:rPr>
        <w:t>to the Rights Offering (as defined below) and the increased share reserve under the Amended Plan (as defined in the</w:t>
      </w:r>
    </w:p>
    <w:p>
      <w:pPr>
        <w:spacing w:after="0" w:line="235" w:lineRule="auto"/>
        <w:rPr>
          <w:sz w:val="20"/>
          <w:szCs w:val="20"/>
          <w:color w:val="auto"/>
        </w:rPr>
      </w:pPr>
      <w:r>
        <w:rPr>
          <w:rFonts w:ascii="Arial" w:cs="Arial" w:eastAsia="Arial" w:hAnsi="Arial"/>
          <w:sz w:val="18"/>
          <w:szCs w:val="18"/>
          <w:color w:val="auto"/>
        </w:rPr>
        <w:t>accompanying Proxy Statement)) (the “Term Loan Conversion”). We also (i) agreed to prepare and file with the</w:t>
      </w:r>
    </w:p>
    <w:p>
      <w:pPr>
        <w:spacing w:after="0" w:line="235" w:lineRule="auto"/>
        <w:rPr>
          <w:sz w:val="20"/>
          <w:szCs w:val="20"/>
          <w:color w:val="auto"/>
        </w:rPr>
      </w:pPr>
      <w:r>
        <w:rPr>
          <w:rFonts w:ascii="Arial" w:cs="Arial" w:eastAsia="Arial" w:hAnsi="Arial"/>
          <w:sz w:val="18"/>
          <w:szCs w:val="18"/>
          <w:color w:val="auto"/>
        </w:rPr>
        <w:t>Securities and Exchange Commission a registration statement on Form S-1 in connection with a $12,500,000 rights</w:t>
      </w:r>
    </w:p>
    <w:p>
      <w:pPr>
        <w:spacing w:after="0" w:line="234" w:lineRule="auto"/>
        <w:rPr>
          <w:sz w:val="20"/>
          <w:szCs w:val="20"/>
          <w:color w:val="auto"/>
        </w:rPr>
      </w:pPr>
      <w:r>
        <w:rPr>
          <w:rFonts w:ascii="Arial" w:cs="Arial" w:eastAsia="Arial" w:hAnsi="Arial"/>
          <w:sz w:val="18"/>
          <w:szCs w:val="18"/>
          <w:color w:val="auto"/>
        </w:rPr>
        <w:t>offering (the “Rights Offering”), and (ii) entered into a rights offering backstop agreement, dated as of August 20, 2025</w:t>
      </w:r>
    </w:p>
    <w:p>
      <w:pPr>
        <w:spacing w:after="0" w:line="235" w:lineRule="auto"/>
        <w:rPr>
          <w:sz w:val="20"/>
          <w:szCs w:val="20"/>
          <w:color w:val="auto"/>
        </w:rPr>
      </w:pPr>
      <w:r>
        <w:rPr>
          <w:rFonts w:ascii="Arial" w:cs="Arial" w:eastAsia="Arial" w:hAnsi="Arial"/>
          <w:sz w:val="18"/>
          <w:szCs w:val="18"/>
          <w:color w:val="auto"/>
        </w:rPr>
        <w:t>(as it may be amended from time to time in accordance with its terms, the “Rights Offering Backstop Agreement”), with</w:t>
      </w:r>
    </w:p>
    <w:p>
      <w:pPr>
        <w:spacing w:after="0" w:line="235" w:lineRule="auto"/>
        <w:rPr>
          <w:sz w:val="20"/>
          <w:szCs w:val="20"/>
          <w:color w:val="auto"/>
        </w:rPr>
      </w:pPr>
      <w:r>
        <w:rPr>
          <w:rFonts w:ascii="Arial" w:cs="Arial" w:eastAsia="Arial" w:hAnsi="Arial"/>
          <w:sz w:val="18"/>
          <w:szCs w:val="18"/>
          <w:color w:val="auto"/>
        </w:rPr>
        <w:t>the Investor Group. Under the Rights Offering Backstop Agreement, the Investor Group agreed to purchase all</w:t>
      </w:r>
    </w:p>
    <w:p>
      <w:pPr>
        <w:spacing w:after="0" w:line="235" w:lineRule="auto"/>
        <w:rPr>
          <w:sz w:val="20"/>
          <w:szCs w:val="20"/>
          <w:color w:val="auto"/>
        </w:rPr>
      </w:pPr>
      <w:r>
        <w:rPr>
          <w:rFonts w:ascii="Arial" w:cs="Arial" w:eastAsia="Arial" w:hAnsi="Arial"/>
          <w:sz w:val="18"/>
          <w:szCs w:val="18"/>
          <w:color w:val="auto"/>
        </w:rPr>
        <w:t>unsubscribed shares of the Class A Common Stock to be issued in connection with the Rights Offering at a price of</w:t>
      </w:r>
    </w:p>
    <w:p>
      <w:pPr>
        <w:spacing w:after="0"/>
        <w:rPr>
          <w:sz w:val="20"/>
          <w:szCs w:val="20"/>
          <w:color w:val="auto"/>
        </w:rPr>
      </w:pPr>
      <w:r>
        <w:rPr>
          <w:rFonts w:ascii="Arial" w:cs="Arial" w:eastAsia="Arial" w:hAnsi="Arial"/>
          <w:sz w:val="17"/>
          <w:szCs w:val="17"/>
          <w:color w:val="auto"/>
        </w:rPr>
        <w:t>$4.08 per share. If our stockholders do not approve the Required Proposals (as defined below) in connection with these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transactions, the Exchange Agreement will be terminated in accordance with its terms, we will not be able to enter into</w:t>
      </w:r>
    </w:p>
    <w:p>
      <w:pPr>
        <w:spacing w:after="0"/>
        <w:rPr>
          <w:sz w:val="20"/>
          <w:szCs w:val="20"/>
          <w:color w:val="auto"/>
        </w:rPr>
      </w:pPr>
      <w:r>
        <w:rPr>
          <w:rFonts w:ascii="Arial" w:cs="Arial" w:eastAsia="Arial" w:hAnsi="Arial"/>
          <w:sz w:val="18"/>
          <w:szCs w:val="18"/>
          <w:color w:val="auto"/>
        </w:rPr>
        <w:t>the New Credit Agreement, and we may default under our Existing Credit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Special Meeting will be held to approve:</w:t>
      </w:r>
    </w:p>
    <w:p>
      <w:pPr>
        <w:spacing w:after="0" w:line="185" w:lineRule="exact"/>
        <w:rPr>
          <w:sz w:val="20"/>
          <w:szCs w:val="20"/>
          <w:color w:val="auto"/>
        </w:rPr>
      </w:pPr>
    </w:p>
    <w:p>
      <w:pPr>
        <w:jc w:val="both"/>
        <w:ind w:left="700" w:right="100" w:hanging="348"/>
        <w:spacing w:after="0" w:line="301"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purposes of complying with Nasdaq Listing Rules, including, but not limited to, Rule 5635(b), the issuance of shares of Class A Common Stock upon the Term Loan Conversion (the “Term Loan Conversion Proposal”);</w:t>
      </w:r>
    </w:p>
    <w:p>
      <w:pPr>
        <w:spacing w:after="0" w:line="90" w:lineRule="exact"/>
        <w:rPr>
          <w:rFonts w:ascii="Arial" w:cs="Arial" w:eastAsia="Arial" w:hAnsi="Arial"/>
          <w:sz w:val="17"/>
          <w:szCs w:val="17"/>
          <w:color w:val="auto"/>
        </w:rPr>
      </w:pPr>
    </w:p>
    <w:p>
      <w:pPr>
        <w:ind w:left="700" w:right="18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complying with Nasdaq Listing Rules, including, but not limited to, Rules 5635(b) and (d), the issuance of shares of Class A Common Stock pursuant to the Rights Offering Backstop Agreement (the “Backstop Proposal”);</w:t>
      </w:r>
    </w:p>
    <w:p>
      <w:pPr>
        <w:spacing w:after="0" w:line="128" w:lineRule="exact"/>
        <w:rPr>
          <w:rFonts w:ascii="Arial" w:cs="Arial" w:eastAsia="Arial" w:hAnsi="Arial"/>
          <w:sz w:val="18"/>
          <w:szCs w:val="18"/>
          <w:color w:val="auto"/>
        </w:rPr>
      </w:pPr>
    </w:p>
    <w:p>
      <w:pPr>
        <w:ind w:left="700" w:right="220" w:hanging="348"/>
        <w:spacing w:after="0" w:line="24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amendment and restatement, for purposes of complying with Nasdaq Listing Rules, including, but not limited to, Rule 5635(c), of our Amended and Restated 2021 Incentive Award Plan (the “2021 Plan”) to increase the maximum number of shares of Class A Common Stock authorized for issuance under the 2021 Plan and extend the expiration date of the 2021 Plan (the “Plan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105410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700" w:hanging="348"/>
        <w:spacing w:after="0" w:line="24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 and restatement of our Twelfth Amended and Restated Certificate of Incorporation in connection with the entry into the Exchange Agreement so that it is in the form of the Thirteenth Amended and Restated Certificate of Incorporation attached to the accompanying Proxy Statement as Exhibit E (the “Charter Amendment Proposal”); and</w:t>
      </w:r>
    </w:p>
    <w:p>
      <w:pPr>
        <w:spacing w:after="0" w:line="146" w:lineRule="exact"/>
        <w:rPr>
          <w:rFonts w:ascii="Arial" w:cs="Arial" w:eastAsia="Arial" w:hAnsi="Arial"/>
          <w:sz w:val="18"/>
          <w:szCs w:val="18"/>
          <w:color w:val="auto"/>
        </w:rPr>
      </w:pPr>
    </w:p>
    <w:p>
      <w:pPr>
        <w:ind w:left="700" w:hanging="348"/>
        <w:spacing w:after="0" w:line="271"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adjournment of the Special Meeting, if necessary, to solicit additional proxies if there are not sufficient votes at the time of the Special Meeting to approve the foregoing proposals (the “Adjournment Proposal”).</w:t>
      </w:r>
    </w:p>
    <w:p>
      <w:pPr>
        <w:spacing w:after="0" w:line="113"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 xml:space="preserve">The Term Loan Conversion Proposal, the Backstop Proposal and the Plan Amendment Proposal are collectively referred to herein as the “Required Proposals.” The transactions contemplated by the Exchange Agreement are conditioned upon the approval by our stockholders of each of the Required Proposals. </w:t>
      </w:r>
      <w:r>
        <w:rPr>
          <w:rFonts w:ascii="Arial" w:cs="Arial" w:eastAsia="Arial" w:hAnsi="Arial"/>
          <w:sz w:val="17"/>
          <w:szCs w:val="17"/>
          <w:b w:val="1"/>
          <w:bCs w:val="1"/>
          <w:color w:val="auto"/>
        </w:rPr>
        <w:t>If any one of the Required</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 xml:space="preserve">Proposals fails to receive the approval of our stockholders at the Special Meeting, the recapitalization transactions contemplated by the Exchange Agreement will not be consummated. </w:t>
      </w:r>
      <w:r>
        <w:rPr>
          <w:rFonts w:ascii="Arial" w:cs="Arial" w:eastAsia="Arial" w:hAnsi="Arial"/>
          <w:sz w:val="18"/>
          <w:szCs w:val="18"/>
          <w:color w:val="auto"/>
        </w:rPr>
        <w:t>While the Board recommends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stockholders vote “FOR” the Charter Amendment Proposal and the Adjournment Proposal, approval of the Charter Amendment Proposal or the Adjournment Proposal by our stockholders is not a condition of the transactions contemplated by the Exchange Agreement.</w:t>
      </w:r>
    </w:p>
    <w:p>
      <w:pPr>
        <w:spacing w:after="0" w:line="13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par value $0.001 per share, at the close of business on September 23, 2025, are entitled to notice of and to vote at the Special Meeting. A complete list of these stockholders will be available for examination by any stockholder during the 10 days prior to the Special Meeting for a purpose relevant to the meeting by sending an email to investors@renttherunway.com, stating the purpose of the request and providing proof of ownership of Rent the Runway stock. This list of stockholders will also be available on the bottom panel of your screen during the Special Meeting after entering the 16-digit control number included on the Notice of Internet Availability of Proxy Materials or any proxy card that you received, or on the materials provided by your broker, bank, trustee or nominee. The Special Meeting may be continued or adjourned from time to time without notice other than by announcement at the Special Meeting.</w:t>
      </w:r>
    </w:p>
    <w:p>
      <w:pPr>
        <w:spacing w:after="0" w:line="15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Your vote is important. Whether or not you plan to attend the Special Meeting, please read the accompanying Proxy Statement and submit your proxy or voting instructions as soon as possible. Even if you have voted by proxy, you may still vote during the Special Meeting. Please note, however, that if your shares are held of record by a broker, bank, trustee or nominee and you wish to vote during the Special Meeting, you must follow the instructions from such broker, bank, trustee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125984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98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4" w:lineRule="auto"/>
        <w:rPr>
          <w:sz w:val="20"/>
          <w:szCs w:val="20"/>
          <w:color w:val="auto"/>
        </w:rPr>
      </w:pPr>
      <w:r>
        <w:rPr>
          <w:rFonts w:ascii="Arial" w:cs="Arial" w:eastAsia="Arial" w:hAnsi="Arial"/>
          <w:sz w:val="18"/>
          <w:szCs w:val="18"/>
          <w:color w:val="auto"/>
        </w:rPr>
        <w:t>Cara Schembri</w:t>
      </w:r>
    </w:p>
    <w:p>
      <w:pPr>
        <w:spacing w:after="0" w:line="235" w:lineRule="auto"/>
        <w:rPr>
          <w:sz w:val="20"/>
          <w:szCs w:val="20"/>
          <w:color w:val="auto"/>
        </w:rPr>
      </w:pPr>
      <w:r>
        <w:rPr>
          <w:rFonts w:ascii="Arial" w:cs="Arial" w:eastAsia="Arial" w:hAnsi="Arial"/>
          <w:sz w:val="18"/>
          <w:szCs w:val="18"/>
          <w:color w:val="auto"/>
        </w:rPr>
        <w:t>Chief Legal &amp; Administrative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2025</w:t>
      </w:r>
    </w:p>
    <w:p>
      <w:pPr>
        <w:spacing w:after="0" w:line="167"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of Stockholders to be Held on October 21, 2025: </w:t>
      </w:r>
      <w:r>
        <w:rPr>
          <w:rFonts w:ascii="Arial" w:cs="Arial" w:eastAsia="Arial" w:hAnsi="Arial"/>
          <w:sz w:val="18"/>
          <w:szCs w:val="18"/>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73025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Proxy Overview</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w:t>
            </w:r>
          </w:p>
        </w:tc>
        <w:tc>
          <w:tcPr>
            <w:tcW w:w="760" w:type="dxa"/>
            <w:vAlign w:val="bottom"/>
          </w:tcPr>
          <w:p>
            <w:pPr>
              <w:spacing w:after="0"/>
              <w:rPr>
                <w:sz w:val="14"/>
                <w:szCs w:val="14"/>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Voting and Meeting Information</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Forward-Looking Statements</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Risk Factors</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1  The Term Loan Conversion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2  The Backstop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30</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3  The Plan Amendment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32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4  The Charter Amendment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43</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5  The Adjournment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45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Interests of RTR’s Non-Employee Directors and Executive Officers</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46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52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Additional Information</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55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A – Exchange Agreement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4"/>
                <w:szCs w:val="14"/>
                <w:color w:val="0000EE"/>
              </w:rPr>
              <w:t>A-i</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B – Form of New Credit Agreement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4"/>
                <w:szCs w:val="14"/>
                <w:color w:val="0000EE"/>
              </w:rPr>
              <w:t>B-i</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C – Investor Rights Agreement</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88"/>
              </w:rPr>
              <w:t>C-1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D – Rights Offering Backstop Agreement</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88"/>
              </w:rPr>
              <w:t>D-1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E – Form of Thirteenth Amended and Restated Certificate of Incorporation</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91"/>
              </w:rPr>
              <w:t>E-1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F – Second Amended and Restated 2021 Incentive Award Plan</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95"/>
              </w:rPr>
              <w:t>F-1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G – Opinion of BTIG, LLC</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w w:val="94"/>
              </w:rPr>
              <w:t>G-1</w:t>
            </w:r>
          </w:p>
        </w:tc>
        <w:tc>
          <w:tcPr>
            <w:tcW w:w="760" w:type="dxa"/>
            <w:vAlign w:val="bottom"/>
          </w:tcPr>
          <w:p>
            <w:pPr>
              <w:spacing w:after="0"/>
              <w:rPr>
                <w:sz w:val="19"/>
                <w:szCs w:val="19"/>
                <w:color w:val="auto"/>
              </w:rPr>
            </w:pP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65"/>
          <w:szCs w:val="6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163830</wp:posOffset>
            </wp:positionV>
            <wp:extent cx="702945"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RENT THE RUNWAY, INC.</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Proxy Overview</w:t>
      </w:r>
    </w:p>
    <w:p>
      <w:pPr>
        <w:spacing w:after="0" w:line="145"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59"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 par value $0.001 per share (the “Class A Common Stock”), and Class B common stock, par value $0.001 per share (the “Class B Common Stock” and, together with the Class A Common Stock, the “Common Stock”). We have made rounding adjustments to some of the figures included in this proxy statement. Accordingly, numerical figures shown as totals in this proxy statement may not be an arithmetic aggregation of their respective parts. All references in this Proxy Statement to the amount of indebtedness outstanding under the Existing Credit Agreement and the corresponding amount of such indebtedness that will be exchanged pursuant to the Recapitalization Transactions are stated as of July 31, 2025 for illustrative purposes.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w:t>
      </w:r>
    </w:p>
    <w:p>
      <w:pPr>
        <w:spacing w:after="0" w:line="105" w:lineRule="exact"/>
        <w:rPr>
          <w:sz w:val="20"/>
          <w:szCs w:val="20"/>
          <w:color w:val="auto"/>
        </w:rPr>
      </w:pPr>
    </w:p>
    <w:p>
      <w:pPr>
        <w:ind w:left="20" w:right="140"/>
        <w:spacing w:after="0" w:line="266" w:lineRule="auto"/>
        <w:rPr>
          <w:sz w:val="20"/>
          <w:szCs w:val="20"/>
          <w:color w:val="auto"/>
        </w:rPr>
      </w:pPr>
      <w:r>
        <w:rPr>
          <w:rFonts w:ascii="Arial" w:cs="Arial" w:eastAsia="Arial" w:hAnsi="Arial"/>
          <w:sz w:val="17"/>
          <w:szCs w:val="17"/>
          <w:color w:val="auto"/>
        </w:rPr>
        <w:t>This Proxy Statement will be released on or about September 29, 2025 to our stockholders on the Record Date (as defined below). On the same date, we will mail to our stockholders a copy of this Proxy Statement and a Notice of Internet Availability of Proxy Materials (the “Internet Notice”) containing instructions on how to vote online. Instructions regarding how to vote are also included in the proxy card in the printed copy of the materials delivered by mail.</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October 21, 2025</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September 23, 2025</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www.virtualshareholdermeeting.com/RENT2025SM</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940" w:type="dxa"/>
            <w:vAlign w:val="bottom"/>
            <w:shd w:val="clear" w:color="auto" w:fill="E4C0D9"/>
          </w:tcPr>
          <w:p>
            <w:pPr>
              <w:spacing w:after="0"/>
              <w:rPr>
                <w:sz w:val="24"/>
                <w:szCs w:val="24"/>
                <w:color w:val="auto"/>
              </w:rPr>
            </w:pPr>
          </w:p>
        </w:tc>
        <w:tc>
          <w:tcPr>
            <w:tcW w:w="4960" w:type="dxa"/>
            <w:vAlign w:val="bottom"/>
            <w:shd w:val="clear" w:color="auto" w:fill="E4C0D9"/>
          </w:tcPr>
          <w:p>
            <w:pPr>
              <w:ind w:left="680"/>
              <w:spacing w:after="0"/>
              <w:rPr>
                <w:sz w:val="20"/>
                <w:szCs w:val="20"/>
                <w:color w:val="auto"/>
              </w:rPr>
            </w:pPr>
            <w:r>
              <w:rPr>
                <w:rFonts w:ascii="Arial" w:cs="Arial" w:eastAsia="Arial" w:hAnsi="Arial"/>
                <w:sz w:val="14"/>
                <w:szCs w:val="14"/>
                <w:b w:val="1"/>
                <w:bCs w:val="1"/>
                <w:color w:val="auto"/>
              </w:rPr>
              <w:t>Proposal Description</w:t>
            </w:r>
          </w:p>
        </w:tc>
        <w:tc>
          <w:tcPr>
            <w:tcW w:w="218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E4C0D9"/>
          </w:tcPr>
          <w:p>
            <w:pPr>
              <w:spacing w:after="0"/>
              <w:rPr>
                <w:sz w:val="20"/>
                <w:szCs w:val="20"/>
                <w:color w:val="auto"/>
              </w:rPr>
            </w:pPr>
            <w:r>
              <w:rPr>
                <w:rFonts w:ascii="Arial" w:cs="Arial" w:eastAsia="Arial" w:hAnsi="Arial"/>
                <w:sz w:val="14"/>
                <w:szCs w:val="14"/>
                <w:b w:val="1"/>
                <w:bCs w:val="1"/>
                <w:color w:val="auto"/>
              </w:rPr>
              <w:t>Reference Page</w:t>
            </w:r>
          </w:p>
        </w:tc>
      </w:tr>
      <w:tr>
        <w:trPr>
          <w:trHeight w:val="70"/>
        </w:trPr>
        <w:tc>
          <w:tcPr>
            <w:tcW w:w="940" w:type="dxa"/>
            <w:vAlign w:val="bottom"/>
            <w:tcBorders>
              <w:bottom w:val="single" w:sz="8" w:color="auto"/>
            </w:tcBorders>
            <w:shd w:val="clear" w:color="auto" w:fill="E4C0D9"/>
          </w:tcPr>
          <w:p>
            <w:pPr>
              <w:spacing w:after="0"/>
              <w:rPr>
                <w:sz w:val="6"/>
                <w:szCs w:val="6"/>
                <w:color w:val="auto"/>
              </w:rPr>
            </w:pPr>
          </w:p>
        </w:tc>
        <w:tc>
          <w:tcPr>
            <w:tcW w:w="4960" w:type="dxa"/>
            <w:vAlign w:val="bottom"/>
            <w:tcBorders>
              <w:bottom w:val="single" w:sz="8" w:color="auto"/>
            </w:tcBorders>
            <w:shd w:val="clear" w:color="auto" w:fill="E4C0D9"/>
          </w:tcPr>
          <w:p>
            <w:pPr>
              <w:spacing w:after="0"/>
              <w:rPr>
                <w:sz w:val="6"/>
                <w:szCs w:val="6"/>
                <w:color w:val="auto"/>
              </w:rPr>
            </w:pPr>
          </w:p>
        </w:tc>
        <w:tc>
          <w:tcPr>
            <w:tcW w:w="2180" w:type="dxa"/>
            <w:vAlign w:val="bottom"/>
            <w:tcBorders>
              <w:bottom w:val="single" w:sz="8" w:color="auto"/>
            </w:tcBorders>
            <w:shd w:val="clear" w:color="auto" w:fill="E4C0D9"/>
          </w:tcPr>
          <w:p>
            <w:pPr>
              <w:spacing w:after="0"/>
              <w:rPr>
                <w:sz w:val="6"/>
                <w:szCs w:val="6"/>
                <w:color w:val="auto"/>
              </w:rPr>
            </w:pPr>
          </w:p>
        </w:tc>
        <w:tc>
          <w:tcPr>
            <w:tcW w:w="160" w:type="dxa"/>
            <w:vAlign w:val="bottom"/>
            <w:tcBorders>
              <w:bottom w:val="single" w:sz="8" w:color="auto"/>
            </w:tcBorders>
            <w:shd w:val="clear" w:color="auto" w:fill="E4C0D9"/>
          </w:tcPr>
          <w:p>
            <w:pPr>
              <w:spacing w:after="0"/>
              <w:rPr>
                <w:sz w:val="6"/>
                <w:szCs w:val="6"/>
                <w:color w:val="auto"/>
              </w:rPr>
            </w:pPr>
          </w:p>
        </w:tc>
        <w:tc>
          <w:tcPr>
            <w:tcW w:w="1260" w:type="dxa"/>
            <w:vAlign w:val="bottom"/>
            <w:tcBorders>
              <w:bottom w:val="single" w:sz="8" w:color="auto"/>
            </w:tcBorders>
            <w:shd w:val="clear" w:color="auto" w:fill="E4C0D9"/>
          </w:tcPr>
          <w:p>
            <w:pPr>
              <w:spacing w:after="0"/>
              <w:rPr>
                <w:sz w:val="6"/>
                <w:szCs w:val="6"/>
                <w:color w:val="auto"/>
              </w:rPr>
            </w:pPr>
          </w:p>
        </w:tc>
      </w:tr>
      <w:tr>
        <w:trPr>
          <w:trHeight w:val="236"/>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1</w:t>
            </w:r>
          </w:p>
        </w:tc>
        <w:tc>
          <w:tcPr>
            <w:tcW w:w="4960" w:type="dxa"/>
            <w:vAlign w:val="bottom"/>
          </w:tcPr>
          <w:p>
            <w:pPr>
              <w:ind w:left="680"/>
              <w:spacing w:after="0"/>
              <w:rPr>
                <w:sz w:val="20"/>
                <w:szCs w:val="20"/>
                <w:color w:val="auto"/>
              </w:rPr>
            </w:pPr>
            <w:r>
              <w:rPr>
                <w:rFonts w:ascii="Arial" w:cs="Arial" w:eastAsia="Arial" w:hAnsi="Arial"/>
                <w:sz w:val="14"/>
                <w:szCs w:val="14"/>
                <w:color w:val="auto"/>
              </w:rPr>
              <w:t>The approval, for purposes of complying with Nasdaq Listing</w:t>
            </w:r>
          </w:p>
        </w:tc>
        <w:tc>
          <w:tcPr>
            <w:tcW w:w="2180" w:type="dxa"/>
            <w:vAlign w:val="bottom"/>
          </w:tcPr>
          <w:p>
            <w:pPr>
              <w:ind w:left="16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14</w:t>
            </w:r>
          </w:p>
        </w:tc>
      </w:tr>
      <w:tr>
        <w:trPr>
          <w:trHeight w:val="146"/>
        </w:trPr>
        <w:tc>
          <w:tcPr>
            <w:tcW w:w="940" w:type="dxa"/>
            <w:vAlign w:val="bottom"/>
          </w:tcPr>
          <w:p>
            <w:pPr>
              <w:spacing w:after="0"/>
              <w:rPr>
                <w:sz w:val="12"/>
                <w:szCs w:val="12"/>
                <w:color w:val="auto"/>
              </w:rPr>
            </w:pPr>
          </w:p>
        </w:tc>
        <w:tc>
          <w:tcPr>
            <w:tcW w:w="4960" w:type="dxa"/>
            <w:vAlign w:val="bottom"/>
          </w:tcPr>
          <w:p>
            <w:pPr>
              <w:ind w:left="680"/>
              <w:spacing w:after="0" w:line="147" w:lineRule="exact"/>
              <w:rPr>
                <w:sz w:val="20"/>
                <w:szCs w:val="20"/>
                <w:color w:val="auto"/>
              </w:rPr>
            </w:pPr>
            <w:r>
              <w:rPr>
                <w:rFonts w:ascii="Arial" w:cs="Arial" w:eastAsia="Arial" w:hAnsi="Arial"/>
                <w:sz w:val="14"/>
                <w:szCs w:val="14"/>
                <w:color w:val="auto"/>
              </w:rPr>
              <w:t>Rules, including, but not limited to, Rule 5635(b), of the issuance</w:t>
            </w:r>
          </w:p>
        </w:tc>
        <w:tc>
          <w:tcPr>
            <w:tcW w:w="218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60" w:type="dxa"/>
            <w:vAlign w:val="bottom"/>
          </w:tcPr>
          <w:p>
            <w:pPr>
              <w:ind w:left="680"/>
              <w:spacing w:after="0"/>
              <w:rPr>
                <w:sz w:val="20"/>
                <w:szCs w:val="20"/>
                <w:color w:val="auto"/>
              </w:rPr>
            </w:pPr>
            <w:r>
              <w:rPr>
                <w:rFonts w:ascii="Arial" w:cs="Arial" w:eastAsia="Arial" w:hAnsi="Arial"/>
                <w:sz w:val="14"/>
                <w:szCs w:val="14"/>
                <w:color w:val="auto"/>
              </w:rPr>
              <w:t>of shares of Class A Common Stock upon the Term Loan</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60" w:type="dxa"/>
            <w:vAlign w:val="bottom"/>
          </w:tcPr>
          <w:p>
            <w:pPr>
              <w:ind w:left="680"/>
              <w:spacing w:after="0"/>
              <w:rPr>
                <w:sz w:val="20"/>
                <w:szCs w:val="20"/>
                <w:color w:val="auto"/>
              </w:rPr>
            </w:pPr>
            <w:r>
              <w:rPr>
                <w:rFonts w:ascii="Arial" w:cs="Arial" w:eastAsia="Arial" w:hAnsi="Arial"/>
                <w:sz w:val="14"/>
                <w:szCs w:val="14"/>
                <w:color w:val="auto"/>
              </w:rPr>
              <w:t>Conversion (the “Term Loan Conversion Proposal”)</w:t>
            </w: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9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2</w:t>
            </w:r>
          </w:p>
        </w:tc>
        <w:tc>
          <w:tcPr>
            <w:tcW w:w="4960" w:type="dxa"/>
            <w:vAlign w:val="bottom"/>
          </w:tcPr>
          <w:p>
            <w:pPr>
              <w:ind w:left="680"/>
              <w:spacing w:after="0"/>
              <w:rPr>
                <w:sz w:val="20"/>
                <w:szCs w:val="20"/>
                <w:color w:val="auto"/>
              </w:rPr>
            </w:pPr>
            <w:r>
              <w:rPr>
                <w:rFonts w:ascii="Arial" w:cs="Arial" w:eastAsia="Arial" w:hAnsi="Arial"/>
                <w:sz w:val="14"/>
                <w:szCs w:val="14"/>
                <w:color w:val="auto"/>
              </w:rPr>
              <w:t>The approval, for purposes of complying with Nasdaq Listing</w:t>
            </w:r>
          </w:p>
        </w:tc>
        <w:tc>
          <w:tcPr>
            <w:tcW w:w="2180" w:type="dxa"/>
            <w:vAlign w:val="bottom"/>
          </w:tcPr>
          <w:p>
            <w:pPr>
              <w:ind w:left="16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30</w:t>
            </w:r>
          </w:p>
        </w:tc>
      </w:tr>
      <w:tr>
        <w:trPr>
          <w:trHeight w:val="160"/>
        </w:trPr>
        <w:tc>
          <w:tcPr>
            <w:tcW w:w="940" w:type="dxa"/>
            <w:vAlign w:val="bottom"/>
          </w:tcPr>
          <w:p>
            <w:pPr>
              <w:spacing w:after="0"/>
              <w:rPr>
                <w:sz w:val="13"/>
                <w:szCs w:val="13"/>
                <w:color w:val="auto"/>
              </w:rPr>
            </w:pPr>
          </w:p>
        </w:tc>
        <w:tc>
          <w:tcPr>
            <w:tcW w:w="4960" w:type="dxa"/>
            <w:vAlign w:val="bottom"/>
          </w:tcPr>
          <w:p>
            <w:pPr>
              <w:ind w:left="680"/>
              <w:spacing w:after="0"/>
              <w:rPr>
                <w:sz w:val="20"/>
                <w:szCs w:val="20"/>
                <w:color w:val="auto"/>
              </w:rPr>
            </w:pPr>
            <w:r>
              <w:rPr>
                <w:rFonts w:ascii="Arial" w:cs="Arial" w:eastAsia="Arial" w:hAnsi="Arial"/>
                <w:sz w:val="14"/>
                <w:szCs w:val="14"/>
                <w:color w:val="auto"/>
              </w:rPr>
              <w:t>Rules, including, but not limited to, Rules 5635(b) and (d), of the</w:t>
            </w:r>
          </w:p>
        </w:tc>
        <w:tc>
          <w:tcPr>
            <w:tcW w:w="218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260" w:type="dxa"/>
            <w:vAlign w:val="bottom"/>
          </w:tcPr>
          <w:p>
            <w:pPr>
              <w:spacing w:after="0"/>
              <w:rPr>
                <w:sz w:val="13"/>
                <w:szCs w:val="13"/>
                <w:color w:val="auto"/>
              </w:rPr>
            </w:pPr>
          </w:p>
        </w:tc>
      </w:tr>
    </w:tbl>
    <w:p>
      <w:pPr>
        <w:ind w:left="1640"/>
        <w:spacing w:after="0"/>
        <w:rPr>
          <w:sz w:val="20"/>
          <w:szCs w:val="20"/>
          <w:color w:val="auto"/>
        </w:rPr>
      </w:pPr>
      <w:r>
        <w:rPr>
          <w:rFonts w:ascii="Arial" w:cs="Arial" w:eastAsia="Arial" w:hAnsi="Arial"/>
          <w:sz w:val="14"/>
          <w:szCs w:val="14"/>
          <w:color w:val="auto"/>
        </w:rPr>
        <w:t>issuance of shares of Class A Common Stock pursuant to the</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Rights Offering Backstop Agreement (the “Backstop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6035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940" w:type="dxa"/>
            <w:vAlign w:val="bottom"/>
            <w:shd w:val="clear" w:color="auto" w:fill="E4C0D9"/>
          </w:tcPr>
          <w:p>
            <w:pPr>
              <w:spacing w:after="0"/>
              <w:rPr>
                <w:sz w:val="24"/>
                <w:szCs w:val="24"/>
                <w:color w:val="auto"/>
              </w:rPr>
            </w:pPr>
          </w:p>
        </w:tc>
        <w:tc>
          <w:tcPr>
            <w:tcW w:w="4980" w:type="dxa"/>
            <w:vAlign w:val="bottom"/>
            <w:shd w:val="clear" w:color="auto" w:fill="E4C0D9"/>
          </w:tcPr>
          <w:p>
            <w:pPr>
              <w:ind w:left="680"/>
              <w:spacing w:after="0"/>
              <w:rPr>
                <w:sz w:val="20"/>
                <w:szCs w:val="20"/>
                <w:color w:val="auto"/>
              </w:rPr>
            </w:pPr>
            <w:r>
              <w:rPr>
                <w:rFonts w:ascii="Arial" w:cs="Arial" w:eastAsia="Arial" w:hAnsi="Arial"/>
                <w:sz w:val="14"/>
                <w:szCs w:val="14"/>
                <w:b w:val="1"/>
                <w:bCs w:val="1"/>
                <w:color w:val="auto"/>
              </w:rPr>
              <w:t>Proposal Description</w:t>
            </w:r>
          </w:p>
        </w:tc>
        <w:tc>
          <w:tcPr>
            <w:tcW w:w="2160" w:type="dxa"/>
            <w:vAlign w:val="bottom"/>
            <w:shd w:val="clear" w:color="auto" w:fill="E4C0D9"/>
          </w:tcPr>
          <w:p>
            <w:pPr>
              <w:ind w:left="14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E4C0D9"/>
          </w:tcPr>
          <w:p>
            <w:pPr>
              <w:spacing w:after="0"/>
              <w:rPr>
                <w:sz w:val="20"/>
                <w:szCs w:val="20"/>
                <w:color w:val="auto"/>
              </w:rPr>
            </w:pPr>
            <w:r>
              <w:rPr>
                <w:rFonts w:ascii="Arial" w:cs="Arial" w:eastAsia="Arial" w:hAnsi="Arial"/>
                <w:sz w:val="14"/>
                <w:szCs w:val="14"/>
                <w:b w:val="1"/>
                <w:bCs w:val="1"/>
                <w:color w:val="auto"/>
              </w:rPr>
              <w:t>Reference Page</w:t>
            </w:r>
          </w:p>
        </w:tc>
      </w:tr>
      <w:tr>
        <w:trPr>
          <w:trHeight w:val="70"/>
        </w:trPr>
        <w:tc>
          <w:tcPr>
            <w:tcW w:w="940" w:type="dxa"/>
            <w:vAlign w:val="bottom"/>
            <w:tcBorders>
              <w:bottom w:val="single" w:sz="8" w:color="auto"/>
            </w:tcBorders>
            <w:shd w:val="clear" w:color="auto" w:fill="E4C0D9"/>
          </w:tcPr>
          <w:p>
            <w:pPr>
              <w:spacing w:after="0"/>
              <w:rPr>
                <w:sz w:val="6"/>
                <w:szCs w:val="6"/>
                <w:color w:val="auto"/>
              </w:rPr>
            </w:pPr>
          </w:p>
        </w:tc>
        <w:tc>
          <w:tcPr>
            <w:tcW w:w="4980" w:type="dxa"/>
            <w:vAlign w:val="bottom"/>
            <w:tcBorders>
              <w:bottom w:val="single" w:sz="8" w:color="auto"/>
            </w:tcBorders>
            <w:shd w:val="clear" w:color="auto" w:fill="E4C0D9"/>
          </w:tcPr>
          <w:p>
            <w:pPr>
              <w:spacing w:after="0"/>
              <w:rPr>
                <w:sz w:val="6"/>
                <w:szCs w:val="6"/>
                <w:color w:val="auto"/>
              </w:rPr>
            </w:pPr>
          </w:p>
        </w:tc>
        <w:tc>
          <w:tcPr>
            <w:tcW w:w="2160" w:type="dxa"/>
            <w:vAlign w:val="bottom"/>
            <w:tcBorders>
              <w:bottom w:val="single" w:sz="8" w:color="auto"/>
            </w:tcBorders>
            <w:shd w:val="clear" w:color="auto" w:fill="E4C0D9"/>
          </w:tcPr>
          <w:p>
            <w:pPr>
              <w:spacing w:after="0"/>
              <w:rPr>
                <w:sz w:val="6"/>
                <w:szCs w:val="6"/>
                <w:color w:val="auto"/>
              </w:rPr>
            </w:pPr>
          </w:p>
        </w:tc>
        <w:tc>
          <w:tcPr>
            <w:tcW w:w="160" w:type="dxa"/>
            <w:vAlign w:val="bottom"/>
            <w:tcBorders>
              <w:bottom w:val="single" w:sz="8" w:color="auto"/>
            </w:tcBorders>
            <w:shd w:val="clear" w:color="auto" w:fill="E4C0D9"/>
          </w:tcPr>
          <w:p>
            <w:pPr>
              <w:spacing w:after="0"/>
              <w:rPr>
                <w:sz w:val="6"/>
                <w:szCs w:val="6"/>
                <w:color w:val="auto"/>
              </w:rPr>
            </w:pPr>
          </w:p>
        </w:tc>
        <w:tc>
          <w:tcPr>
            <w:tcW w:w="1260" w:type="dxa"/>
            <w:vAlign w:val="bottom"/>
            <w:tcBorders>
              <w:bottom w:val="single" w:sz="8" w:color="auto"/>
            </w:tcBorders>
            <w:shd w:val="clear" w:color="auto" w:fill="E4C0D9"/>
          </w:tcPr>
          <w:p>
            <w:pPr>
              <w:spacing w:after="0"/>
              <w:rPr>
                <w:sz w:val="6"/>
                <w:szCs w:val="6"/>
                <w:color w:val="auto"/>
              </w:rPr>
            </w:pPr>
          </w:p>
        </w:tc>
      </w:tr>
      <w:tr>
        <w:trPr>
          <w:trHeight w:val="237"/>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3</w:t>
            </w:r>
          </w:p>
        </w:tc>
        <w:tc>
          <w:tcPr>
            <w:tcW w:w="4980" w:type="dxa"/>
            <w:vAlign w:val="bottom"/>
          </w:tcPr>
          <w:p>
            <w:pPr>
              <w:ind w:left="680"/>
              <w:spacing w:after="0"/>
              <w:rPr>
                <w:sz w:val="20"/>
                <w:szCs w:val="20"/>
                <w:color w:val="auto"/>
              </w:rPr>
            </w:pPr>
            <w:r>
              <w:rPr>
                <w:rFonts w:ascii="Arial" w:cs="Arial" w:eastAsia="Arial" w:hAnsi="Arial"/>
                <w:sz w:val="14"/>
                <w:szCs w:val="14"/>
                <w:color w:val="auto"/>
              </w:rPr>
              <w:t>The approval, for purposes of complying with Nasdaq Listing</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32</w:t>
            </w:r>
          </w:p>
        </w:tc>
      </w:tr>
      <w:tr>
        <w:trPr>
          <w:trHeight w:val="146"/>
        </w:trPr>
        <w:tc>
          <w:tcPr>
            <w:tcW w:w="940" w:type="dxa"/>
            <w:vAlign w:val="bottom"/>
          </w:tcPr>
          <w:p>
            <w:pPr>
              <w:spacing w:after="0"/>
              <w:rPr>
                <w:sz w:val="12"/>
                <w:szCs w:val="12"/>
                <w:color w:val="auto"/>
              </w:rPr>
            </w:pPr>
          </w:p>
        </w:tc>
        <w:tc>
          <w:tcPr>
            <w:tcW w:w="4980" w:type="dxa"/>
            <w:vAlign w:val="bottom"/>
          </w:tcPr>
          <w:p>
            <w:pPr>
              <w:ind w:left="680"/>
              <w:spacing w:after="0" w:line="147" w:lineRule="exact"/>
              <w:rPr>
                <w:sz w:val="20"/>
                <w:szCs w:val="20"/>
                <w:color w:val="auto"/>
              </w:rPr>
            </w:pPr>
            <w:r>
              <w:rPr>
                <w:rFonts w:ascii="Arial" w:cs="Arial" w:eastAsia="Arial" w:hAnsi="Arial"/>
                <w:sz w:val="14"/>
                <w:szCs w:val="14"/>
                <w:color w:val="auto"/>
              </w:rPr>
              <w:t>Rules, including, but not limited to, Rule 5635(c), of the</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amendment and restatement of our Amended and Restated 2021</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Incentive Award Plan (the “2021 Plan”) to increase the maximum</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number of shares of Class A Common Stock authorized for</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issuance under the 2021 Plan and extend the expiration date of</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the 2021 Plan (the “Plan Amendment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940" w:type="dxa"/>
            <w:vAlign w:val="bottom"/>
            <w:tcBorders>
              <w:bottom w:val="single" w:sz="8" w:color="auto"/>
            </w:tcBorders>
          </w:tcPr>
          <w:p>
            <w:pPr>
              <w:spacing w:after="0"/>
              <w:rPr>
                <w:sz w:val="6"/>
                <w:szCs w:val="6"/>
                <w:color w:val="auto"/>
              </w:rPr>
            </w:pPr>
          </w:p>
        </w:tc>
        <w:tc>
          <w:tcPr>
            <w:tcW w:w="498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4</w:t>
            </w:r>
          </w:p>
        </w:tc>
        <w:tc>
          <w:tcPr>
            <w:tcW w:w="4980" w:type="dxa"/>
            <w:vAlign w:val="bottom"/>
          </w:tcPr>
          <w:p>
            <w:pPr>
              <w:ind w:left="680"/>
              <w:spacing w:after="0"/>
              <w:rPr>
                <w:sz w:val="20"/>
                <w:szCs w:val="20"/>
                <w:color w:val="auto"/>
              </w:rPr>
            </w:pPr>
            <w:r>
              <w:rPr>
                <w:rFonts w:ascii="Arial" w:cs="Arial" w:eastAsia="Arial" w:hAnsi="Arial"/>
                <w:sz w:val="14"/>
                <w:szCs w:val="14"/>
                <w:color w:val="auto"/>
              </w:rPr>
              <w:t>The approval of the amendment and restatement of our Twelfth</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43</w:t>
            </w:r>
          </w:p>
        </w:tc>
      </w:tr>
      <w:tr>
        <w:trPr>
          <w:trHeight w:val="146"/>
        </w:trPr>
        <w:tc>
          <w:tcPr>
            <w:tcW w:w="940" w:type="dxa"/>
            <w:vAlign w:val="bottom"/>
          </w:tcPr>
          <w:p>
            <w:pPr>
              <w:spacing w:after="0"/>
              <w:rPr>
                <w:sz w:val="12"/>
                <w:szCs w:val="12"/>
                <w:color w:val="auto"/>
              </w:rPr>
            </w:pPr>
          </w:p>
        </w:tc>
        <w:tc>
          <w:tcPr>
            <w:tcW w:w="4980" w:type="dxa"/>
            <w:vAlign w:val="bottom"/>
          </w:tcPr>
          <w:p>
            <w:pPr>
              <w:ind w:left="680"/>
              <w:spacing w:after="0" w:line="147" w:lineRule="exact"/>
              <w:rPr>
                <w:sz w:val="20"/>
                <w:szCs w:val="20"/>
                <w:color w:val="auto"/>
              </w:rPr>
            </w:pPr>
            <w:r>
              <w:rPr>
                <w:rFonts w:ascii="Arial" w:cs="Arial" w:eastAsia="Arial" w:hAnsi="Arial"/>
                <w:sz w:val="14"/>
                <w:szCs w:val="14"/>
                <w:color w:val="auto"/>
              </w:rPr>
              <w:t>Amended and Restated Certificate of Incorporation in connection</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with the entry into the Exchange Agreement, in the form of the</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Thirteenth Amended and Restated Certificate of Incorporation</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attached hereto as Exhibit E (the “Charter Amendment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940" w:type="dxa"/>
            <w:vAlign w:val="bottom"/>
            <w:tcBorders>
              <w:bottom w:val="single" w:sz="8" w:color="auto"/>
            </w:tcBorders>
          </w:tcPr>
          <w:p>
            <w:pPr>
              <w:spacing w:after="0"/>
              <w:rPr>
                <w:sz w:val="6"/>
                <w:szCs w:val="6"/>
                <w:color w:val="auto"/>
              </w:rPr>
            </w:pPr>
          </w:p>
        </w:tc>
        <w:tc>
          <w:tcPr>
            <w:tcW w:w="498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5</w:t>
            </w:r>
          </w:p>
        </w:tc>
        <w:tc>
          <w:tcPr>
            <w:tcW w:w="4980" w:type="dxa"/>
            <w:vAlign w:val="bottom"/>
          </w:tcPr>
          <w:p>
            <w:pPr>
              <w:ind w:left="680"/>
              <w:spacing w:after="0"/>
              <w:rPr>
                <w:sz w:val="20"/>
                <w:szCs w:val="20"/>
                <w:color w:val="auto"/>
              </w:rPr>
            </w:pPr>
            <w:r>
              <w:rPr>
                <w:rFonts w:ascii="Arial" w:cs="Arial" w:eastAsia="Arial" w:hAnsi="Arial"/>
                <w:sz w:val="14"/>
                <w:szCs w:val="14"/>
                <w:color w:val="auto"/>
              </w:rPr>
              <w:t>The approval of an adjournment of the Special Meeting, if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45</w:t>
            </w:r>
          </w:p>
        </w:tc>
      </w:tr>
      <w:tr>
        <w:trPr>
          <w:trHeight w:val="146"/>
        </w:trPr>
        <w:tc>
          <w:tcPr>
            <w:tcW w:w="940" w:type="dxa"/>
            <w:vAlign w:val="bottom"/>
          </w:tcPr>
          <w:p>
            <w:pPr>
              <w:spacing w:after="0"/>
              <w:rPr>
                <w:sz w:val="12"/>
                <w:szCs w:val="12"/>
                <w:color w:val="auto"/>
              </w:rPr>
            </w:pPr>
          </w:p>
        </w:tc>
        <w:tc>
          <w:tcPr>
            <w:tcW w:w="4980" w:type="dxa"/>
            <w:vAlign w:val="bottom"/>
          </w:tcPr>
          <w:p>
            <w:pPr>
              <w:ind w:left="680"/>
              <w:spacing w:after="0" w:line="147" w:lineRule="exact"/>
              <w:rPr>
                <w:sz w:val="20"/>
                <w:szCs w:val="20"/>
                <w:color w:val="auto"/>
              </w:rPr>
            </w:pPr>
            <w:r>
              <w:rPr>
                <w:rFonts w:ascii="Arial" w:cs="Arial" w:eastAsia="Arial" w:hAnsi="Arial"/>
                <w:sz w:val="14"/>
                <w:szCs w:val="14"/>
                <w:color w:val="auto"/>
              </w:rPr>
              <w:t>necessary, to solicit additional proxies if there are not sufficient</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votes at the time of the Special Meeting to approve the foregoing</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proposals (the “Adjournment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
        </w:trPr>
        <w:tc>
          <w:tcPr>
            <w:tcW w:w="94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7" w:name="page8"/>
    <w:bookmarkEnd w:id="7"/>
    <w:p>
      <w:pPr>
        <w:ind w:left="7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Voting and Meeting Information</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ind w:left="760" w:right="78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(the “Board”) is inviting you to vote (by soliciting your proxy) at our Special Meeting of Stockholders (the “Special Meeting”) on October 21, 2025 at 8:30 a.m., Eastern Time. This Proxy Statement summarizes information that is intended to assist you in making an informed vote on the proposals described in this Proxy Statement.</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Who is entitled to attend and vote at the Special Meeting?</w:t>
      </w:r>
    </w:p>
    <w:p>
      <w:pPr>
        <w:spacing w:after="0" w:line="166" w:lineRule="exact"/>
        <w:rPr>
          <w:sz w:val="20"/>
          <w:szCs w:val="20"/>
          <w:color w:val="auto"/>
        </w:rPr>
      </w:pPr>
    </w:p>
    <w:p>
      <w:pPr>
        <w:ind w:left="760" w:right="1100"/>
        <w:spacing w:after="0" w:line="275" w:lineRule="auto"/>
        <w:rPr>
          <w:sz w:val="20"/>
          <w:szCs w:val="20"/>
          <w:color w:val="auto"/>
        </w:rPr>
      </w:pPr>
      <w:r>
        <w:rPr>
          <w:rFonts w:ascii="Arial" w:cs="Arial" w:eastAsia="Arial" w:hAnsi="Arial"/>
          <w:sz w:val="17"/>
          <w:szCs w:val="17"/>
          <w:color w:val="auto"/>
        </w:rPr>
        <w:t>Stockholders as of the close of business on September 23, 2025 (the “Record Date”) and their proxy holders are entitled to attend and vote at the Special Meeting. There were approximately 3,964,092 shares of Class A Common Stock and 155,699 shares of Class B Common Stock outstanding on the Record Date and entitled to vote.</w:t>
      </w:r>
    </w:p>
    <w:p>
      <w:pPr>
        <w:spacing w:after="0" w:line="125" w:lineRule="exact"/>
        <w:rPr>
          <w:sz w:val="20"/>
          <w:szCs w:val="20"/>
          <w:color w:val="auto"/>
        </w:rPr>
      </w:pPr>
    </w:p>
    <w:p>
      <w:pPr>
        <w:ind w:left="760" w:right="1000"/>
        <w:spacing w:after="0" w:line="275" w:lineRule="auto"/>
        <w:rPr>
          <w:sz w:val="20"/>
          <w:szCs w:val="20"/>
          <w:color w:val="auto"/>
        </w:rPr>
      </w:pPr>
      <w:r>
        <w:rPr>
          <w:rFonts w:ascii="Arial" w:cs="Arial" w:eastAsia="Arial" w:hAnsi="Arial"/>
          <w:sz w:val="17"/>
          <w:szCs w:val="17"/>
          <w:color w:val="auto"/>
        </w:rPr>
        <w:t>The Special Meeting webcast will begin promptly at 8:30 a.m., Eastern Time, and will be accessible at www.virtualshareholdermeeting.com/RENT2025SM. We encourage you to access the meeting prior to the start time. Online check-in will begin at 8:15 a.m., Eastern Time, and you should allow ample time for the check-in procedures.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many votes per share do I have?</w:t>
      </w:r>
    </w:p>
    <w:p>
      <w:pPr>
        <w:spacing w:after="0" w:line="180" w:lineRule="exact"/>
        <w:rPr>
          <w:sz w:val="20"/>
          <w:szCs w:val="20"/>
          <w:color w:val="auto"/>
        </w:rPr>
      </w:pPr>
    </w:p>
    <w:p>
      <w:pPr>
        <w:ind w:left="760" w:right="920"/>
        <w:spacing w:after="0" w:line="271"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twenty votes per share.</w:t>
      </w:r>
    </w:p>
    <w:p>
      <w:pPr>
        <w:spacing w:after="0" w:line="113" w:lineRule="exact"/>
        <w:rPr>
          <w:sz w:val="20"/>
          <w:szCs w:val="20"/>
          <w:color w:val="auto"/>
        </w:rPr>
      </w:pPr>
    </w:p>
    <w:p>
      <w:pPr>
        <w:ind w:left="760" w:right="820"/>
        <w:spacing w:after="0" w:line="247" w:lineRule="auto"/>
        <w:rPr>
          <w:sz w:val="20"/>
          <w:szCs w:val="20"/>
          <w:color w:val="auto"/>
        </w:rPr>
      </w:pPr>
      <w:r>
        <w:rPr>
          <w:rFonts w:ascii="Arial" w:cs="Arial" w:eastAsia="Arial" w:hAnsi="Arial"/>
          <w:sz w:val="18"/>
          <w:szCs w:val="18"/>
          <w:color w:val="auto"/>
        </w:rPr>
        <w:t>Our Common Stock will vote together as a single class on the Required Proposals and the Adjournment Proposal. The Charter Amendment Proposal will require the affirmative vote of both (i) a majority of the outstanding shares of Class B Common Stock voting separately as a class, and (ii) two-thirds of the outstanding Common Stock, voting as a single class.</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66" w:lineRule="exact"/>
        <w:rPr>
          <w:sz w:val="20"/>
          <w:szCs w:val="20"/>
          <w:color w:val="auto"/>
        </w:rPr>
      </w:pPr>
    </w:p>
    <w:p>
      <w:pPr>
        <w:ind w:left="760" w:right="1000"/>
        <w:spacing w:after="0" w:line="253" w:lineRule="auto"/>
        <w:rPr>
          <w:sz w:val="20"/>
          <w:szCs w:val="20"/>
          <w:color w:val="auto"/>
        </w:rPr>
      </w:pPr>
      <w:r>
        <w:rPr>
          <w:rFonts w:ascii="Arial" w:cs="Arial" w:eastAsia="Arial" w:hAnsi="Arial"/>
          <w:sz w:val="18"/>
          <w:szCs w:val="18"/>
          <w:color w:val="auto"/>
        </w:rPr>
        <w:t>If, on the Record Date, your Rent the Runway shares were registered directly in your name with our transfer agent, Equiniti Trust Company, LLC, then you are a stockholder of record and you can vote your shares in one of two ways: either by proxy or during the virtual Special Meeting electronically.</w:t>
      </w:r>
    </w:p>
    <w:p>
      <w:pPr>
        <w:spacing w:after="0" w:line="128" w:lineRule="exact"/>
        <w:rPr>
          <w:sz w:val="20"/>
          <w:szCs w:val="20"/>
          <w:color w:val="auto"/>
        </w:rPr>
      </w:pPr>
    </w:p>
    <w:p>
      <w:pPr>
        <w:ind w:left="760" w:right="1120"/>
        <w:spacing w:after="0" w:line="247" w:lineRule="auto"/>
        <w:rPr>
          <w:sz w:val="20"/>
          <w:szCs w:val="20"/>
          <w:color w:val="auto"/>
        </w:rPr>
      </w:pPr>
      <w:r>
        <w:rPr>
          <w:rFonts w:ascii="Arial" w:cs="Arial" w:eastAsia="Arial" w:hAnsi="Arial"/>
          <w:sz w:val="18"/>
          <w:szCs w:val="18"/>
          <w:color w:val="auto"/>
        </w:rPr>
        <w:t>If, on the Record Date, your shares were held in street name through a broker, bank, trustee or nominee, you will receive instructions on how to vote from such broker, bank, trustee or nominee. You must follow their instructions in order for your shares to be voted. Internet and telephone voting also may be offered to stockholders owning shares through certain brokers, banks, trustees 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79375</wp:posOffset>
            </wp:positionV>
            <wp:extent cx="603504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76" w:lineRule="exact"/>
        <w:rPr>
          <w:sz w:val="20"/>
          <w:szCs w:val="20"/>
          <w:color w:val="auto"/>
        </w:rPr>
      </w:pPr>
    </w:p>
    <w:p>
      <w:pPr>
        <w:ind w:left="760"/>
        <w:spacing w:after="0"/>
        <w:rPr>
          <w:sz w:val="20"/>
          <w:szCs w:val="20"/>
          <w:color w:val="auto"/>
        </w:rPr>
      </w:pPr>
      <w:r>
        <w:rPr>
          <w:sz w:val="1"/>
          <w:szCs w:val="1"/>
          <w:color w:val="auto"/>
        </w:rPr>
        <w:drawing>
          <wp:inline distT="0" distB="0" distL="0" distR="0">
            <wp:extent cx="68580" cy="2400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4"/>
          <w:szCs w:val="14"/>
          <w:b w:val="1"/>
          <w:bCs w:val="1"/>
          <w:color w:val="auto"/>
        </w:rPr>
        <w:t xml:space="preserve"> If you choose to vote by proxy, you may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-170815</wp:posOffset>
            </wp:positionV>
            <wp:extent cx="60350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Internet</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760" w:type="dxa"/>
            <w:vAlign w:val="bottom"/>
          </w:tcPr>
          <w:p>
            <w:pPr>
              <w:spacing w:after="0"/>
              <w:rPr>
                <w:sz w:val="14"/>
                <w:szCs w:val="14"/>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proxy card;</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Telephone</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Notice or proxy card; or</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Mail</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mail by signing, dating and mailing the proxy card to Vote Processing, c/o Broadridge, 51</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Mercedes Way, Edgewood, NY 11717.</w:t>
            </w:r>
          </w:p>
        </w:tc>
        <w:tc>
          <w:tcPr>
            <w:tcW w:w="760" w:type="dxa"/>
            <w:vAlign w:val="bottom"/>
          </w:tcPr>
          <w:p>
            <w:pPr>
              <w:spacing w:after="0"/>
              <w:rPr>
                <w:sz w:val="16"/>
                <w:szCs w:val="16"/>
                <w:color w:val="auto"/>
              </w:rPr>
            </w:pPr>
          </w:p>
        </w:tc>
      </w:tr>
      <w:tr>
        <w:trPr>
          <w:trHeight w:val="35"/>
        </w:trPr>
        <w:tc>
          <w:tcPr>
            <w:tcW w:w="7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537"/>
        </w:trPr>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740" w:type="dxa"/>
            <w:vAlign w:val="bottom"/>
          </w:tcPr>
          <w:p>
            <w:pPr>
              <w:ind w:left="292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24"/>
                <w:szCs w:val="24"/>
                <w:color w:val="auto"/>
              </w:rPr>
            </w:pPr>
          </w:p>
        </w:tc>
      </w:tr>
      <w:tr>
        <w:trPr>
          <w:trHeight w:val="219"/>
        </w:trPr>
        <w:tc>
          <w:tcPr>
            <w:tcW w:w="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are the proposed Recapitalization Transactions?</w:t>
      </w:r>
    </w:p>
    <w:p>
      <w:pPr>
        <w:spacing w:after="0" w:line="180"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We entered into an exchange agreement, dated as of August 20, 2025 (as it may be amended from time to time in accordance with its terms, the “Exchange Agreement”), by and between us and CHS US Investments LLC (the “Lender”), the lender under our credit agreement, dated as of July 23, 2018, by and among the Company, as borrower, Lender, as a lender, and CHS (US) Management LLC (as successor-in-interest to Double Helix Pte Ltd.), as administrative agent (“Agent”) (as amended, amended and restated, supplemented, revised or otherwise modified to date, the “Existing Credit Agreement”), and certain other transaction agreements with affiliates of Lender, Gateway Runway, LLC (“Nexus”) and S3 RR Aggregator, LLC (“STORY3” and, collectively with Nexus and Lender, the “Investor Group”) in connection with our proposed recapitalization transactions (the “Recapitalization Transactions”) to enhance our financial position and financial flexibility by significantly reducing our existing indebtedness, improving the interest rate on our borrowings and extending the maturity of our remaining indebtedness.</w:t>
      </w:r>
    </w:p>
    <w:p>
      <w:pPr>
        <w:spacing w:after="0" w:line="139" w:lineRule="exact"/>
        <w:rPr>
          <w:sz w:val="20"/>
          <w:szCs w:val="20"/>
          <w:color w:val="auto"/>
        </w:rPr>
      </w:pPr>
    </w:p>
    <w:p>
      <w:pPr>
        <w:jc w:val="both"/>
        <w:ind w:left="20" w:right="60"/>
        <w:spacing w:after="0" w:line="253" w:lineRule="auto"/>
        <w:rPr>
          <w:sz w:val="20"/>
          <w:szCs w:val="20"/>
          <w:color w:val="auto"/>
        </w:rPr>
      </w:pPr>
      <w:r>
        <w:rPr>
          <w:rFonts w:ascii="Arial" w:cs="Arial" w:eastAsia="Arial" w:hAnsi="Arial"/>
          <w:sz w:val="18"/>
          <w:szCs w:val="18"/>
          <w:color w:val="auto"/>
        </w:rPr>
        <w:t>The Board, acting upon the unanimous recommendation of the finance committee of the Board, which is comprised of disinterested and independent directors (the “Finance Committee”), has determined that it is in the best interests of the Company and its stockholders to consummate the Recapitalization Transactions.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Recapitalization Transactions include, among other matters:</w:t>
      </w:r>
    </w:p>
    <w:p>
      <w:pPr>
        <w:spacing w:after="0" w:line="171" w:lineRule="exact"/>
        <w:rPr>
          <w:sz w:val="20"/>
          <w:szCs w:val="20"/>
          <w:color w:val="auto"/>
        </w:rPr>
      </w:pPr>
    </w:p>
    <w:p>
      <w:pPr>
        <w:ind w:left="740" w:right="20" w:hanging="359"/>
        <w:spacing w:after="0" w:line="24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entry into an amended and restated credit agreement (the “New Credit Agreement”), by and among us, as borrower, Agent, as administrative agent, and the Investor Group, as lenders, to reflect (i) the exchange of $100.0 million of existing outstanding indebtedness owing to Lender under the Existing Credit Agreement on a dollar-for-dollar and cashless basis for new term loans under the New Credit Agreement and (ii) $20.0 million of new money term loans to be provided to the Company by the Investor Group;</w:t>
      </w:r>
    </w:p>
    <w:p>
      <w:pPr>
        <w:spacing w:after="0" w:line="149" w:lineRule="exact"/>
        <w:rPr>
          <w:rFonts w:ascii="Arial" w:cs="Arial" w:eastAsia="Arial" w:hAnsi="Arial"/>
          <w:sz w:val="18"/>
          <w:szCs w:val="18"/>
          <w:color w:val="auto"/>
        </w:rPr>
      </w:pPr>
    </w:p>
    <w:p>
      <w:pPr>
        <w:ind w:left="740" w:hanging="359"/>
        <w:spacing w:after="0" w:line="23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contribution of all remaining indebtedness owing to Lender under the Existing Credit Agreement (the “Equity Exchange Obligations”) approximately $223.1 million as of the end of our second fiscal quarter ending July 31, 2025, which excludes our unamortized debt premium and includes accrued but unpaid cash interest to us in exchange for newly issued shares of Class A Common Stock, equal to 86% of our outstanding Common Stock as of the closing of the Recapitalization Transactions and our existing stockholders will own the remaining 14% of our outstanding Common Stock as of the closing of the Recapitalization Transactions (in each case, after giving effect to the Conversions (as defined below), but before giving effect to the Rights Offering (as defined below) and the increased share reserve under the Amended Plan (as defined below)) (the “Exchange Stock”);</w:t>
      </w:r>
    </w:p>
    <w:p>
      <w:pPr>
        <w:spacing w:after="0" w:line="142" w:lineRule="exact"/>
        <w:rPr>
          <w:rFonts w:ascii="Arial" w:cs="Arial" w:eastAsia="Arial" w:hAnsi="Arial"/>
          <w:sz w:val="18"/>
          <w:szCs w:val="18"/>
          <w:color w:val="auto"/>
        </w:rPr>
      </w:pPr>
    </w:p>
    <w:p>
      <w:pPr>
        <w:ind w:left="740" w:right="340" w:hanging="359"/>
        <w:spacing w:after="0" w:line="271"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rights offering to existing holders of our Common Stock to raise up to an additional $12.5 million in gross proceeds (the “Rights Offering”);</w:t>
      </w:r>
    </w:p>
    <w:p>
      <w:pPr>
        <w:spacing w:after="0" w:line="113" w:lineRule="exact"/>
        <w:rPr>
          <w:rFonts w:ascii="Arial" w:cs="Arial" w:eastAsia="Arial" w:hAnsi="Arial"/>
          <w:sz w:val="18"/>
          <w:szCs w:val="18"/>
          <w:color w:val="auto"/>
        </w:rPr>
      </w:pPr>
    </w:p>
    <w:p>
      <w:pPr>
        <w:ind w:left="740" w:right="120" w:hanging="359"/>
        <w:spacing w:after="0" w:line="24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entry into a rights offering backstop agreement, dated as of August 20, 2025 (as it may be amended from time to time in accordance with its terms, the “Rights Offering Backstop Agreement”), by and among us and the Investor Group, pursuant to which the Investor Group agreed to purchase any unsubscribed shares of Class A Common Stock in the Rights Offering;</w:t>
      </w:r>
    </w:p>
    <w:p>
      <w:pPr>
        <w:spacing w:after="0" w:line="146" w:lineRule="exact"/>
        <w:rPr>
          <w:rFonts w:ascii="Arial" w:cs="Arial" w:eastAsia="Arial" w:hAnsi="Arial"/>
          <w:sz w:val="18"/>
          <w:szCs w:val="18"/>
          <w:color w:val="auto"/>
        </w:rPr>
      </w:pPr>
    </w:p>
    <w:p>
      <w:pPr>
        <w:ind w:left="740" w:right="300" w:hanging="359"/>
        <w:spacing w:after="0" w:line="271"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conversion, prior to the closing of the Recapitalization Transactions, of each share of Class B Common Stock into one share of Class A Common Stock (the “Conversions”);</w:t>
      </w:r>
    </w:p>
    <w:p>
      <w:pPr>
        <w:spacing w:after="0" w:line="113" w:lineRule="exact"/>
        <w:rPr>
          <w:rFonts w:ascii="Arial" w:cs="Arial" w:eastAsia="Arial" w:hAnsi="Arial"/>
          <w:sz w:val="18"/>
          <w:szCs w:val="18"/>
          <w:color w:val="auto"/>
        </w:rPr>
      </w:pPr>
    </w:p>
    <w:p>
      <w:pPr>
        <w:ind w:left="740" w:right="20" w:hanging="359"/>
        <w:spacing w:after="0" w:line="25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and restatement of our Twelfth Amended and Restated Certificate of Incorporation so that it is in the form of the Thirteenth Amended and Restated Certificate of Incorporation attached hereto as Exhibit E (the “Amended and Restated Charter”);</w:t>
      </w:r>
    </w:p>
    <w:p>
      <w:pPr>
        <w:spacing w:after="0" w:line="128" w:lineRule="exact"/>
        <w:rPr>
          <w:rFonts w:ascii="Arial" w:cs="Arial" w:eastAsia="Arial" w:hAnsi="Arial"/>
          <w:sz w:val="18"/>
          <w:szCs w:val="18"/>
          <w:color w:val="auto"/>
        </w:rPr>
      </w:pPr>
    </w:p>
    <w:p>
      <w:pPr>
        <w:ind w:left="740" w:right="160" w:hanging="359"/>
        <w:spacing w:after="0" w:line="25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entry into an investor rights agreement (the “Investor Rights Agreement”), by and among us, the Investor Group and certain entities affiliated with Jennifer Hyman, that would apply after the closing of the Recapitalization Transactions and set forth certain post-closing governance terms; and</w:t>
      </w:r>
    </w:p>
    <w:p>
      <w:pPr>
        <w:spacing w:after="0" w:line="141" w:lineRule="exact"/>
        <w:rPr>
          <w:rFonts w:ascii="Arial" w:cs="Arial" w:eastAsia="Arial" w:hAnsi="Arial"/>
          <w:sz w:val="18"/>
          <w:szCs w:val="18"/>
          <w:color w:val="auto"/>
        </w:rPr>
      </w:pPr>
    </w:p>
    <w:p>
      <w:pPr>
        <w:ind w:left="740" w:right="120" w:hanging="359"/>
        <w:spacing w:after="0" w:line="25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and restatement of our 2021 Plan to increase the maximum number of shares of Class A Common Stock authorized for issuance under the 2021 Plan and extend the expiration date of the 2021 Plan (the “Plan Amendment Proposal”).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background and considerations for the proposed Recapitalization Transactions?</w:t>
      </w:r>
    </w:p>
    <w:p>
      <w:pPr>
        <w:spacing w:after="0" w:line="180" w:lineRule="exact"/>
        <w:rPr>
          <w:sz w:val="20"/>
          <w:szCs w:val="20"/>
          <w:color w:val="auto"/>
        </w:rPr>
      </w:pPr>
    </w:p>
    <w:p>
      <w:pPr>
        <w:ind w:left="20" w:right="180"/>
        <w:spacing w:after="0" w:line="238" w:lineRule="auto"/>
        <w:rPr>
          <w:sz w:val="20"/>
          <w:szCs w:val="20"/>
          <w:color w:val="auto"/>
        </w:rPr>
      </w:pPr>
      <w:r>
        <w:rPr>
          <w:rFonts w:ascii="Arial" w:cs="Arial" w:eastAsia="Arial" w:hAnsi="Arial"/>
          <w:sz w:val="18"/>
          <w:szCs w:val="18"/>
          <w:color w:val="auto"/>
        </w:rPr>
        <w:t>Faced with the approaching maturity date under the Existing Credit Agreement and significant uncertainty as to whether we could continue to meet the minimum liquidity covenant under the Existing Credit Agreement, for the past two years we have been working diligently with multiple advisors to pursue strategic alternatives, including, among other things: a sale of the Company, a refinancing or restructuring of the Existing Credit Agreement and equity capital raises. During this two-year time period, with the assistance of a financial advisor, we canvassed the market and held discussions with numerous financial sponsors and strategic acquirers. Despite engaging in many discussions with these third parties, none of these financial sponsors or strategic acquirers was willing to proceed beyond having preliminary discussions on strategic alternatives. As a result of the lack of interest by third parties in any of these strategic alternatives, it was the considered view of the Finance Committee and the Board that there was substantial concern that we would be unable to effectively run our business unless the Existing Credit Agreement could be amended or restructured.</w:t>
      </w:r>
    </w:p>
    <w:p>
      <w:pPr>
        <w:spacing w:after="0" w:line="145"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The Recapitalization Transactions were the only option available that provided us sufficient liquidity to effectively run our business while remaining in compliance with the Existing Credit Agreement.</w:t>
      </w:r>
    </w:p>
    <w:p>
      <w:pPr>
        <w:spacing w:after="0" w:line="203" w:lineRule="exact"/>
        <w:rPr>
          <w:sz w:val="20"/>
          <w:szCs w:val="20"/>
          <w:color w:val="auto"/>
        </w:rPr>
      </w:pPr>
    </w:p>
    <w:p>
      <w:pPr>
        <w:ind w:left="20"/>
        <w:spacing w:after="0" w:line="270" w:lineRule="auto"/>
        <w:rPr>
          <w:sz w:val="20"/>
          <w:szCs w:val="20"/>
          <w:color w:val="auto"/>
        </w:rPr>
      </w:pPr>
      <w:r>
        <w:rPr>
          <w:rFonts w:ascii="Arial" w:cs="Arial" w:eastAsia="Arial" w:hAnsi="Arial"/>
          <w:sz w:val="20"/>
          <w:szCs w:val="20"/>
          <w:b w:val="1"/>
          <w:bCs w:val="1"/>
          <w:color w:val="auto"/>
        </w:rPr>
        <w:t>Do any of RTR’s non-employee directors and executive officers have interests in the Recapitalization Transactions that may differ from those of RTR’s stockholders generally?</w:t>
      </w:r>
    </w:p>
    <w:p>
      <w:pPr>
        <w:spacing w:after="0" w:line="95"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In considering the recommendation of the Board with respect to the Required Proposals and the Charter Amendment Proposal, you should be aware that our non-employee directors and executive officers may have interests in the Recapitalization Transactions that are different from, or in addition to, the interests of our stockholders generally. The Board was apprised of and considered these interests, among other matters, to the extent such interests existed at the time in evaluating and negotiating the Exchange Agreement and the Recapitalization Transactions, in approving the Exchange Agreement and the Recapitalization Transactions, and in recommending that the Required Proposals and the Charter Amendment Proposal be approved by our stockholders. For a description of the interests of our non-employee directors and executive officers in the Recapitalization Transactions, see “Interests of RTR’s Non-Employee Directors and Executive Officers.”</w:t>
      </w:r>
    </w:p>
    <w:p>
      <w:pPr>
        <w:spacing w:after="0" w:line="233" w:lineRule="exact"/>
        <w:rPr>
          <w:sz w:val="20"/>
          <w:szCs w:val="20"/>
          <w:color w:val="auto"/>
        </w:rPr>
      </w:pPr>
    </w:p>
    <w:p>
      <w:pPr>
        <w:ind w:left="20" w:right="140"/>
        <w:spacing w:after="0" w:line="270" w:lineRule="auto"/>
        <w:rPr>
          <w:sz w:val="20"/>
          <w:szCs w:val="20"/>
          <w:color w:val="auto"/>
        </w:rPr>
      </w:pPr>
      <w:r>
        <w:rPr>
          <w:rFonts w:ascii="Arial" w:cs="Arial" w:eastAsia="Arial" w:hAnsi="Arial"/>
          <w:sz w:val="20"/>
          <w:szCs w:val="20"/>
          <w:b w:val="1"/>
          <w:bCs w:val="1"/>
          <w:color w:val="auto"/>
        </w:rPr>
        <w:t>What percentage of Rent the Runway will the Investor Group own upon completion of the proposed transaction?</w:t>
      </w:r>
    </w:p>
    <w:p>
      <w:pPr>
        <w:spacing w:after="0" w:line="108"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Assuming that our stockholders approve the Term Loan Conversion Proposal, the Backstop Proposal and the Plan Amendment Proposal (collectively, the “Required Proposals”), the Investor Group will collectively own 86% of our outstanding Common Stock as of the closing of the Recapitalization Transactions and our existing stockholders will own the remaining 14% of our outstanding Common Stock as of the closing of the Recapitalization Transactions (in each case, after giving effect to the Conversions, but before giving effect to the Rights Offering and the increased share reserve under the Amended Plan).</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the Required Proposals are not approved?</w:t>
      </w:r>
    </w:p>
    <w:p>
      <w:pPr>
        <w:spacing w:after="0" w:line="166"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If our stockholders do not approve the Required Proposals, the Exchange Agreement will terminate in accordance with its terms and the Recapitalization Transactions would be abandoned. In addition, we would likely not be able to satisfy the minimum liquidity covenant set forth in the Existing Credit Agreement, which would result in an event of default under the Existing Credit Agreement. In such a case, Agent would have the right to accelerate repayment of all obligations under the Existing Credit Agreement, foreclose its liens against substantially all of our assets and take possession and sell any such assets to reduce any such obligations. These events would have a material adverse effect on our business, results of operations and financial position. As a result, we would likely be unable to continue our operations, be unable to avoid filing for bankruptcy protection or have an involuntary bankruptcy case filed against us. The Board, acting upon the unanimous recommendation of the Finance Committee, recommends that you vote “FOR” all of the Required Proposals.</w:t>
      </w:r>
    </w:p>
    <w:p>
      <w:pPr>
        <w:spacing w:after="0" w:line="153" w:lineRule="exact"/>
        <w:rPr>
          <w:sz w:val="20"/>
          <w:szCs w:val="20"/>
          <w:color w:val="auto"/>
        </w:rPr>
      </w:pPr>
    </w:p>
    <w:p>
      <w:pPr>
        <w:ind w:left="20" w:right="480"/>
        <w:spacing w:after="0" w:line="271" w:lineRule="auto"/>
        <w:rPr>
          <w:sz w:val="20"/>
          <w:szCs w:val="20"/>
          <w:color w:val="auto"/>
        </w:rPr>
      </w:pPr>
      <w:r>
        <w:rPr>
          <w:rFonts w:ascii="Arial" w:cs="Arial" w:eastAsia="Arial" w:hAnsi="Arial"/>
          <w:sz w:val="18"/>
          <w:szCs w:val="18"/>
          <w:color w:val="auto"/>
        </w:rPr>
        <w:t>The Recapitalization Transactions are conditioned upon the approval by our stockholders of each of the Required Proposals.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While the approval by our stockholders of the Charter Amendment Proposal and the Adjournment Proposal is not a condition to complete the Recapitalization Transactions, the Board, acting upon the unanimous recommendation of the Finance Committee, recommends that you vote “FOR” the Charter Amendment Proposal and the Adjournment Proposal.</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vote required to approve each proposal?</w:t>
      </w:r>
    </w:p>
    <w:p>
      <w:pPr>
        <w:spacing w:after="0" w:line="166"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For the Required Proposals, the vote required to approve each of these proposals is the affirmative vote of a majority of the total votes cast. Abstentions and broker non-votes (if any) will have no effect on these proposals.</w:t>
      </w:r>
    </w:p>
    <w:p>
      <w:pPr>
        <w:spacing w:after="0" w:line="113"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For the Charter Amendment Proposal, the vote required to approve this proposal is the affirmative vote of the holders of (i) a majority of the outstanding shares of Class B Common Stock voting separately as a class, and (ii) two-thirds of the voting power of all of the outstanding shares of Common Stock entitled to vote thereon, voting as a single class. Abstentions and broker non-votes (if any) will have the same effect as a vote against this proposal.</w:t>
      </w:r>
    </w:p>
    <w:p>
      <w:pPr>
        <w:spacing w:after="0" w:line="147"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For the Adjournment Proposal, the vote required is the affirmative vote of a majority of the total votes present and entitled to vote thereon. Abstentions will have the same effect as a vote against this proposal, and broker non-votes (if any) will have no effect on the Adjournment Proposal.</w:t>
      </w:r>
    </w:p>
    <w:p>
      <w:pPr>
        <w:spacing w:after="0" w:line="218" w:lineRule="exact"/>
        <w:rPr>
          <w:sz w:val="20"/>
          <w:szCs w:val="20"/>
          <w:color w:val="auto"/>
        </w:rPr>
      </w:pPr>
    </w:p>
    <w:p>
      <w:pPr>
        <w:ind w:left="20" w:right="560"/>
        <w:spacing w:after="0" w:line="270" w:lineRule="auto"/>
        <w:rPr>
          <w:sz w:val="20"/>
          <w:szCs w:val="20"/>
          <w:color w:val="auto"/>
        </w:rPr>
      </w:pPr>
      <w:r>
        <w:rPr>
          <w:rFonts w:ascii="Arial" w:cs="Arial" w:eastAsia="Arial" w:hAnsi="Arial"/>
          <w:sz w:val="20"/>
          <w:szCs w:val="20"/>
          <w:b w:val="1"/>
          <w:bCs w:val="1"/>
          <w:color w:val="auto"/>
        </w:rPr>
        <w:t>Are any Rent the Runway stockholders already committed to vote in favor of any of the Special Meeting proposals?</w:t>
      </w:r>
    </w:p>
    <w:p>
      <w:pPr>
        <w:spacing w:after="0" w:line="95" w:lineRule="exact"/>
        <w:rPr>
          <w:sz w:val="20"/>
          <w:szCs w:val="20"/>
          <w:color w:val="auto"/>
        </w:rPr>
      </w:pPr>
    </w:p>
    <w:p>
      <w:pPr>
        <w:ind w:left="20" w:right="20"/>
        <w:spacing w:after="0" w:line="236" w:lineRule="auto"/>
        <w:rPr>
          <w:sz w:val="20"/>
          <w:szCs w:val="20"/>
          <w:color w:val="auto"/>
        </w:rPr>
      </w:pPr>
      <w:r>
        <w:rPr>
          <w:rFonts w:ascii="Arial" w:cs="Arial" w:eastAsia="Arial" w:hAnsi="Arial"/>
          <w:sz w:val="18"/>
          <w:szCs w:val="18"/>
          <w:color w:val="auto"/>
        </w:rPr>
        <w:t>In connection with the Exchange Agreement, all of the holders of the Class B Common Stock (the “Proxy Stockholders”) executed and delivered a Conversion Notice and Proxy (collectively, the “Conversion Notices”), pursuant to which each such Proxy Stockholder, among other things, granted to certain officers of the Company, at the request of the Board (which is required to be requested pursuant to the Exchange Agreement), a proxy to vote (or cause to be voted) all shares of Common Stock held by such Proxy Stockholder at the Special Meeting (each proxy, a “Proxy”) in favor of each proposal contained in this Proxy Statement. Each Proxy Stockholder also opted to convert his, her or its respective shares of Class B Common Stock into shares of Class A Common Stock effective immediately prior to (A) the effectiveness of the Thirteenth Amended and Restated Charter, or (B) if the Charter Amendment Proposal is not approved at the Special Meeting, the closing of the Recapitalization Transactions. As a result, we will no longer have any Class B Common Stock outstanding once the Thirteenth Amended and Restated Charter becomes effective or the Recapitalization Transactions close, as applicable. As of the Record Date, our stockholders who delivered Proxies collectively owned (i) approximately 2.2% of the outstanding shares of Class A Common Stock and</w:t>
      </w:r>
    </w:p>
    <w:p>
      <w:pPr>
        <w:spacing w:after="0" w:line="6" w:lineRule="exact"/>
        <w:rPr>
          <w:sz w:val="20"/>
          <w:szCs w:val="20"/>
          <w:color w:val="auto"/>
        </w:rPr>
      </w:pPr>
    </w:p>
    <w:p>
      <w:pPr>
        <w:ind w:left="20" w:right="60" w:firstLine="1"/>
        <w:spacing w:after="0" w:line="250"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outstanding shares of Class B Common Stock entitled to vote at the Special Meeting. As of the Record Date, these shares represented approximately 45.2% of the voting power of the outstanding Common Stock.</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Was the Company advised by financial advisers?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Yes, LionTree Advisors LLC (“LionTree”) and BTIG, LLC (“BTIG”) each advised the Finance Committee and the Board.</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Was a fairness opinion received?</w:t>
      </w:r>
    </w:p>
    <w:p>
      <w:pPr>
        <w:spacing w:after="0" w:line="166"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Yes, BTIG provided an oral opinion, which was subsequently confirmed by delivery of a written opinion, to the Finance Committee and the Board, to the effect that, as of that date and based upon and subject to the various limitations, qualifications, assumptions, conditions and other matters set forth in such opinion, the issuance of the Exchange Stock to Lender by the Company in exchange for the Equity Exchange Obligations pursuant to the Exchange Agreement was fair, from a financial point of view, to the holders of Class A Common Stock (other than any shares of Class A Common Stock held by Lender or its affiliates). The description of BTIG’s fairness opinion is qualified in its entirety by reference to its description in the section entitled “Proposal No. 1—The Term Loan Conversion Proposal—Opinion of BTIG, LLC” and the written opinion of BTIG attached as Exhibit G hereto.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Special Meeting?</w:t>
      </w:r>
    </w:p>
    <w:p>
      <w:pPr>
        <w:spacing w:after="0" w:line="180"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Special Meeting as an in-person meeting, we will hold a live Q&amp;A session, during which we intend to answer questions submitted online during the Special Meeting that are pertinent to the matters presented at the Special Meeting. We will not discuss the Company’s business in the Q&amp;A session.</w:t>
      </w:r>
    </w:p>
    <w:p>
      <w:pPr>
        <w:spacing w:after="0" w:line="133"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Only stockholders of record as of the Record Date and their proxy holders who have logged in using a 16-digit control number may submit questions or comments.</w:t>
      </w:r>
    </w:p>
    <w:p>
      <w:pPr>
        <w:spacing w:after="0" w:line="113" w:lineRule="exact"/>
        <w:rPr>
          <w:sz w:val="20"/>
          <w:szCs w:val="20"/>
          <w:color w:val="auto"/>
        </w:rPr>
      </w:pPr>
    </w:p>
    <w:p>
      <w:pPr>
        <w:ind w:left="20" w:right="180"/>
        <w:spacing w:after="0" w:line="301" w:lineRule="auto"/>
        <w:rPr>
          <w:sz w:val="20"/>
          <w:szCs w:val="20"/>
          <w:color w:val="auto"/>
        </w:rPr>
      </w:pPr>
      <w:r>
        <w:rPr>
          <w:rFonts w:ascii="Arial" w:cs="Arial" w:eastAsia="Arial" w:hAnsi="Arial"/>
          <w:sz w:val="17"/>
          <w:szCs w:val="17"/>
          <w:color w:val="auto"/>
        </w:rPr>
        <w:t>You will be able to ask questions by joining the virtual Special Meeting at www.virtualshareholdermeeting.com/RENT2025SM and typing your question in the box in the Special Meeting portal.</w:t>
      </w:r>
    </w:p>
    <w:p>
      <w:pPr>
        <w:spacing w:after="0" w:line="104"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Special Meeting when you log in prior to its start. In accordance with the rules of conduct, we ask that you limit your remarks to one brief question or comment that is relevant to the Special Meeting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the matters presented at the Special Meeting, repetitious of statements already made, or in furtherance of the speaker’s own personal, political, or business interests. Questions will only be addressed in the Q&amp;A portion of the Special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Special Meeting?</w:t>
      </w:r>
    </w:p>
    <w:p>
      <w:pPr>
        <w:spacing w:after="0" w:line="166" w:lineRule="exact"/>
        <w:rPr>
          <w:sz w:val="20"/>
          <w:szCs w:val="20"/>
          <w:color w:val="auto"/>
        </w:rPr>
      </w:pPr>
    </w:p>
    <w:p>
      <w:pPr>
        <w:jc w:val="both"/>
        <w:ind w:left="20" w:right="220"/>
        <w:spacing w:after="0" w:line="253" w:lineRule="auto"/>
        <w:rPr>
          <w:sz w:val="20"/>
          <w:szCs w:val="20"/>
          <w:color w:val="auto"/>
        </w:rPr>
      </w:pPr>
      <w:r>
        <w:rPr>
          <w:rFonts w:ascii="Arial" w:cs="Arial" w:eastAsia="Arial" w:hAnsi="Arial"/>
          <w:sz w:val="18"/>
          <w:szCs w:val="18"/>
          <w:color w:val="auto"/>
        </w:rPr>
        <w:t>If you encounter any difficulties accessing the virtual Special Meeting during the check-in or meeting time, please call the technical support number that will be posted on the virtual Special Meeting log-in page. Technical support will be available starting at 7:00 a.m., Eastern Time, on October 21, 2025.</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October 20, 2025. If you prefer to vote by mail, you should complete and return the proxy card as soon as possible, so that it is received no later than the closing of the polls on the date the Special Meeting is held. You will also be able to vote by attending and voting at the virtual Special Meeting on the date that the Special Meeting is held. However, we recommend that you submit your proxy in advance in the event your plans change or you are unable to attend the Special Meeting.</w:t>
      </w:r>
    </w:p>
    <w:p>
      <w:pPr>
        <w:spacing w:after="0" w:line="138" w:lineRule="exact"/>
        <w:rPr>
          <w:sz w:val="20"/>
          <w:szCs w:val="20"/>
          <w:color w:val="auto"/>
        </w:rPr>
      </w:pPr>
    </w:p>
    <w:p>
      <w:pPr>
        <w:ind w:left="20" w:right="44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66"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your Rent the Runway shares are held in an account with a broker, bank, trustee or nominee, and you do not instruct your broker, bank, trustee or nominee how to vote your shares, your broker, bank, trustee or nominee may still be able to vote your shares in its discretion. In this regard, brokers, banks, trustees and nominees may use their discretion to vote your “uninstructed” shares with respect to matters considered under applicable exchange rules to be “routine,” but not with respect to “non-routine” matters. No proposal is expected to be considered to be “routine” under applicable exchange rules, meaning that your broker may not vote your shares on any proposal in the absence of your voting instructions. See “How many votes are required to approve each proposal?” below for more information. Please instruct your broker, bank, trustee or nominee to ensure that your vote will be counted.</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an “abstention” and how will abstentions be treated?</w:t>
      </w:r>
    </w:p>
    <w:p>
      <w:pPr>
        <w:spacing w:after="0" w:line="180"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An “abstention” represents a stockholder’s affirmative choice to decline to vote on a proposal. Abstentions are counted as present and entitled to vote for purposes of determining a quorum. Abstentions will have no effect on any of the Required Proposals, but will be counted as a vote against the Charter Amendment Proposal and the Adjournment Proposal.</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66"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Special Meeting. However, if any other matter is properly presented at the Special Meeting, the persons named as proxies will vote your shares using his or her best judgment.</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ind w:left="20" w:right="140"/>
        <w:spacing w:after="0" w:line="241" w:lineRule="auto"/>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 change your vote or revoke your proxy at any time prior to the final vote at the virtual Special Meeting on October 21, 2025 by:</w:t>
      </w:r>
    </w:p>
    <w:p>
      <w:pPr>
        <w:ind w:left="20"/>
        <w:spacing w:after="0" w:line="237" w:lineRule="auto"/>
        <w:rPr>
          <w:sz w:val="20"/>
          <w:szCs w:val="20"/>
          <w:color w:val="auto"/>
        </w:rPr>
      </w:pPr>
      <w:r>
        <w:rPr>
          <w:rFonts w:ascii="Arial" w:cs="Arial" w:eastAsia="Arial" w:hAnsi="Arial"/>
          <w:sz w:val="18"/>
          <w:szCs w:val="18"/>
          <w:color w:val="auto"/>
        </w:rPr>
        <w:t> </w:t>
      </w:r>
    </w:p>
    <w:p>
      <w:pPr>
        <w:ind w:left="740" w:righ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spacing w:after="0" w:line="1" w:lineRule="exact"/>
        <w:rPr>
          <w:rFonts w:ascii="Arial" w:cs="Arial" w:eastAsia="Arial" w:hAnsi="Arial"/>
          <w:sz w:val="18"/>
          <w:szCs w:val="18"/>
          <w:color w:val="auto"/>
        </w:rPr>
      </w:pPr>
    </w:p>
    <w:p>
      <w:pPr>
        <w:ind w:left="740" w:right="26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written notice of revocation to our proxy solicitor, D.F. King &amp; Co., Inc. (“D.F. King”), 28 Liberty Street, Floor 53, New York, NY 10005, provided such revocation is received prior to the vote at the Special Meeting; or</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and voting at the virtual Special Meeting.</w:t>
      </w:r>
    </w:p>
    <w:p>
      <w:pPr>
        <w:spacing w:after="0" w:line="153"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Special Meeting by itself will not revoke your proxy if you do not also vote at the virtual Special Meeting.</w:t>
      </w:r>
    </w:p>
    <w:p>
      <w:pPr>
        <w:spacing w:after="0" w:line="127"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Special Meeting and voting.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304"/>
        </w:trPr>
        <w:tc>
          <w:tcPr>
            <w:tcW w:w="2800" w:type="dxa"/>
            <w:vAlign w:val="bottom"/>
            <w:tcBorders>
              <w:bottom w:val="single" w:sz="8" w:color="auto"/>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Proposal</w:t>
            </w:r>
          </w:p>
        </w:tc>
        <w:tc>
          <w:tcPr>
            <w:tcW w:w="2380" w:type="dxa"/>
            <w:vAlign w:val="bottom"/>
            <w:tcBorders>
              <w:bottom w:val="single" w:sz="8" w:color="auto"/>
            </w:tcBorders>
            <w:shd w:val="clear" w:color="auto" w:fill="E4C0D9"/>
          </w:tcPr>
          <w:p>
            <w:pPr>
              <w:ind w:left="120"/>
              <w:spacing w:after="0"/>
              <w:rPr>
                <w:sz w:val="20"/>
                <w:szCs w:val="20"/>
                <w:color w:val="auto"/>
              </w:rPr>
            </w:pPr>
            <w:r>
              <w:rPr>
                <w:rFonts w:ascii="Arial" w:cs="Arial" w:eastAsia="Arial" w:hAnsi="Arial"/>
                <w:sz w:val="14"/>
                <w:szCs w:val="14"/>
                <w:b w:val="1"/>
                <w:bCs w:val="1"/>
                <w:color w:val="auto"/>
              </w:rPr>
              <w:t>Vote Required for Approval</w:t>
            </w:r>
          </w:p>
        </w:tc>
        <w:tc>
          <w:tcPr>
            <w:tcW w:w="1700" w:type="dxa"/>
            <w:vAlign w:val="bottom"/>
            <w:tcBorders>
              <w:bottom w:val="single" w:sz="8" w:color="auto"/>
            </w:tcBorders>
            <w:shd w:val="clear" w:color="auto" w:fill="E4C0D9"/>
          </w:tcPr>
          <w:p>
            <w:pPr>
              <w:ind w:left="120"/>
              <w:spacing w:after="0"/>
              <w:rPr>
                <w:sz w:val="20"/>
                <w:szCs w:val="20"/>
                <w:color w:val="auto"/>
              </w:rPr>
            </w:pPr>
            <w:r>
              <w:rPr>
                <w:rFonts w:ascii="Arial" w:cs="Arial" w:eastAsia="Arial" w:hAnsi="Arial"/>
                <w:sz w:val="14"/>
                <w:szCs w:val="14"/>
                <w:b w:val="1"/>
                <w:bCs w:val="1"/>
                <w:color w:val="auto"/>
              </w:rPr>
              <w:t>Effect of Abstentions</w:t>
            </w:r>
          </w:p>
        </w:tc>
        <w:tc>
          <w:tcPr>
            <w:tcW w:w="2620" w:type="dxa"/>
            <w:vAlign w:val="bottom"/>
            <w:tcBorders>
              <w:bottom w:val="single" w:sz="8" w:color="auto"/>
            </w:tcBorders>
            <w:shd w:val="clear" w:color="auto" w:fill="E4C0D9"/>
          </w:tcPr>
          <w:p>
            <w:pPr>
              <w:ind w:left="140"/>
              <w:spacing w:after="0"/>
              <w:rPr>
                <w:sz w:val="20"/>
                <w:szCs w:val="20"/>
                <w:color w:val="auto"/>
              </w:rPr>
            </w:pPr>
            <w:r>
              <w:rPr>
                <w:rFonts w:ascii="Arial" w:cs="Arial" w:eastAsia="Arial" w:hAnsi="Arial"/>
                <w:sz w:val="14"/>
                <w:szCs w:val="14"/>
                <w:b w:val="1"/>
                <w:bCs w:val="1"/>
                <w:color w:val="auto"/>
              </w:rPr>
              <w:t>Effect of Broker Non-Votes (If Any)</w:t>
            </w:r>
          </w:p>
        </w:tc>
      </w:tr>
      <w:tr>
        <w:trPr>
          <w:trHeight w:val="193"/>
        </w:trPr>
        <w:tc>
          <w:tcPr>
            <w:tcW w:w="300" w:type="dxa"/>
            <w:vAlign w:val="bottom"/>
          </w:tcPr>
          <w:p>
            <w:pPr>
              <w:ind w:left="160"/>
              <w:spacing w:after="0"/>
              <w:rPr>
                <w:sz w:val="20"/>
                <w:szCs w:val="20"/>
                <w:color w:val="auto"/>
              </w:rPr>
            </w:pPr>
            <w:r>
              <w:rPr>
                <w:rFonts w:ascii="Arial" w:cs="Arial" w:eastAsia="Arial" w:hAnsi="Arial"/>
                <w:sz w:val="14"/>
                <w:szCs w:val="14"/>
                <w:color w:val="auto"/>
              </w:rPr>
              <w:t>1.</w:t>
            </w:r>
          </w:p>
        </w:tc>
        <w:tc>
          <w:tcPr>
            <w:tcW w:w="2500" w:type="dxa"/>
            <w:vAlign w:val="bottom"/>
          </w:tcPr>
          <w:p>
            <w:pPr>
              <w:ind w:left="20"/>
              <w:spacing w:after="0"/>
              <w:rPr>
                <w:sz w:val="20"/>
                <w:szCs w:val="20"/>
                <w:color w:val="auto"/>
              </w:rPr>
            </w:pPr>
            <w:r>
              <w:rPr>
                <w:rFonts w:ascii="Arial" w:cs="Arial" w:eastAsia="Arial" w:hAnsi="Arial"/>
                <w:sz w:val="14"/>
                <w:szCs w:val="14"/>
                <w:color w:val="auto"/>
              </w:rPr>
              <w:t>The Term Loan Conversion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No effect.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cast.</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2.</w:t>
            </w:r>
          </w:p>
        </w:tc>
        <w:tc>
          <w:tcPr>
            <w:tcW w:w="2500" w:type="dxa"/>
            <w:vAlign w:val="bottom"/>
          </w:tcPr>
          <w:p>
            <w:pPr>
              <w:ind w:left="20"/>
              <w:spacing w:after="0"/>
              <w:rPr>
                <w:sz w:val="20"/>
                <w:szCs w:val="20"/>
                <w:color w:val="auto"/>
              </w:rPr>
            </w:pPr>
            <w:r>
              <w:rPr>
                <w:rFonts w:ascii="Arial" w:cs="Arial" w:eastAsia="Arial" w:hAnsi="Arial"/>
                <w:sz w:val="14"/>
                <w:szCs w:val="14"/>
                <w:color w:val="auto"/>
              </w:rPr>
              <w:t>The Backstop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No effect.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cast.</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3.</w:t>
            </w:r>
          </w:p>
        </w:tc>
        <w:tc>
          <w:tcPr>
            <w:tcW w:w="2500" w:type="dxa"/>
            <w:vAlign w:val="bottom"/>
          </w:tcPr>
          <w:p>
            <w:pPr>
              <w:ind w:left="20"/>
              <w:spacing w:after="0"/>
              <w:rPr>
                <w:sz w:val="20"/>
                <w:szCs w:val="20"/>
                <w:color w:val="auto"/>
              </w:rPr>
            </w:pPr>
            <w:r>
              <w:rPr>
                <w:rFonts w:ascii="Arial" w:cs="Arial" w:eastAsia="Arial" w:hAnsi="Arial"/>
                <w:sz w:val="14"/>
                <w:szCs w:val="14"/>
                <w:color w:val="auto"/>
              </w:rPr>
              <w:t>The Plan Amendment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No effect.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cast.</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4.</w:t>
            </w:r>
          </w:p>
        </w:tc>
        <w:tc>
          <w:tcPr>
            <w:tcW w:w="2500" w:type="dxa"/>
            <w:vAlign w:val="bottom"/>
          </w:tcPr>
          <w:p>
            <w:pPr>
              <w:ind w:left="20"/>
              <w:spacing w:after="0"/>
              <w:rPr>
                <w:sz w:val="20"/>
                <w:szCs w:val="20"/>
                <w:color w:val="auto"/>
              </w:rPr>
            </w:pPr>
            <w:r>
              <w:rPr>
                <w:rFonts w:ascii="Arial" w:cs="Arial" w:eastAsia="Arial" w:hAnsi="Arial"/>
                <w:sz w:val="14"/>
                <w:szCs w:val="14"/>
                <w:color w:val="auto"/>
              </w:rPr>
              <w:t>The Charter Amendment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(i)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Against.</w:t>
            </w:r>
          </w:p>
        </w:tc>
        <w:tc>
          <w:tcPr>
            <w:tcW w:w="2620" w:type="dxa"/>
            <w:vAlign w:val="bottom"/>
          </w:tcPr>
          <w:p>
            <w:pPr>
              <w:ind w:left="140"/>
              <w:spacing w:after="0"/>
              <w:rPr>
                <w:sz w:val="20"/>
                <w:szCs w:val="20"/>
                <w:color w:val="auto"/>
              </w:rPr>
            </w:pPr>
            <w:r>
              <w:rPr>
                <w:rFonts w:ascii="Arial" w:cs="Arial" w:eastAsia="Arial" w:hAnsi="Arial"/>
                <w:sz w:val="14"/>
                <w:szCs w:val="14"/>
                <w:color w:val="auto"/>
              </w:rPr>
              <w:t>Against.</w:t>
            </w: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outstanding shares of Class B</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Common Stock voting separately</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as a class, and (ii) two-thirds of</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the outstanding shares of</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Common Stock, voting as a</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single class.</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5.</w:t>
            </w:r>
          </w:p>
        </w:tc>
        <w:tc>
          <w:tcPr>
            <w:tcW w:w="2500" w:type="dxa"/>
            <w:vAlign w:val="bottom"/>
          </w:tcPr>
          <w:p>
            <w:pPr>
              <w:ind w:left="20"/>
              <w:spacing w:after="0"/>
              <w:rPr>
                <w:sz w:val="20"/>
                <w:szCs w:val="20"/>
                <w:color w:val="auto"/>
              </w:rPr>
            </w:pPr>
            <w:r>
              <w:rPr>
                <w:rFonts w:ascii="Arial" w:cs="Arial" w:eastAsia="Arial" w:hAnsi="Arial"/>
                <w:sz w:val="14"/>
                <w:szCs w:val="14"/>
                <w:color w:val="auto"/>
              </w:rPr>
              <w:t>The Adjournment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Against.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present and entitled to vote.</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5"/>
        </w:trPr>
        <w:tc>
          <w:tcPr>
            <w:tcW w:w="3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LLC will tabulate the votes and act as inspector of election.</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A quorum is the minimum number of shares required to be present at the Special Meeting for any business to be conducted. The presence at the Special Meeting, electronically or by proxy, of the holders of a majority of the voting power of Common Stock issued and outstanding and entitled to vote on the Record Date will constitute a quorum. If a quorum is not present, we will not be able to conduct any business, and the Special Meeting will be adjourned, or rescheduled, by the chairperson of the meeting for a later date.</w:t>
      </w:r>
    </w:p>
    <w:p>
      <w:pPr>
        <w:spacing w:after="0" w:line="136"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Abstentions and broker non-votes (if any) will be counted as present for determining whether or not a quorum is present.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Do stockholders have appraisal rights?</w:t>
      </w:r>
    </w:p>
    <w:p>
      <w:pPr>
        <w:spacing w:after="0" w:line="166" w:lineRule="exact"/>
        <w:rPr>
          <w:sz w:val="20"/>
          <w:szCs w:val="20"/>
          <w:color w:val="auto"/>
        </w:rPr>
      </w:pPr>
    </w:p>
    <w:p>
      <w:pPr>
        <w:ind w:left="20" w:right="200"/>
        <w:spacing w:after="0" w:line="271" w:lineRule="auto"/>
        <w:rPr>
          <w:sz w:val="20"/>
          <w:szCs w:val="20"/>
          <w:color w:val="auto"/>
        </w:rPr>
      </w:pPr>
      <w:r>
        <w:rPr>
          <w:rFonts w:ascii="Arial" w:cs="Arial" w:eastAsia="Arial" w:hAnsi="Arial"/>
          <w:sz w:val="18"/>
          <w:szCs w:val="18"/>
          <w:color w:val="auto"/>
        </w:rPr>
        <w:t>Under the Delaware General Corporation Law, our stockholders will not be entitled to appraisal rights with respect to any proposal for which we are seeking approval.</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Special Meeting?</w:t>
      </w:r>
    </w:p>
    <w:p>
      <w:pPr>
        <w:spacing w:after="0" w:line="166"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If available, we may announce preliminary voting results at the Special Meeting, and we will publish final results in a Current Report on Form 8-K that we will file with the Securities and Exchange Commission (the “SEC”) within four business days after the Special Meeting.</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66"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66"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4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proxy statement, please send an email to investors@renttherunway.com. We will strive to promptly address your request.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the timing, completion and anticipated benefits of the proposed Recapitalization Transactions and the Rights Offering, future investments in our business, statements regarding our business strategy and objectives, and the impact of the Recapitalization Transactions on our multi-year transformational plan.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45"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are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light of these risks and uncertainties, the forward-looking events and circumstances discussed in this</w:t>
      </w:r>
    </w:p>
    <w:p>
      <w:pPr>
        <w:spacing w:after="0" w:line="14"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Proxy Statement may not occur, and actual results could differ materially from those anticipated or implied in the forward-looking statements. These risks and uncertainties include, but are not limited to, the completion of the proposed Recapitalization Transactions on anticipated terms, or at all, and the timing of completion; anticipated tax treatment, unforeseen liabilities, future capital expenditures, revenues, expenses, earnings, economic performance, indebtedness, financial condition, losses, future prospects, business and management strategies for the management, expansion and growth of our operations and other conditions to the completion of the proposed Recapitalization Transactions, including the possibility that any of the anticipated benefits of the proposed Recapitalization Transactions will not be realized or will not be realized within the expected time period; potential litigation relating to the proposed Recapitalization Transactions that could be instituted against us or our directors and officers; the risk that disruptions from the proposed Recapitalization Transactions will harm our business, including current plans and operations and that management’s time and attention will be diverted on transaction-related issues; potential adverse reactions or changes to business relationships resulting from the announcement or completion of the proposed Recapitalization Transactions; rating agency actions; potential business uncertainty, including the outcome of commercial negotiations and changes to existing business relationships during the pendency of the proposed Recapitalization Transactions that could affect our financial performance and operating results; certain restrictions during the pendency of the proposed Recapitalization Transactions that may impact our ability to pursue certain business opportunities or strategic transactions or otherwise operate our business; dilution caused by our issuance of additional shares of Class A Common Stock in connection with the proposed Recapitalization Transactions; the possibility that the Recapitalization Transactions may be more expensive to complete than anticipated, including as a result of unexpected factors or events; our ability to drive future growth or manage our growth effectively; the highly competitive and rapidly changing nature of the global fashion industry; risks related to the macroeconomic environment;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w:t>
      </w:r>
    </w:p>
    <w:p>
      <w:pPr>
        <w:spacing w:after="0" w:line="20" w:lineRule="exact"/>
        <w:rPr>
          <w:sz w:val="20"/>
          <w:szCs w:val="20"/>
          <w:color w:val="auto"/>
        </w:rPr>
      </w:pPr>
    </w:p>
    <w:p>
      <w:pPr>
        <w:ind w:left="20" w:right="320"/>
        <w:spacing w:after="0" w:line="250" w:lineRule="auto"/>
        <w:rPr>
          <w:sz w:val="20"/>
          <w:szCs w:val="20"/>
          <w:color w:val="auto"/>
        </w:rPr>
      </w:pPr>
      <w:r>
        <w:rPr>
          <w:rFonts w:ascii="Arial" w:cs="Arial" w:eastAsia="Arial" w:hAnsi="Arial"/>
          <w:sz w:val="18"/>
          <w:szCs w:val="18"/>
          <w:color w:val="auto"/>
        </w:rPr>
        <w:t>data security, data protection and consumer protection laws and industry standards; risks associated with our brand and manufacturing partners; our reliance on third parties to provide</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payment processing infrastructure underlying our business; our dependence on online sources to attract consumers and promote our business which may be affected by third-party interference or cause our customer acquisition costs to rise; failure by us, our brand partners, or third-party manufacturers to comply with our vendor code of conduct or other laws; risks related to our debt, including our ability to comply with covenants in our credit facility; risks related to our Class A Common Stock and ownership structure; and risks related to future pandemics or public health crises.</w:t>
      </w:r>
    </w:p>
    <w:p>
      <w:pPr>
        <w:spacing w:after="0" w:line="149" w:lineRule="exact"/>
        <w:rPr>
          <w:sz w:val="20"/>
          <w:szCs w:val="20"/>
          <w:color w:val="auto"/>
        </w:rPr>
      </w:pPr>
    </w:p>
    <w:p>
      <w:pPr>
        <w:ind w:left="20" w:right="300"/>
        <w:spacing w:after="0" w:line="244"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Quarterly Report on Form 10-Q for the quarter ended July 31, 2025, and in the section entitled “Risk Factors” herein and in our other periodic reports filed with the SEC. Except as required by law, we do not undertake any obligation to publicly update or revise any forward-looking statement, whether as a result of new information, future developments or otherwise.</w:t>
      </w:r>
    </w:p>
    <w:p>
      <w:pPr>
        <w:spacing w:after="0" w:line="136"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Any prospective financial information included in this document has been prepared by, and is the responsibility of, the Company's management. PricewaterhouseCoopers LLP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included in the Company’s previously issued financial statements does not extend to the prospective financial information and should not be read to do so.</w:t>
      </w:r>
    </w:p>
    <w:p>
      <w:pPr>
        <w:spacing w:after="0" w:line="138"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This prospective financial information was not prepared with a view toward compliance with published guidelines of the Securities and Exchange Commission or the guidelines established by the American Institute of Certified Public Accountants for preparation or presentation of prospective financial information.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Risk Factors</w:t>
      </w:r>
    </w:p>
    <w:p>
      <w:pPr>
        <w:spacing w:after="0" w:line="214" w:lineRule="exact"/>
        <w:rPr>
          <w:sz w:val="20"/>
          <w:szCs w:val="20"/>
          <w:color w:val="auto"/>
        </w:rPr>
      </w:pPr>
    </w:p>
    <w:p>
      <w:pPr>
        <w:ind w:left="20" w:right="20"/>
        <w:spacing w:after="0" w:line="243" w:lineRule="auto"/>
        <w:rPr>
          <w:sz w:val="20"/>
          <w:szCs w:val="20"/>
          <w:color w:val="auto"/>
        </w:rPr>
      </w:pPr>
      <w:r>
        <w:rPr>
          <w:rFonts w:ascii="Arial" w:cs="Arial" w:eastAsia="Arial" w:hAnsi="Arial"/>
          <w:sz w:val="18"/>
          <w:szCs w:val="18"/>
          <w:i w:val="1"/>
          <w:iCs w:val="1"/>
          <w:color w:val="auto"/>
        </w:rPr>
        <w:t>You should carefully consider the following risk factors, together with other risk factors disclosed in the Company’s SEC filings, the Company’s Quarterly Report on Form 10 -Q for the quarter ended July 31, 2025, and all of the other information included in this Proxy Statement before you decide whether to vote or instruct your vote to be cast to approve the proposals described in this Proxy Statement. These risks could have a material adverse effect on the business, financial condition and results of operations of the Company.</w:t>
      </w:r>
    </w:p>
    <w:p>
      <w:pPr>
        <w:spacing w:after="0" w:line="140" w:lineRule="exact"/>
        <w:rPr>
          <w:sz w:val="20"/>
          <w:szCs w:val="20"/>
          <w:color w:val="auto"/>
        </w:rPr>
      </w:pPr>
    </w:p>
    <w:p>
      <w:pPr>
        <w:jc w:val="both"/>
        <w:ind w:left="20"/>
        <w:spacing w:after="0" w:line="245" w:lineRule="auto"/>
        <w:rPr>
          <w:sz w:val="20"/>
          <w:szCs w:val="20"/>
          <w:color w:val="auto"/>
        </w:rPr>
      </w:pPr>
      <w:r>
        <w:rPr>
          <w:rFonts w:ascii="Arial" w:cs="Arial" w:eastAsia="Arial" w:hAnsi="Arial"/>
          <w:sz w:val="18"/>
          <w:szCs w:val="18"/>
          <w:b w:val="1"/>
          <w:bCs w:val="1"/>
          <w:i w:val="1"/>
          <w:iCs w:val="1"/>
          <w:color w:val="auto"/>
        </w:rPr>
        <w:t>If our stockholders fail to approve the Required Proposals at the Special Meeting to consummate the Recapitalization Transactions, the Exchange Agreement will be terminated in accordance with its terms, we will not be able to enter into the New Credit Agreement, and we may default on our Existing Credit Agreement, which would have a material adverse effect on our business, financial condition and results of operations and our ability to continue to operate as a going concern.</w:t>
      </w:r>
    </w:p>
    <w:p>
      <w:pPr>
        <w:spacing w:after="0" w:line="143" w:lineRule="exact"/>
        <w:rPr>
          <w:sz w:val="20"/>
          <w:szCs w:val="20"/>
          <w:color w:val="auto"/>
        </w:rPr>
      </w:pPr>
    </w:p>
    <w:p>
      <w:pPr>
        <w:ind w:left="20" w:right="140"/>
        <w:spacing w:after="0" w:line="239" w:lineRule="auto"/>
        <w:rPr>
          <w:sz w:val="20"/>
          <w:szCs w:val="20"/>
          <w:color w:val="auto"/>
        </w:rPr>
      </w:pPr>
      <w:r>
        <w:rPr>
          <w:rFonts w:ascii="Arial" w:cs="Arial" w:eastAsia="Arial" w:hAnsi="Arial"/>
          <w:sz w:val="18"/>
          <w:szCs w:val="18"/>
          <w:color w:val="auto"/>
        </w:rPr>
        <w:t>We have incurred a substantial amount of indebtedness to fund our operations, which requires significant interest payments. As of July 31, 2025, we had $323.1 million (which excludes our unamortized debt premium and includes accrued but unpaid cash interest) in outstanding indebtedness under our Existing Credit Agreement that will mature in October 2026. We do not expect that our business will generate sufficient cash flow from operations to repay our indebtedness upon maturity or make other scheduled payments. Further, we are required to comply with various covenants under our Existing Credit Agreement, which we have amended from time to time with the cooperation of Lender to ensure our continued compliance with such covenants. Any failure to repay our indebtedness, make scheduled payments or comply with the covenants under our Existing Credit Agreement would constitute an event of default.</w:t>
      </w:r>
    </w:p>
    <w:p>
      <w:pPr>
        <w:spacing w:after="0" w:line="14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We entered into the Exchange Agreement to enhance our financial position and financial flexibility by significantly reducing our existing indebtedness, improving our borrowing rate and extending the maturity of our remaining indebtedness. If our stockholders fail to approve the Required Proposals to consummate the Recapitalization Transactions, we will not be able to enter into the New Credit Agreement, our ability to continue as a going concern will be impaired, and we may default under our Existing Credit Agreement. A default would allow the Agent to accelerate repayment of all obligations under the Existing Credit Agreement and foreclose its liens against substantially all of our assets and take possession and sell such assets to reduce any such obligations. As a result, a default would have a material adverse effect on our business, financial condition and results of operations and our ability to operate as a going concern, and we would likely be unable to avoid filing for bankruptcy protection or have an involuntary bankruptcy case filed against us. Further, if the Recapitalization Transactions are not completed, our currently outstanding debt obligations will mature on October 29, 2026, and as of October 29, 2025, these outstanding debt obligations would be classified as a current liability and we may be unable to continue as a going concern, which could have a material adverse effect on our business, financial condition and results of operations.</w:t>
      </w:r>
    </w:p>
    <w:p>
      <w:pPr>
        <w:spacing w:after="0" w:line="142" w:lineRule="exact"/>
        <w:rPr>
          <w:sz w:val="20"/>
          <w:szCs w:val="20"/>
          <w:color w:val="auto"/>
        </w:rPr>
      </w:pPr>
    </w:p>
    <w:p>
      <w:pPr>
        <w:jc w:val="both"/>
        <w:ind w:left="20"/>
        <w:spacing w:after="0" w:line="256" w:lineRule="auto"/>
        <w:rPr>
          <w:sz w:val="20"/>
          <w:szCs w:val="20"/>
          <w:color w:val="auto"/>
        </w:rPr>
      </w:pPr>
      <w:r>
        <w:rPr>
          <w:rFonts w:ascii="Arial" w:cs="Arial" w:eastAsia="Arial" w:hAnsi="Arial"/>
          <w:sz w:val="18"/>
          <w:szCs w:val="18"/>
          <w:b w:val="1"/>
          <w:bCs w:val="1"/>
          <w:i w:val="1"/>
          <w:iCs w:val="1"/>
          <w:color w:val="auto"/>
        </w:rPr>
        <w:t>If the Required Proposals are approved, we will issue a significant number of shares of Class A Common Stock pursuant to the Term Loan Conversion, the Rights Offering and the Rights Offering Backstop Agreement, which will result in immediate and substantial dilution to our stockholders.</w:t>
      </w:r>
    </w:p>
    <w:p>
      <w:pPr>
        <w:spacing w:after="0" w:line="132"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Pursuant to the Exchange Agreement, Lender would (a) exchange $100.0 million of existing outstanding indebtedness owing by the Company to Lender under the Existing Credit Agreement on a dollar-for-dollar and cashless basis for new term loans under the New Credit Agreement and (b) contribute the Equity Exchange Obligations to the Company in exchange for newly issued shares of Class A Common Stock, equal to 86% of the number of shares of our total outstanding common stock as of the closing of the Recapitalization Transactions and our existing stockholders will own the remaining 14% of our outstanding Common Stock as of the closing of the Recapitalization Transactions (in each case, after giving effect to the Conversions, but before giving effect to the Rights Offering and the share reserve under the Amended Plan). Therefore, if our stockholders vote to approve the Required Proposals, they will experience immediate and substantial dilution upon the consummation of the Recapitalization Transactions.</w:t>
      </w:r>
    </w:p>
    <w:p>
      <w:pPr>
        <w:spacing w:after="0" w:line="143"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Additionally, under the Exchange Agreement, we agreed to prepare and file with the SEC a registration statement on Form S-1 in connection with a $12.5 million rights offering and entered into the Rights Offering Backstop</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Agreement, which permits the Investor Group to purchase all unsubscribed shares of the Class A Common Stock to be issued in connection with the Rights Offering at a price of $4.08 per share. If the Required Proposals are approved, we will issue all of the unsubscribed shares of Class A Common Stock offered in the Rights Offering to the Investor Group, and our stockholders could experience further significant and immediate dilution. In the event the Recapitalization Transactions close, as a result of Lender’s substantial ownership of our capital stock, Lender may be able to control matters requiring stockholder approval, including the election of directors and approval of significant corporate transactions, such as a merger or other sale of our Company or our assets. This concentration of ownership may limit the ability of other stockholders to influence corporate matters and may cause us to make strategic decisions that could involve risks to you or that may not be aligned with your interests. This control may adversely affect the market price of our Common Stock.</w:t>
      </w:r>
    </w:p>
    <w:p>
      <w:pPr>
        <w:spacing w:after="0" w:line="155" w:lineRule="exact"/>
        <w:rPr>
          <w:sz w:val="20"/>
          <w:szCs w:val="20"/>
          <w:color w:val="auto"/>
        </w:rPr>
      </w:pPr>
    </w:p>
    <w:p>
      <w:pPr>
        <w:jc w:val="both"/>
        <w:ind w:left="20"/>
        <w:spacing w:after="0" w:line="249" w:lineRule="auto"/>
        <w:rPr>
          <w:sz w:val="20"/>
          <w:szCs w:val="20"/>
          <w:color w:val="auto"/>
        </w:rPr>
      </w:pPr>
      <w:r>
        <w:rPr>
          <w:rFonts w:ascii="Arial" w:cs="Arial" w:eastAsia="Arial" w:hAnsi="Arial"/>
          <w:sz w:val="18"/>
          <w:szCs w:val="18"/>
          <w:b w:val="1"/>
          <w:bCs w:val="1"/>
          <w:i w:val="1"/>
          <w:iCs w:val="1"/>
          <w:color w:val="auto"/>
        </w:rPr>
        <w:t>Following the consummation of the Recapitalization Transactions, we may in the future elect to take advantage of all or part of the “controlled company” exemption to certain of the corporate governance rules for Nasdaq-listed companies, which, if we make such election, could then make our Class A Common Stock less attractive to some investors or otherwise adversely affect our stock price.</w:t>
      </w:r>
    </w:p>
    <w:p>
      <w:pPr>
        <w:spacing w:after="0" w:line="125"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If the Recapitalization Transactions are consummated, Lender may control a majority of the voting power of our Common Stock, and in the future, Lender, potentially with other parties, may together control a majority of the voting power of our Common Stock, and in that circumstance, we would qualify as a controlled company within the meaning of the listing rules of the Nasdaq Global Market. Although there currently is not an intention to take advantage of this exemption, if we are in a position to do so in the future, and elect to do so, we would not be required to have a majority of our directors be independent, nor would we be required to have a compensation committee or an independent board nominating function. As a result, if the Recapitalization Transactions are consummated, we could then have the ability to elect in the future not to have a majority of our directors be independent or not to have a compensation committee or nominating and corporate governance committee comprised of independent directors. If that were to occur, stockholders may not have the same protections afforded to stockholders of companies that are subject to all of the corporate governance rules for Nasdaq-listed companies. Therefore, if we were to elect to become a controlled company, our Class A Common Stock may be less attractive to some investors or such status may otherwise adversely affect our stock price.</w:t>
      </w:r>
    </w:p>
    <w:p>
      <w:pPr>
        <w:spacing w:after="0" w:line="142" w:lineRule="exact"/>
        <w:rPr>
          <w:sz w:val="20"/>
          <w:szCs w:val="20"/>
          <w:color w:val="auto"/>
        </w:rPr>
      </w:pPr>
    </w:p>
    <w:p>
      <w:pPr>
        <w:jc w:val="both"/>
        <w:ind w:left="20"/>
        <w:spacing w:after="0" w:line="249" w:lineRule="auto"/>
        <w:rPr>
          <w:sz w:val="20"/>
          <w:szCs w:val="20"/>
          <w:color w:val="auto"/>
        </w:rPr>
      </w:pPr>
      <w:r>
        <w:rPr>
          <w:rFonts w:ascii="Arial" w:cs="Arial" w:eastAsia="Arial" w:hAnsi="Arial"/>
          <w:sz w:val="18"/>
          <w:szCs w:val="18"/>
          <w:b w:val="1"/>
          <w:bCs w:val="1"/>
          <w:i w:val="1"/>
          <w:iCs w:val="1"/>
          <w:color w:val="auto"/>
        </w:rPr>
        <w:t>We will enter into the New Credit Agreement if the Required Proposals are approved,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38"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If the Required Proposals are approved, we will enter into the New Credit Agreement upon the consummation of the Recapitalization Transactions. The New Credit Agreement will amend and restate the Existing Credit Agreement and contain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operations. </w:t>
      </w:r>
    </w:p>
    <w:p>
      <w:pPr>
        <w:spacing w:after="0" w:line="140"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Further, in the past we have sought waivers and/or concessions from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modification of such covenants under the New Credit Agreement, Agent would have the right to accelerate repayment of all outstanding obligations, which would become immediately due and payable, and exercise all other rights and remedies available under the New Credit Agreement. While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our covenants and negotiate with the Investor Group could have a material adverse effect on our business, financial condition and results of operations.</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Term Loan Conversion</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0"/>
        <w:spacing w:after="0" w:line="237" w:lineRule="auto"/>
        <w:rPr>
          <w:sz w:val="20"/>
          <w:szCs w:val="20"/>
          <w:color w:val="auto"/>
        </w:rPr>
      </w:pPr>
      <w:r>
        <w:rPr>
          <w:rFonts w:ascii="Arial" w:cs="Arial" w:eastAsia="Arial" w:hAnsi="Arial"/>
          <w:sz w:val="18"/>
          <w:szCs w:val="18"/>
          <w:color w:val="auto"/>
        </w:rPr>
        <w:t>Pursuant to the Exchange Agreement, we agreed to enter into the New Credit Agreement with the Investor Group, and Lender agreed to convert all of the indebtedness under our Existing Credit Agreement in excess of $100.0 million (approximately $223.1 million as of the end of our second fiscal quarter ending July 31, 2025), which excludes our unamortized debt premium and includes accrued but unpaid cash interest, into shares of our Class A Common Stock in an aggregate amount equal to 86% of our outstanding Common Stock as of the closing of the Recapitalization Transactions (after giving effect to the Conversions, but before giving effect to the Rights Offering and the increased share reserve under the Amended Plan) (the “Term Loan Conversion”). In order to comply with Nasdaq Listing</w:t>
      </w:r>
    </w:p>
    <w:p>
      <w:pPr>
        <w:spacing w:after="0" w:line="5" w:lineRule="exact"/>
        <w:rPr>
          <w:sz w:val="20"/>
          <w:szCs w:val="20"/>
          <w:color w:val="auto"/>
        </w:rPr>
      </w:pPr>
    </w:p>
    <w:p>
      <w:pPr>
        <w:ind w:left="20" w:right="300"/>
        <w:spacing w:after="0" w:line="250" w:lineRule="auto"/>
        <w:rPr>
          <w:sz w:val="20"/>
          <w:szCs w:val="20"/>
          <w:color w:val="auto"/>
        </w:rPr>
      </w:pPr>
      <w:r>
        <w:rPr>
          <w:rFonts w:ascii="Arial" w:cs="Arial" w:eastAsia="Arial" w:hAnsi="Arial"/>
          <w:sz w:val="18"/>
          <w:szCs w:val="18"/>
          <w:color w:val="auto"/>
        </w:rPr>
        <w:t>Rule 5635, our stockholders are being asked to approve the issuance of all of the shares of Class A Common Stock issued pursuant to the Term Loan Conversion.</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Background and Considerations</w:t>
      </w:r>
    </w:p>
    <w:p>
      <w:pPr>
        <w:spacing w:after="0" w:line="199"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On July 23, 2018, we entered into the Existing Credit Agreement. The Existing Credit Agreement matures on October 29, 2026 (the “Maturity Date”), and contains a financial covenant requiring the Company to maintain at least $30.0 million in qualified cash and cash equivalents (the “Minimum Liquidity Covenant”).</w:t>
      </w:r>
    </w:p>
    <w:p>
      <w:pPr>
        <w:spacing w:after="0" w:line="142"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Since 2020, we, Lender and Agent have entered into numerous amendments to the Existing Credit Agreement, including, without limitation, to waive our compliance with the Minimum Liquidity Covenant and certain other covenants set forth in the Existing Credit Agreement. In addition, we obtained substantial cash interest relief through prior amendments, with a portion of interest instead being payable in kind.</w:t>
      </w:r>
    </w:p>
    <w:p>
      <w:pPr>
        <w:spacing w:after="0" w:line="133"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Faced with the approaching Maturity Date and significant uncertainty as to whether we could continue to meet the Minimum Liquidity Covenant under the Existing Credit Agreement, we have worked diligently for the past two years with multiple advisors to pursue strategic alternatives, including, among other things: a sale of the Company, a refinancing or restructuring of the Existing Credit Agreement and equity capital raises. During this two-year time period, with the assistance of a financial advisor, we canvassed the market and held discussions with numerous financial sponsors and strategic acquirers. Despite engaging in many discussions with these third parties, none of these financial sponsors or strategic acquirers was willing to proceed beyond having preliminary discussions on strategic alternatives. In light of the unsuccessful efforts over the past two years to identify actionable strategic alternatives, it was the considered view of the Finance Committee and of the Board that no alternative transactions to this Recapitalization Transaction were likely to be available that could have been implemented prior to the Maturity Date, that would have provided long-term relief from the Minimum Liquidity Covenant, or that would have satisfied in full the amounts owed under our Existing Credit Agreement on the Maturity Date. As a result, it was the considered view of the Finance Committee and the Board that there was substantial concern that we would be unable to effectively run our business unless the Existing Credit Agreement could be amended or restructured.</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Recapitalization Transactions were the only option available that could provide us sufficient liquidity to effectively run our business while remaining in compliance with the Existing Credit Agreement. In connection with the Recapitalization Transactions, the Finance Committee and the Board received the advice of LionTree and BTIG. In addition, the Finance Committee and the Board received an opinion from BTIG to the effect that, as of the date of such opinion and based upon and subject to the various limitations, qualifications, assumptions, conditions and other matters set forth in such opinion, the issuance of the Exchange Stock to Lender by the Company in exchange for the Equity Exchange Obligations pursuant to the Exchange Agreement was fair, from a financial point of view, to the holders of Class A Common Stock (other than any shares of Class A Common Stock</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held by Lender or its affiliates). Taking into account such advice and fairness opinion, the Board, acting upon the unanimous recommendation of the Finance Committee, has determined that it is in the best interests of the Company and its stockholders to consummate the Recapitalization Transactions. The foregoing description of BTIG’s fairness opinion is qualified in its entirety by reference to its description under the caption “Opinion of BTIG, LLC” below and the written opinion of BTIG attached as Exhibit G hereto.</w:t>
      </w:r>
    </w:p>
    <w:p>
      <w:pPr>
        <w:spacing w:after="0" w:line="149"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As of July 31, 2025, the total aggregate indebtedness under the Existing Credit Agreement was approximately $323.1 million, which excludes our unamortized debt premium and includes accrued but unpaid cash interest. If we do not receive stockholder approval of the Required Proposals, we (i) would likely be unable to continue our operations and avoid filing for bankruptcy protection and (ii) would likely be at significant risk of an involuntary bankruptcy case being filed against us.</w:t>
      </w:r>
    </w:p>
    <w:p>
      <w:pPr>
        <w:spacing w:after="0" w:line="136" w:lineRule="exact"/>
        <w:rPr>
          <w:sz w:val="20"/>
          <w:szCs w:val="20"/>
          <w:color w:val="auto"/>
        </w:rPr>
      </w:pPr>
    </w:p>
    <w:p>
      <w:pPr>
        <w:ind w:left="20" w:right="20"/>
        <w:spacing w:after="0" w:line="242" w:lineRule="auto"/>
        <w:rPr>
          <w:sz w:val="20"/>
          <w:szCs w:val="20"/>
          <w:color w:val="auto"/>
        </w:rPr>
      </w:pPr>
      <w:r>
        <w:rPr>
          <w:rFonts w:ascii="Arial" w:cs="Arial" w:eastAsia="Arial" w:hAnsi="Arial"/>
          <w:sz w:val="18"/>
          <w:szCs w:val="18"/>
          <w:color w:val="auto"/>
        </w:rPr>
        <w:t>The Exchange Agreement permits us to consider unsolicited alternative proposals that we receive, subject to certain conditions, and to terminate the Exchange Agreement in order to accept a “Superior Proposal” as defined in the Exchange Agreement. We will continue to evaluate strategic alternative proposals received in accordance with the terms and conditions of the Exchange Agreement in order to repay outstanding indebtedness under the Existing Credit Agreement prior to the maturity thereof, including equity capital raises and a sale of the business. There can be no assurances that these efforts will be successful.</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Summary of the Recapitalization Transactions</w:t>
      </w:r>
    </w:p>
    <w:p>
      <w:pPr>
        <w:spacing w:after="0" w:line="199"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This summary highlights selected terms of the Recapitalization Transactions. This summary does not contain all of the information you should consider with respect to the Recapitalization Transactions and is qualified in its entirety by reference to the text of the documents described below, which are attached as exhibits to this Proxy Statement and to our Current Report on Form 8-K, filed with the SEC on August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79375</wp:posOffset>
            </wp:positionV>
            <wp:extent cx="603504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146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14630"/>
                    </a:xfrm>
                    <a:prstGeom prst="rect">
                      <a:avLst/>
                    </a:prstGeom>
                    <a:noFill/>
                    <a:ln>
                      <a:noFill/>
                    </a:ln>
                  </pic:spPr>
                </pic:pic>
              </a:graphicData>
            </a:graphic>
          </wp:inline>
        </w:drawing>
      </w:r>
      <w:r>
        <w:rPr>
          <w:rFonts w:ascii="Arial" w:cs="Arial" w:eastAsia="Arial" w:hAnsi="Arial"/>
          <w:sz w:val="14"/>
          <w:szCs w:val="14"/>
          <w:b w:val="1"/>
          <w:bCs w:val="1"/>
          <w:color w:val="auto"/>
        </w:rPr>
        <w:t xml:space="preserve"> Key Terms of the Recapitalization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603504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5040" cy="145415"/>
                    </a:xfrm>
                    <a:prstGeom prst="rect">
                      <a:avLst/>
                    </a:prstGeom>
                    <a:noFill/>
                  </pic:spPr>
                </pic:pic>
              </a:graphicData>
            </a:graphic>
          </wp:anchor>
        </w:drawing>
      </w:r>
    </w:p>
    <w:p>
      <w:pPr>
        <w:spacing w:after="0" w:line="2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Restructuring</w:t>
            </w:r>
          </w:p>
        </w:tc>
        <w:tc>
          <w:tcPr>
            <w:tcW w:w="2080" w:type="dxa"/>
            <w:vAlign w:val="bottom"/>
          </w:tcPr>
          <w:p>
            <w:pPr>
              <w:ind w:left="680"/>
              <w:spacing w:after="0"/>
              <w:rPr>
                <w:sz w:val="20"/>
                <w:szCs w:val="20"/>
                <w:color w:val="auto"/>
              </w:rPr>
            </w:pPr>
            <w:r>
              <w:rPr>
                <w:rFonts w:ascii="Arial" w:cs="Arial" w:eastAsia="Arial" w:hAnsi="Arial"/>
                <w:sz w:val="14"/>
                <w:szCs w:val="14"/>
                <w:i w:val="1"/>
                <w:iCs w:val="1"/>
                <w:color w:val="auto"/>
              </w:rPr>
              <w:t>Existing Debt</w:t>
            </w:r>
          </w:p>
        </w:tc>
        <w:tc>
          <w:tcPr>
            <w:tcW w:w="5200" w:type="dxa"/>
            <w:vAlign w:val="bottom"/>
            <w:gridSpan w:val="3"/>
          </w:tcPr>
          <w:p>
            <w:pPr>
              <w:ind w:left="540"/>
              <w:spacing w:after="0"/>
              <w:rPr>
                <w:sz w:val="20"/>
                <w:szCs w:val="20"/>
                <w:color w:val="auto"/>
              </w:rPr>
            </w:pPr>
            <w:r>
              <w:rPr>
                <w:rFonts w:ascii="Arial" w:cs="Arial" w:eastAsia="Arial" w:hAnsi="Arial"/>
                <w:sz w:val="14"/>
                <w:szCs w:val="14"/>
                <w:color w:val="auto"/>
              </w:rPr>
              <w:t>As of July 31, 2025, we had outstanding indebtedness under our Existing</w:t>
            </w:r>
          </w:p>
        </w:tc>
      </w:t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of Existing</w:t>
            </w:r>
          </w:p>
        </w:tc>
        <w:tc>
          <w:tcPr>
            <w:tcW w:w="2080" w:type="dxa"/>
            <w:vAlign w:val="bottom"/>
          </w:tcPr>
          <w:p>
            <w:pPr>
              <w:spacing w:after="0"/>
              <w:rPr>
                <w:sz w:val="14"/>
                <w:szCs w:val="14"/>
                <w:color w:val="auto"/>
              </w:rPr>
            </w:pPr>
          </w:p>
        </w:tc>
        <w:tc>
          <w:tcPr>
            <w:tcW w:w="5200" w:type="dxa"/>
            <w:vAlign w:val="bottom"/>
            <w:gridSpan w:val="3"/>
          </w:tcPr>
          <w:p>
            <w:pPr>
              <w:ind w:left="540"/>
              <w:spacing w:after="0"/>
              <w:rPr>
                <w:sz w:val="20"/>
                <w:szCs w:val="20"/>
                <w:color w:val="auto"/>
              </w:rPr>
            </w:pPr>
            <w:r>
              <w:rPr>
                <w:rFonts w:ascii="Arial" w:cs="Arial" w:eastAsia="Arial" w:hAnsi="Arial"/>
                <w:sz w:val="14"/>
                <w:szCs w:val="14"/>
                <w:color w:val="auto"/>
              </w:rPr>
              <w:t>Credit Agreement of approximately $323.1 million, which excludes our</w:t>
            </w:r>
          </w:p>
        </w:tc>
      </w:t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Credit</w:t>
            </w:r>
          </w:p>
        </w:tc>
        <w:tc>
          <w:tcPr>
            <w:tcW w:w="2080" w:type="dxa"/>
            <w:vAlign w:val="bottom"/>
          </w:tcPr>
          <w:p>
            <w:pPr>
              <w:spacing w:after="0"/>
              <w:rPr>
                <w:sz w:val="14"/>
                <w:szCs w:val="14"/>
                <w:color w:val="auto"/>
              </w:rPr>
            </w:pPr>
          </w:p>
        </w:tc>
        <w:tc>
          <w:tcPr>
            <w:tcW w:w="5200" w:type="dxa"/>
            <w:vAlign w:val="bottom"/>
            <w:gridSpan w:val="3"/>
          </w:tcPr>
          <w:p>
            <w:pPr>
              <w:ind w:left="540"/>
              <w:spacing w:after="0"/>
              <w:rPr>
                <w:sz w:val="20"/>
                <w:szCs w:val="20"/>
                <w:color w:val="auto"/>
              </w:rPr>
            </w:pPr>
            <w:r>
              <w:rPr>
                <w:rFonts w:ascii="Arial" w:cs="Arial" w:eastAsia="Arial" w:hAnsi="Arial"/>
                <w:sz w:val="14"/>
                <w:szCs w:val="14"/>
                <w:color w:val="auto"/>
              </w:rPr>
              <w:t>unamortized debt premium, and comprised of:</w:t>
            </w:r>
          </w:p>
        </w:tc>
      </w:t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208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360" w:type="dxa"/>
            <w:vAlign w:val="bottom"/>
          </w:tcPr>
          <w:p>
            <w:pPr>
              <w:ind w:left="40"/>
              <w:spacing w:after="0"/>
              <w:rPr>
                <w:sz w:val="20"/>
                <w:szCs w:val="20"/>
                <w:color w:val="auto"/>
              </w:rPr>
            </w:pPr>
            <w:r>
              <w:rPr>
                <w:rFonts w:ascii="Arial" w:cs="Arial" w:eastAsia="Arial" w:hAnsi="Arial"/>
                <w:sz w:val="14"/>
                <w:szCs w:val="14"/>
                <w:color w:val="auto"/>
              </w:rPr>
              <w:t>$271.6 million of term loans outstanding;</w:t>
            </w:r>
          </w:p>
        </w:tc>
      </w:tr>
      <w:tr>
        <w:trPr>
          <w:trHeight w:val="162"/>
        </w:trPr>
        <w:tc>
          <w:tcPr>
            <w:tcW w:w="1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360" w:type="dxa"/>
            <w:vAlign w:val="bottom"/>
          </w:tcPr>
          <w:p>
            <w:pPr>
              <w:ind w:left="40"/>
              <w:spacing w:after="0"/>
              <w:rPr>
                <w:sz w:val="20"/>
                <w:szCs w:val="20"/>
                <w:color w:val="auto"/>
              </w:rPr>
            </w:pPr>
            <w:r>
              <w:rPr>
                <w:rFonts w:ascii="Arial" w:cs="Arial" w:eastAsia="Arial" w:hAnsi="Arial"/>
                <w:sz w:val="14"/>
                <w:szCs w:val="14"/>
                <w:color w:val="auto"/>
              </w:rPr>
              <w:t>$47.6 million in paid-in-kind interest; and</w:t>
            </w:r>
          </w:p>
        </w:tc>
      </w:tr>
      <w:tr>
        <w:trPr>
          <w:trHeight w:val="190"/>
        </w:trPr>
        <w:tc>
          <w:tcPr>
            <w:tcW w:w="1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360" w:type="dxa"/>
            <w:vAlign w:val="bottom"/>
          </w:tcPr>
          <w:p>
            <w:pPr>
              <w:ind w:left="40"/>
              <w:spacing w:after="0"/>
              <w:rPr>
                <w:sz w:val="20"/>
                <w:szCs w:val="20"/>
                <w:color w:val="auto"/>
              </w:rPr>
            </w:pPr>
            <w:r>
              <w:rPr>
                <w:rFonts w:ascii="Arial" w:cs="Arial" w:eastAsia="Arial" w:hAnsi="Arial"/>
                <w:sz w:val="14"/>
                <w:szCs w:val="14"/>
                <w:color w:val="auto"/>
              </w:rPr>
              <w:t>$4.0 million in accrued but unpaid cash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82550</wp:posOffset>
            </wp:positionV>
            <wp:extent cx="4526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168" w:lineRule="exact"/>
        <w:rPr>
          <w:sz w:val="20"/>
          <w:szCs w:val="20"/>
          <w:color w:val="auto"/>
        </w:rPr>
      </w:pPr>
    </w:p>
    <w:p>
      <w:pPr>
        <w:ind w:left="2500"/>
        <w:spacing w:after="0"/>
        <w:tabs>
          <w:tab w:leader="none" w:pos="4420" w:val="left"/>
        </w:tabs>
        <w:rPr>
          <w:sz w:val="20"/>
          <w:szCs w:val="20"/>
          <w:color w:val="auto"/>
        </w:rPr>
      </w:pPr>
      <w:r>
        <w:rPr>
          <w:rFonts w:ascii="Arial" w:cs="Arial" w:eastAsia="Arial" w:hAnsi="Arial"/>
          <w:sz w:val="14"/>
          <w:szCs w:val="14"/>
          <w:i w:val="1"/>
          <w:iCs w:val="1"/>
          <w:color w:val="auto"/>
        </w:rPr>
        <w:t>Debt Restructuring</w:t>
      </w:r>
      <w:r>
        <w:rPr>
          <w:sz w:val="20"/>
          <w:szCs w:val="20"/>
          <w:color w:val="auto"/>
        </w:rPr>
        <w:tab/>
      </w:r>
      <w:r>
        <w:rPr>
          <w:rFonts w:ascii="Arial" w:cs="Arial" w:eastAsia="Arial" w:hAnsi="Arial"/>
          <w:sz w:val="14"/>
          <w:szCs w:val="14"/>
          <w:color w:val="auto"/>
        </w:rPr>
        <w:t>The debt restructuring steps include:</w:t>
      </w:r>
    </w:p>
    <w:p>
      <w:pPr>
        <w:spacing w:after="0" w:line="15" w:lineRule="exact"/>
        <w:rPr>
          <w:sz w:val="20"/>
          <w:szCs w:val="20"/>
          <w:color w:val="auto"/>
        </w:rPr>
      </w:pPr>
    </w:p>
    <w:p>
      <w:pPr>
        <w:ind w:left="4780" w:right="280" w:hanging="331"/>
        <w:spacing w:after="0" w:line="260" w:lineRule="auto"/>
        <w:tabs>
          <w:tab w:leader="none" w:pos="4586" w:val="left"/>
        </w:tabs>
        <w:numPr>
          <w:ilvl w:val="0"/>
          <w:numId w:val="8"/>
        </w:numPr>
        <w:rPr>
          <w:rFonts w:ascii="Arial" w:cs="Arial" w:eastAsia="Arial" w:hAnsi="Arial"/>
          <w:sz w:val="13"/>
          <w:szCs w:val="13"/>
          <w:color w:val="auto"/>
        </w:rPr>
      </w:pPr>
      <w:r>
        <w:rPr>
          <w:rFonts w:ascii="Arial" w:cs="Arial" w:eastAsia="Arial" w:hAnsi="Arial"/>
          <w:sz w:val="13"/>
          <w:szCs w:val="13"/>
          <w:color w:val="auto"/>
        </w:rPr>
        <w:t>•  The Equity Exchange Obligations being exchanged for the Exchange Stock;</w:t>
      </w:r>
    </w:p>
    <w:p>
      <w:pPr>
        <w:spacing w:after="0" w:line="162" w:lineRule="exact"/>
        <w:rPr>
          <w:rFonts w:ascii="Arial" w:cs="Arial" w:eastAsia="Arial" w:hAnsi="Arial"/>
          <w:sz w:val="13"/>
          <w:szCs w:val="13"/>
          <w:color w:val="auto"/>
        </w:rPr>
      </w:pPr>
    </w:p>
    <w:p>
      <w:pPr>
        <w:ind w:left="4780" w:right="80" w:hanging="331"/>
        <w:spacing w:after="0" w:line="260" w:lineRule="auto"/>
        <w:tabs>
          <w:tab w:leader="none" w:pos="4586" w:val="left"/>
        </w:tabs>
        <w:numPr>
          <w:ilvl w:val="0"/>
          <w:numId w:val="8"/>
        </w:numPr>
        <w:rPr>
          <w:rFonts w:ascii="Arial" w:cs="Arial" w:eastAsia="Arial" w:hAnsi="Arial"/>
          <w:sz w:val="13"/>
          <w:szCs w:val="13"/>
          <w:color w:val="auto"/>
        </w:rPr>
      </w:pPr>
      <w:r>
        <w:rPr>
          <w:rFonts w:ascii="Arial" w:cs="Arial" w:eastAsia="Arial" w:hAnsi="Arial"/>
          <w:sz w:val="13"/>
          <w:szCs w:val="13"/>
          <w:color w:val="auto"/>
        </w:rPr>
        <w:t>•  $100.0 million of indebtedness under the Existing Credit Agreement being exchanged, on a dollar-for-dollar and cashless basis, for new term loans (the “Exchange Consideration Term Loans”); and</w:t>
      </w:r>
    </w:p>
    <w:p>
      <w:pPr>
        <w:ind w:left="4780" w:right="120" w:hanging="331"/>
        <w:spacing w:after="0" w:line="281" w:lineRule="auto"/>
        <w:tabs>
          <w:tab w:leader="none" w:pos="4586" w:val="left"/>
        </w:tabs>
        <w:numPr>
          <w:ilvl w:val="0"/>
          <w:numId w:val="8"/>
        </w:numPr>
        <w:rPr>
          <w:rFonts w:ascii="Arial" w:cs="Arial" w:eastAsia="Arial" w:hAnsi="Arial"/>
          <w:sz w:val="13"/>
          <w:szCs w:val="13"/>
          <w:color w:val="auto"/>
        </w:rPr>
      </w:pPr>
      <w:r>
        <w:rPr>
          <w:rFonts w:ascii="Arial" w:cs="Arial" w:eastAsia="Arial" w:hAnsi="Arial"/>
          <w:sz w:val="13"/>
          <w:szCs w:val="13"/>
          <w:color w:val="auto"/>
        </w:rPr>
        <w:t>•  Lender selling an aggregate of $67.0 million of the Exchange Stock and $30.0 million of the Exchange Consideration Term Loans to STORY3 and Nexus for an aggregate purchase price of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100965</wp:posOffset>
            </wp:positionV>
            <wp:extent cx="4526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197" w:lineRule="exact"/>
        <w:rPr>
          <w:sz w:val="20"/>
          <w:szCs w:val="20"/>
          <w:color w:val="auto"/>
        </w:rPr>
      </w:pPr>
    </w:p>
    <w:p>
      <w:pPr>
        <w:ind w:left="2500"/>
        <w:spacing w:after="0"/>
        <w:tabs>
          <w:tab w:leader="none" w:pos="4420" w:val="left"/>
        </w:tabs>
        <w:rPr>
          <w:sz w:val="20"/>
          <w:szCs w:val="20"/>
          <w:color w:val="auto"/>
        </w:rPr>
      </w:pPr>
      <w:r>
        <w:rPr>
          <w:rFonts w:ascii="Arial" w:cs="Arial" w:eastAsia="Arial" w:hAnsi="Arial"/>
          <w:sz w:val="14"/>
          <w:szCs w:val="14"/>
          <w:i w:val="1"/>
          <w:iCs w:val="1"/>
          <w:color w:val="auto"/>
        </w:rPr>
        <w:t>Post-Recapitalization Term</w:t>
      </w:r>
      <w:r>
        <w:rPr>
          <w:sz w:val="20"/>
          <w:szCs w:val="20"/>
          <w:color w:val="auto"/>
        </w:rPr>
        <w:tab/>
      </w:r>
      <w:r>
        <w:rPr>
          <w:rFonts w:ascii="Arial" w:cs="Arial" w:eastAsia="Arial" w:hAnsi="Arial"/>
          <w:sz w:val="14"/>
          <w:szCs w:val="14"/>
          <w:color w:val="auto"/>
        </w:rPr>
        <w:t>Following the Recapitalization Transactions, the Investor Group will provide</w:t>
      </w:r>
    </w:p>
    <w:p>
      <w:pPr>
        <w:spacing w:after="0" w:line="15" w:lineRule="exact"/>
        <w:rPr>
          <w:sz w:val="20"/>
          <w:szCs w:val="20"/>
          <w:color w:val="auto"/>
        </w:rPr>
      </w:pPr>
    </w:p>
    <w:p>
      <w:pPr>
        <w:ind w:left="4440" w:right="40" w:hanging="1939"/>
        <w:spacing w:after="0" w:line="241" w:lineRule="auto"/>
        <w:tabs>
          <w:tab w:leader="none" w:pos="4420" w:val="left"/>
        </w:tabs>
        <w:rPr>
          <w:sz w:val="20"/>
          <w:szCs w:val="20"/>
          <w:color w:val="auto"/>
        </w:rPr>
      </w:pPr>
      <w:r>
        <w:rPr>
          <w:rFonts w:ascii="Arial" w:cs="Arial" w:eastAsia="Arial" w:hAnsi="Arial"/>
          <w:sz w:val="14"/>
          <w:szCs w:val="14"/>
          <w:i w:val="1"/>
          <w:iCs w:val="1"/>
          <w:color w:val="auto"/>
        </w:rPr>
        <w:t>Loans</w:t>
      </w:r>
      <w:r>
        <w:rPr>
          <w:sz w:val="20"/>
          <w:szCs w:val="20"/>
          <w:color w:val="auto"/>
        </w:rPr>
        <w:tab/>
      </w:r>
      <w:r>
        <w:rPr>
          <w:rFonts w:ascii="Arial" w:cs="Arial" w:eastAsia="Arial" w:hAnsi="Arial"/>
          <w:sz w:val="14"/>
          <w:szCs w:val="14"/>
          <w:color w:val="auto"/>
        </w:rPr>
        <w:t>an additional $20.0 million in new money term loans on the same terms as the $100.0 million Exchange Consideration Term Loans (the “New Money Term Loans” and, collectively with the Exchange Consideration Term Loans, the “Post-Recapitalization Term Loans”).</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jc w:val="both"/>
        <w:ind w:left="4440" w:right="200"/>
        <w:spacing w:after="0" w:line="249" w:lineRule="auto"/>
        <w:rPr>
          <w:sz w:val="20"/>
          <w:szCs w:val="20"/>
          <w:color w:val="auto"/>
        </w:rPr>
      </w:pPr>
      <w:r>
        <w:rPr>
          <w:rFonts w:ascii="Arial" w:cs="Arial" w:eastAsia="Arial" w:hAnsi="Arial"/>
          <w:sz w:val="14"/>
          <w:szCs w:val="14"/>
          <w:color w:val="auto"/>
        </w:rPr>
        <w:t>The Post-Recapitalization Term Loans will accrue interest at either (i) term SOFR plus 500 basis points or (ii) an agreed reference rate plus 400 basis points, in each case per annum (payable quarterly in cash), with a four-year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6035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93345</wp:posOffset>
            </wp:positionV>
            <wp:extent cx="603504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146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14630"/>
                    </a:xfrm>
                    <a:prstGeom prst="rect">
                      <a:avLst/>
                    </a:prstGeom>
                    <a:noFill/>
                    <a:ln>
                      <a:noFill/>
                    </a:ln>
                  </pic:spPr>
                </pic:pic>
              </a:graphicData>
            </a:graphic>
          </wp:inline>
        </w:drawing>
      </w:r>
      <w:r>
        <w:rPr>
          <w:rFonts w:ascii="Arial" w:cs="Arial" w:eastAsia="Arial" w:hAnsi="Arial"/>
          <w:sz w:val="14"/>
          <w:szCs w:val="14"/>
          <w:b w:val="1"/>
          <w:bCs w:val="1"/>
          <w:color w:val="auto"/>
        </w:rPr>
        <w:t xml:space="preserve"> Key Terms of the Recapitalization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603504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5040" cy="145415"/>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Recapitalization</w:t>
            </w: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Ownership of the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Following the Recapitalization Transactions, the Investor Group will own 86%</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Transaction</w:t>
            </w: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Company</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of our outstanding Common Stock as of the closing of the Recapitalization</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Implications</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Transactions and our existing stockholders will own the remaining 14% of our</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outstanding Common Stock as of the closing of the Recapitalization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Transactions (in each case, after giving effect to the Conversions, but before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giving effect to the Rights Offering and the increased share reserve under the</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Amended Plan).</w:t>
            </w:r>
          </w:p>
        </w:tc>
      </w:tr>
      <w:tr>
        <w:trPr>
          <w:trHeight w:val="143"/>
        </w:trPr>
        <w:tc>
          <w:tcPr>
            <w:tcW w:w="2380" w:type="dxa"/>
            <w:vAlign w:val="bottom"/>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380" w:type="dxa"/>
            <w:vAlign w:val="bottom"/>
            <w:tcBorders>
              <w:bottom w:val="single" w:sz="8" w:color="auto"/>
            </w:tcBorders>
            <w:gridSpan w:val="3"/>
          </w:tcPr>
          <w:p>
            <w:pPr>
              <w:spacing w:after="0"/>
              <w:rPr>
                <w:sz w:val="12"/>
                <w:szCs w:val="12"/>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Implied Conversion</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Recapitalization Transactions imply a conversion price per share of $8.48</w:t>
            </w:r>
          </w:p>
        </w:tc>
      </w:tr>
      <w:tr>
        <w:trPr>
          <w:trHeight w:val="162"/>
        </w:trPr>
        <w:tc>
          <w:tcPr>
            <w:tcW w:w="238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Price per Share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($223.1 million / 26.3 million shares issued in the Recapitalization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Transactions) as of the second fiscal quarter ending July 31, 2025, subject to</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closing of the Recapitalization Transactions.</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Rights Offering</w:t>
            </w: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Timeline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Company to file an S-1 registration statement for the Rights Offering as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soon as practicable following the date of the Exchange Agreement, and in any</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event within 20 business days following such date (i.e., no later than</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September 18, 2025).</w:t>
            </w:r>
          </w:p>
        </w:tc>
      </w:tr>
      <w:tr>
        <w:trPr>
          <w:trHeight w:val="89"/>
        </w:trPr>
        <w:tc>
          <w:tcPr>
            <w:tcW w:w="2380" w:type="dxa"/>
            <w:vAlign w:val="bottom"/>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5380" w:type="dxa"/>
            <w:vAlign w:val="bottom"/>
            <w:tcBorders>
              <w:bottom w:val="single" w:sz="8" w:color="auto"/>
            </w:tcBorders>
            <w:gridSpan w:val="3"/>
          </w:tcPr>
          <w:p>
            <w:pPr>
              <w:spacing w:after="0"/>
              <w:rPr>
                <w:sz w:val="7"/>
                <w:szCs w:val="7"/>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Exercisability</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Each existing stockholder to be provided with a transferrable right to purchase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additional shares of Class A Common Stock on a pro-rata basis, relative to its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ownership interest in the Company as of the record date established in such</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Rights Offering registration statement filed with the SEC.</w:t>
            </w:r>
          </w:p>
        </w:tc>
      </w:tr>
      <w:tr>
        <w:trPr>
          <w:trHeight w:val="265"/>
        </w:trPr>
        <w:tc>
          <w:tcPr>
            <w:tcW w:w="2380" w:type="dxa"/>
            <w:vAlign w:val="bottom"/>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5380" w:type="dxa"/>
            <w:vAlign w:val="bottom"/>
            <w:tcBorders>
              <w:bottom w:val="single" w:sz="8" w:color="auto"/>
            </w:tcBorders>
            <w:gridSpan w:val="3"/>
          </w:tcPr>
          <w:p>
            <w:pPr>
              <w:spacing w:after="0"/>
              <w:rPr>
                <w:sz w:val="23"/>
                <w:szCs w:val="23"/>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Price per Share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Rights Offering subscription price per share to be equal to $4.08,</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representing a 20% discount to the average volume weighted average price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of the Class A Common Stock over the 30-day trading period ending on the</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trading day immediately preceding the date of the Exchange Agreement.</w:t>
            </w:r>
          </w:p>
        </w:tc>
      </w:tr>
      <w:tr>
        <w:trPr>
          <w:trHeight w:val="265"/>
        </w:trPr>
        <w:tc>
          <w:tcPr>
            <w:tcW w:w="2380" w:type="dxa"/>
            <w:vAlign w:val="bottom"/>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5380" w:type="dxa"/>
            <w:vAlign w:val="bottom"/>
            <w:tcBorders>
              <w:bottom w:val="single" w:sz="8" w:color="auto"/>
            </w:tcBorders>
            <w:gridSpan w:val="3"/>
          </w:tcPr>
          <w:p>
            <w:pPr>
              <w:spacing w:after="0"/>
              <w:rPr>
                <w:sz w:val="23"/>
                <w:szCs w:val="23"/>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Gross Proceeds Cap</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Total gross proceeds to be capped at $12.5 million, and all net proceeds to go</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to the Company’s balance sheet.</w:t>
            </w:r>
          </w:p>
        </w:tc>
      </w:tr>
      <w:tr>
        <w:trPr>
          <w:trHeight w:val="49"/>
        </w:trPr>
        <w:tc>
          <w:tcPr>
            <w:tcW w:w="23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3"/>
          </w:tcPr>
          <w:p>
            <w:pPr>
              <w:spacing w:after="0"/>
              <w:rPr>
                <w:sz w:val="4"/>
                <w:szCs w:val="4"/>
                <w:color w:val="auto"/>
              </w:rPr>
            </w:pPr>
          </w:p>
        </w:tc>
      </w:tr>
      <w:tr>
        <w:trPr>
          <w:trHeight w:val="228"/>
        </w:trPr>
        <w:tc>
          <w:tcPr>
            <w:tcW w:w="238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Backstop</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Investor Group to backstop 100% of the Rights Offering.</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Amended Plan</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An increase in the maximum number of shares of Class A Common Stock</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authorized for issuance under the 2021 Plan and extension of the expiration</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date of the 2021 Plan.</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Conversion of</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All holders of the outstanding Class B Common Stock have agreed to convert</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Class B</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their respective shares of Class B Common Stock into shares of Class A</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Common Stock</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Common Stock on a one-for-one basis, contingent upon the consummation of</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Recapitalization Transactions.</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Board of</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reconstituted Board of Directors to consist of seven directors, including:</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Directors</w:t>
            </w: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Jennifer Hyman;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one representative of STORY3 (Peter Comisar);</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one representative of Nexus (Damian Giangiacomo);</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one incumbent director to be selected by Jennifer Hyman and approved</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by a majority of all issued and outstanding shares of Class A Common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Stock held by each of Jennifer Hyman, Lender, Nexus and STORY3</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(collectively, the “Investor Majority”); and</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three independent directors to be selected by the Investor Majority.</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Approvals &amp;</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Recapitalization Transactions to be subject to customary approvals and</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Closing</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closing conditions, including:</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Conditions</w:t>
            </w: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approval by the requisite vote of the stockholders entitled to vote at the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Special Meeting of each of the Term Loan Conversion Proposal, the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Backstop Proposal and the Plan Amendment Proposal described in this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Proxy Statement;</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absence of legal injunctions or restraints;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consummation of the Rights Offering, to be backstopped in full by the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Investor Group;</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substantially concurrent closing of the sale of Exchange Stock and</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Exchange Consideration Term Loans by our Lender to STORY3 and</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Nexus;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execution and effectiveness of the New Credit Agreement;</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adoption of amended and restated bylaws;</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93345</wp:posOffset>
            </wp:positionV>
            <wp:extent cx="603504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146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14630"/>
                    </a:xfrm>
                    <a:prstGeom prst="rect">
                      <a:avLst/>
                    </a:prstGeom>
                    <a:noFill/>
                    <a:ln>
                      <a:noFill/>
                    </a:ln>
                  </pic:spPr>
                </pic:pic>
              </a:graphicData>
            </a:graphic>
          </wp:inline>
        </w:drawing>
      </w:r>
      <w:r>
        <w:rPr>
          <w:rFonts w:ascii="Arial" w:cs="Arial" w:eastAsia="Arial" w:hAnsi="Arial"/>
          <w:sz w:val="14"/>
          <w:szCs w:val="14"/>
          <w:b w:val="1"/>
          <w:bCs w:val="1"/>
          <w:color w:val="auto"/>
        </w:rPr>
        <w:t xml:space="preserve"> Key Terms of the Recapitalization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603504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5040" cy="145415"/>
                    </a:xfrm>
                    <a:prstGeom prst="rect">
                      <a:avLst/>
                    </a:prstGeom>
                    <a:noFill/>
                  </pic:spPr>
                </pic:pic>
              </a:graphicData>
            </a:graphic>
          </wp:anchor>
        </w:drawing>
      </w:r>
    </w:p>
    <w:p>
      <w:pPr>
        <w:spacing w:after="0" w:line="25" w:lineRule="exact"/>
        <w:rPr>
          <w:sz w:val="20"/>
          <w:szCs w:val="20"/>
          <w:color w:val="auto"/>
        </w:rPr>
      </w:pPr>
    </w:p>
    <w:p>
      <w:pPr>
        <w:ind w:left="4780" w:right="220" w:hanging="331"/>
        <w:spacing w:after="0" w:line="267" w:lineRule="auto"/>
        <w:tabs>
          <w:tab w:leader="none" w:pos="4586" w:val="left"/>
        </w:tabs>
        <w:numPr>
          <w:ilvl w:val="0"/>
          <w:numId w:val="9"/>
        </w:numPr>
        <w:rPr>
          <w:rFonts w:ascii="Arial" w:cs="Arial" w:eastAsia="Arial" w:hAnsi="Arial"/>
          <w:sz w:val="13"/>
          <w:szCs w:val="13"/>
          <w:color w:val="auto"/>
        </w:rPr>
      </w:pPr>
      <w:r>
        <w:rPr>
          <w:rFonts w:ascii="Arial" w:cs="Arial" w:eastAsia="Arial" w:hAnsi="Arial"/>
          <w:sz w:val="13"/>
          <w:szCs w:val="13"/>
          <w:color w:val="auto"/>
        </w:rPr>
        <w:t>•  customary bringdown of the representations, warranties and covenants set forth in the transaction documents contemplated by the Exchange Agreement; and</w:t>
      </w:r>
    </w:p>
    <w:p>
      <w:pPr>
        <w:spacing w:after="0" w:line="1" w:lineRule="exact"/>
        <w:rPr>
          <w:rFonts w:ascii="Arial" w:cs="Arial" w:eastAsia="Arial" w:hAnsi="Arial"/>
          <w:sz w:val="13"/>
          <w:szCs w:val="13"/>
          <w:color w:val="auto"/>
        </w:rPr>
      </w:pPr>
    </w:p>
    <w:p>
      <w:pPr>
        <w:ind w:left="4780" w:right="560" w:hanging="331"/>
        <w:spacing w:after="0" w:line="303" w:lineRule="auto"/>
        <w:tabs>
          <w:tab w:leader="none" w:pos="4586" w:val="left"/>
        </w:tabs>
        <w:numPr>
          <w:ilvl w:val="0"/>
          <w:numId w:val="9"/>
        </w:numPr>
        <w:rPr>
          <w:rFonts w:ascii="Arial" w:cs="Arial" w:eastAsia="Arial" w:hAnsi="Arial"/>
          <w:sz w:val="13"/>
          <w:szCs w:val="13"/>
          <w:color w:val="auto"/>
        </w:rPr>
      </w:pPr>
      <w:r>
        <w:rPr>
          <w:rFonts w:ascii="Arial" w:cs="Arial" w:eastAsia="Arial" w:hAnsi="Arial"/>
          <w:sz w:val="13"/>
          <w:szCs w:val="13"/>
          <w:color w:val="auto"/>
        </w:rPr>
        <w:t>•  no Company Material Adverse Effect (as defined in the Exchange Agreement)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wp:posOffset>
            </wp:positionV>
            <wp:extent cx="6035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Term Loan Conversion</w:t>
      </w:r>
    </w:p>
    <w:p>
      <w:pPr>
        <w:spacing w:after="0" w:line="199"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Pursuant to the Exchange Agreement, Lender would exchange (a) $100.0 million of existing outstanding indebtedness owing by the Company to Lender under the Existing Credit Agreement on a dollar-for-dollar and cashless basis for new term loans under the New Credit Agreement and (b) contribute the Equity Exchange Obligations to the Company in exchange for newly issued shares of Class A Common Stock, equal to 86% of our outstanding Common Stock as of the closing of the Recapitalization Transactions (after giving effect to the Conversions, but before giving effect to the Rights Offering and the increased share reserve under the Amended Plan).</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Exchange Agreement</w:t>
      </w:r>
    </w:p>
    <w:p>
      <w:pPr>
        <w:spacing w:after="0" w:line="212" w:lineRule="exact"/>
        <w:rPr>
          <w:sz w:val="20"/>
          <w:szCs w:val="20"/>
          <w:color w:val="auto"/>
        </w:rPr>
      </w:pPr>
    </w:p>
    <w:p>
      <w:pPr>
        <w:ind w:left="20" w:right="40"/>
        <w:spacing w:after="0" w:line="253" w:lineRule="auto"/>
        <w:rPr>
          <w:sz w:val="20"/>
          <w:szCs w:val="20"/>
          <w:color w:val="auto"/>
        </w:rPr>
      </w:pPr>
      <w:r>
        <w:rPr>
          <w:rFonts w:ascii="Arial" w:cs="Arial" w:eastAsia="Arial" w:hAnsi="Arial"/>
          <w:sz w:val="17"/>
          <w:szCs w:val="17"/>
          <w:color w:val="auto"/>
        </w:rPr>
        <w:t>Under the Exchange Agreement, the closing of the Recapitalization Transactions is not subject to a financing condition, but is subject to certain customary conditions to closing, including (i) approval of our stockholders of the Required Proposals (the “Company Stockholder Approval”), (ii) absence of any order or injunction prohibiting the consummation of the Recapitalization Transactions, (iii) consummation of the Rights Offering, (iv) substantially simultaneous consummation of the sale transactions contemplated by the Debt and Equity Purchase Agreement (as defined below),</w:t>
      </w:r>
    </w:p>
    <w:p>
      <w:pPr>
        <w:ind w:left="20" w:right="420" w:firstLine="1"/>
        <w:spacing w:after="0" w:line="239"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by us and the Investor Group into the New Credit Agreement and effectiveness thereof, (vi) adoption of amended and restated bylaws of the Company, (vii) subject in certain cases to customary materiality qualifiers, the accuracy of the representations and warranties contained in the Exchange Agreement and compliance with the covenants contained in the Exchange Agreement and (viii) no Company Material Adverse Effect (as defined in the Exchange Agreement) having occurred since the date of the Exchange Agreement that is continuing.</w:t>
      </w:r>
    </w:p>
    <w:p>
      <w:pPr>
        <w:spacing w:after="0" w:line="13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Exchange Agreement contains customary representations, warranties and covenants, including, among others, covenants by us to conduct our businesses in the ordinary course between the execution of the Exchange Agreement and the closing, not to engage in certain kinds of transactions during such period (including payment of dividends outside of the ordinary course or as otherwise permitted under the Exchange Agreement), to convene and hold a meeting of our stockholders to consider and vote upon the proposals in this Proxy Statement, to seek approval from our stockholders of the Amended and Restated Charter, to conduct the Rights Offering, and, subject to certain customary exceptions, for the Board to recommend that our stockholders approve the issuance of the Exchange Stock pursuant to the Exchange Agreement, and to the extent required by Nasdaq rules, the issuance of shares issuable pursuant to the Rights Offering Backstop Agreement. The Exchange Agreement also contains customary representations, warranties and covenants of our Lender.</w:t>
      </w:r>
    </w:p>
    <w:p>
      <w:pPr>
        <w:spacing w:after="0" w:line="139" w:lineRule="exact"/>
        <w:rPr>
          <w:sz w:val="20"/>
          <w:szCs w:val="20"/>
          <w:color w:val="auto"/>
        </w:rPr>
      </w:pPr>
    </w:p>
    <w:p>
      <w:pPr>
        <w:ind w:left="20" w:right="260"/>
        <w:spacing w:after="0"/>
        <w:rPr>
          <w:sz w:val="20"/>
          <w:szCs w:val="20"/>
          <w:color w:val="auto"/>
        </w:rPr>
      </w:pPr>
      <w:r>
        <w:rPr>
          <w:rFonts w:ascii="Arial" w:cs="Arial" w:eastAsia="Arial" w:hAnsi="Arial"/>
          <w:sz w:val="18"/>
          <w:szCs w:val="18"/>
          <w:color w:val="auto"/>
        </w:rPr>
        <w:t>The Exchange Agreement contains a customary “no-shop” provision that restricts our ability to, among other things, solicit Takeover Proposals (as defined in the Exchange Agreement) from third parties and to provide non-public information to, and engage in discussions or negotiations with, third parties regarding Takeover Proposals. The “no-shop” provision allows us, under certain circumstances and in compliance with certain obligations set forth in the Exchange Agreement, to provide non-public information to any person and its representatives that has made a bona fide Takeover Proposal that either constitutes, or would reasonably be expected to lead to, a Superior Proposal (as defined in the Exchange Agreement).</w:t>
      </w:r>
    </w:p>
    <w:p>
      <w:pPr>
        <w:spacing w:after="0" w:line="15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Exchange Agreement contains certain termination rights for both us and Lender. We are required to pay to Lender a fee of $6.0 million if: (i) Lender terminates the Exchange Agreement as a result of an Adverse Recommendation Change (as defined in the Exchange Agreement) by the Board; (ii) we terminate the Exchange Agreement to enter into a definitive agreement for a Superior Proposal; or (iii) a Takeover Proposal has been made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and thereafter (x) the Exchange Agreement is terminated as a result of (I) the Recapitalization Transactions not having been consummated on or before 11:59 p.m., Eastern time, on February 20, 2026 (as such date may be extended pursuant to any written agreement to so extend that is executed by us and Lender), (II) Company Stockholder Approval not having been obtained, (III) our breach of our representations, warranties or covenants in a manner that would cause the related conditions to closing to not be met or (IV) a Proxy Stockholder having rescinded, revoked, withdrawn, repudiated or challenged the validity or effectiveness of their respective conversion notices or Proxy (a “Proxy Revocation”), and (y) within 12 months of such termination we or any of our subsidiaries consummates a specified Takeover Proposal or enter into a definitive agreement providing for a specified Takeover Proposal. We are required to pay to Lender a fee of $2.0 million if Lender terminates the Exchange Agreement as a result of a Proxy Revocation (which would be creditable against the $6.0 million termination fee, if payable). The Exchange Agreement also provides that either party may specifically enforce the other party’s obligations under the Exchange Agreement.</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the Exchange Agreement, Lender and the Company are required to take all actions as may be necessary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cause, upon the closing, the Board to consist of seven members, including Ms. Hyman, a director selected by</w:t>
      </w:r>
    </w:p>
    <w:p>
      <w:pPr>
        <w:ind w:left="20"/>
        <w:spacing w:after="0" w:line="234" w:lineRule="auto"/>
        <w:rPr>
          <w:sz w:val="20"/>
          <w:szCs w:val="20"/>
          <w:color w:val="auto"/>
        </w:rPr>
      </w:pPr>
      <w:r>
        <w:rPr>
          <w:rFonts w:ascii="Arial" w:cs="Arial" w:eastAsia="Arial" w:hAnsi="Arial"/>
          <w:sz w:val="18"/>
          <w:szCs w:val="18"/>
          <w:color w:val="auto"/>
        </w:rPr>
        <w:t>Ms. Hyman and approved by the Investor Majority, a director designated by Nexus, a director designated by STORY3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three directors designated by the Board and subject to the approval of the Investor Majority.</w:t>
      </w:r>
    </w:p>
    <w:p>
      <w:pPr>
        <w:spacing w:after="0" w:line="153"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The description of the terms of the Exchange Agreement does not purport to be complete and is qualified in its entirety by the full text of the agreement, a copy of which is attached hereto as Exhibit A.</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New Credit Agreement</w:t>
      </w:r>
    </w:p>
    <w:p>
      <w:pPr>
        <w:spacing w:after="0" w:line="199" w:lineRule="exact"/>
        <w:rPr>
          <w:sz w:val="20"/>
          <w:szCs w:val="20"/>
          <w:color w:val="auto"/>
        </w:rPr>
      </w:pPr>
    </w:p>
    <w:p>
      <w:pPr>
        <w:ind w:left="20"/>
        <w:spacing w:after="0" w:line="256" w:lineRule="auto"/>
        <w:rPr>
          <w:sz w:val="20"/>
          <w:szCs w:val="20"/>
          <w:color w:val="auto"/>
        </w:rPr>
      </w:pPr>
      <w:r>
        <w:rPr>
          <w:rFonts w:ascii="Arial" w:cs="Arial" w:eastAsia="Arial" w:hAnsi="Arial"/>
          <w:sz w:val="17"/>
          <w:szCs w:val="17"/>
          <w:color w:val="auto"/>
        </w:rPr>
        <w:t>The New Credit Agreement, when entered into in accordance with the terms of the Exchange Agreement, will amend and restate the Existing Credit Agreement and provide for $120.0 million in aggregate principal amount of term loans comprised of (x) $100.0 million of Exchange Consideration Term Loans and (y) $ 20.0 million of New Money Term Loans. All such term loans would mature on the fourth anniversary of the closing and bear interest, at our option, at either (i) an agreed reference rate, plus 4.00% or (ii) term SOFR plus 5.00%, in each case per annum. The New Credit Agreement would also modify the Existing Credit Agreement in certain other respects, including by temporarily reducing the Minimum Liquidity Covenant level from $30.0 million to $15.0 million, which reduced minimum liquidity maintenance covenant applies during the period from the closing until February 20, 2027, and will thereafter revert to $30.0 million.</w:t>
      </w:r>
    </w:p>
    <w:p>
      <w:pPr>
        <w:spacing w:after="0" w:line="141"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description of the terms of the New Credit Agreement does not purport to be complete and is qualified in its entirety by the full text of the form of such agreement attached to the Exchange Agreement, which is attached hereto as Exhibit B hereto.</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Debt and Equity Purchase Agreement</w:t>
      </w:r>
    </w:p>
    <w:p>
      <w:pPr>
        <w:spacing w:after="0" w:line="199"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In connection with our entry into the Exchange Agreement, we also entered into a debt and equity purchase agreement (as it may be amended from time to time in accordance with its terms, the “Debt and Equity Purchase Agreement”), by and among us, Agent and the Investor Group. Pursuant to the Debt and Equity Purchase Agreement, subject to the terms and conditions thereof, each of Nexus and STORY3 has agreed to enter into the New Credit Agreement, to provide its share of the New Money Term Loans, and to purchase (i) $ 15.0 million of the Exchange Consideration Term Loans and (ii) 15% of the Exchange Stock from Lender, in each case, for an aggregate purchase price of $15.0 million immediately following the closing. Consummation of the sale transactions under the Debt and Equity Purchase Agreement is conditioned only on the substantially concurrent closing of the transactions contemplated by the Exchange Agreement.</w:t>
      </w:r>
    </w:p>
    <w:p>
      <w:pPr>
        <w:spacing w:after="0" w:line="143"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The description of the terms of the Debt and Equity Purchase Agreement does not purport to be complete and is qualified in its entirety by the full text of the agreement.</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Investor Rights Agreement</w:t>
      </w:r>
    </w:p>
    <w:p>
      <w:pPr>
        <w:spacing w:after="0" w:line="199"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In connection with the Exchange Agreement, we also entered into an investor rights agreement (as it may be amended from time to time in accordance with its terms, the “Investor Rights Agreement”), by and among us, the Investor Group and certain entities affiliated with Ms. Hyman. Pursuant to the Investor Rights Agreement, which takes effect upon the closing of the Recapitalization Transactions, we will be required to prepare and file with the SEC, within 20 days following the closing of the Recapitalization Transactions, a shelf registration statement registering the resale of Class A Common Stock held by Ms. Hyman and the Investor Group, and the Investor Rights Agreement will grant certain demand, piggyback and shelf registration rights to Ms. Hyman and the Investor Group.</w:t>
      </w:r>
    </w:p>
    <w:p>
      <w:pPr>
        <w:spacing w:after="0" w:line="144"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 xml:space="preserve">The Investor Rights Agreement also provides for certain Board designation rights of the Investor Group and Ms. Hyman following the closing of the Recapitalization Transactions. Pursuant to the Investor Rights Agreement, for so long as they meet certain minimum ownership thresholds, each of Nexus and STORY3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provides that, so long as Ms. Hyman serves as Chief Executive Officer of the Company, she will be designated as a member of the Board, and, for so long as she continues to own a specified minimum number of shares of Class A Common Stock, Ms. Hyman will be entitled to appoint one additional director to the Board, subject to the reasonable approval of the Investor Majority. Subject to certain minimum ownership thresholds, each of Ms. Hyman, Nexus and STORY3 would also be entitled to appoint a non-voting Board observer, and Lender would be entitled to appoint two non-voting Board observers; </w:t>
      </w:r>
      <w:r>
        <w:rPr>
          <w:rFonts w:ascii="Arial" w:cs="Arial" w:eastAsia="Arial" w:hAnsi="Arial"/>
          <w:sz w:val="18"/>
          <w:szCs w:val="18"/>
          <w:u w:val="single" w:color="auto"/>
          <w:color w:val="auto"/>
        </w:rPr>
        <w:t>provided</w:t>
      </w:r>
      <w:r>
        <w:rPr>
          <w:rFonts w:ascii="Arial" w:cs="Arial" w:eastAsia="Arial" w:hAnsi="Arial"/>
          <w:sz w:val="18"/>
          <w:szCs w:val="18"/>
          <w:color w:val="auto"/>
        </w:rPr>
        <w:t>, that (i) each of STORY3 and Nexus shall have the right to designate one Board observer in total pursuant to the Investor Rights Agreement and the New Credit Agreement and (ii) Lender shall have the right to designate two Board observers in total pursuant to the Investor Rights Agreement and the New Credit Agreement.</w:t>
      </w:r>
    </w:p>
    <w:p>
      <w:pPr>
        <w:spacing w:after="0" w:line="162"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The Investor Rights Agreement also provides for certain information and access rights for Major Investors (as defined in the Investor Rights Agreement).</w:t>
      </w:r>
    </w:p>
    <w:p>
      <w:pPr>
        <w:spacing w:after="0" w:line="113"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The description of the terms of the Investor Rights Agreement does not purport to be complete and is qualified in its entirety by the full text of the agreement, a copy of which is attached hereto as Exhibit C.</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Conversion Notice and Proxy</w:t>
      </w:r>
    </w:p>
    <w:p>
      <w:pPr>
        <w:spacing w:after="0" w:line="19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Pursuant to the Exchange Agreement, all of the Proxy Stockholders executed and delivered Conversion Notices, pursuant to which, among other things, each Proxy Stockholder (i) opted to convert his, her or its respective shares of Class B Common Stock into shares of Class A Common Stock effective immediately prior to (A) the effectiveness of the Thirteenth Amended and Restated Charter, or (B) if the Charter Amendment Proposal is not approved at the Special Meeting, the closing of the Recapitalization Transactions, and (ii) granted to certain officers of the Company, at the request of the Board (which is required to be requested pursuant to the Exchange Agreement), a proxy to vote (or cause to be voted) all shares of Common Stock held by such Proxy Stockholder at the Special Meeting in favor of each proposal contained in this Proxy Statement. As a result, we will no longer have any Class B Common Stock outstanding once the Thirteenth Amended and Restated Charter becomes effective or the Recapitalization Transactions close, as applicable. As of the Record Date, our stockholders who delivered the Proxies collectively owned (i) approximately 2.2% of the outstanding shares of Class A Common Stock and (ii) 100% of the outstanding shares of Class B Common Stock entitled to vote at the Special Meeting. As of the Record Date, these shares represented approximately 45.2% of the voting power of the outstanding Common Stock.</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Opinion of BTIG, LLC</w:t>
      </w:r>
    </w:p>
    <w:p>
      <w:pPr>
        <w:spacing w:after="0" w:line="199"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In making their determination with respect to the Term Loan Conversion, the Finance Committee and the Board also considered the financial analyses prepared by BTIG, and the opinion of BTIG as of August 20, 2025, as to the fairness, from a financial point of view, to the holders of Class A Common Stock (exclusive of any Class A Common Stock held by Lender or its affiliates) of the issuance of the Exchange Stock to Lender by RTR in exchange for the Equity Exchange Obligations pursuant to the Exchange Agreement.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Finance Committee and the Board retained BTIG to provide a fairness opinion in connection with their consideration of the Term Loan Conversion. In selecting BTIG, the Finance Committee and the Board considered, among other things, the fact that BTIG is a reputable investment banking firm with substantial experience advising companies in the consumer sectors and providing strategic advisory services in general. 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spacing w:after="0" w:line="158" w:lineRule="exact"/>
        <w:rPr>
          <w:sz w:val="20"/>
          <w:szCs w:val="20"/>
          <w:color w:val="auto"/>
        </w:rPr>
      </w:pPr>
    </w:p>
    <w:p>
      <w:pPr>
        <w:ind w:left="20" w:right="160"/>
        <w:spacing w:after="0"/>
        <w:rPr>
          <w:sz w:val="20"/>
          <w:szCs w:val="20"/>
          <w:color w:val="auto"/>
        </w:rPr>
      </w:pPr>
      <w:r>
        <w:rPr>
          <w:rFonts w:ascii="Arial" w:cs="Arial" w:eastAsia="Arial" w:hAnsi="Arial"/>
          <w:sz w:val="18"/>
          <w:szCs w:val="18"/>
          <w:color w:val="auto"/>
        </w:rPr>
        <w:t>On August 20, 2025, at meetings of the Finance Committee and, subsequently, the Board held to evaluate the proposed Term Loan Conversion, BTIG delivered an oral opinion, subsequently confirmed by delivery of a written opinion to the Finance Committee and the Board, to the effect that, as of that date and based upon and subject to the various limitations, qualifications, assumptions, conditions and other matters set forth in such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44"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The full text of the written opinion of BTIG, dated August 20, 2025, which sets forth the assumptions made, procedures followed, matters considered, limitations on the review undertaken and qualifications contained in connection with its opinion, is attached to this proxy statement as Exhibit G and is incorporated herein by reference in its entirety. The following summary of BTIG’s opinion in this proxy statement is qualified in its entirety by reference to the full text of BTIG’s opinion. Stockholders are urged to read BTIG’s opinion carefully and in its entirety. BTIG provided its opinion for the information of, and directed its opinion to, the Finance Committee and the Board for their information and assistance in connection with their consideration of the financial terms of the Term Loan Conversion. BTIG’s opinion was not intended to and does not constitute a recommendation to the Finance Committee or the Board as to how the Finance Committee or the Board should vote on the Term Loan Conversion or to any stockholder of RTR as to how any such stockholder should vote at any stockholders’ meeting at which the Term Loan Conversion or any related transactions may be considered, or whether or not any stockholder of RTR should enter into a proxy, conversion, voting, stockholders’ or affiliates’ agreement with respect to or following the Term Loan Conversion, or exercise any redemption, repurchase, exchange or similar rights that may be available to such stockholder.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rendering its opinion, BTIG has, among other things: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 execution version of the Exchange Agreement;</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discussed the Term Loan Conversion and related matters with RTR’s management;</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the audited financial statements of RTR for the two fiscal years ended January 31, 2025;</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other publicly available information concerning RTR;</w:t>
      </w:r>
    </w:p>
    <w:p>
      <w:pPr>
        <w:ind w:left="740" w:right="32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non-public projected financial and operating data relating to RTR prepared and furnished to BTIG by management of RTR;</w:t>
      </w:r>
    </w:p>
    <w:p>
      <w:pPr>
        <w:spacing w:after="0" w:line="1" w:lineRule="exact"/>
        <w:rPr>
          <w:rFonts w:ascii="Arial" w:cs="Arial" w:eastAsia="Arial" w:hAnsi="Arial"/>
          <w:sz w:val="18"/>
          <w:szCs w:val="18"/>
          <w:color w:val="auto"/>
        </w:rPr>
      </w:pPr>
    </w:p>
    <w:p>
      <w:pPr>
        <w:ind w:left="740" w:right="6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discussed with RTR’s management the historical and current business operations, financial condition and prospects of RTR (including their views on the risks and uncertainties of achieving such projections) and such other matters as BTIG deemed relevant;</w:t>
      </w:r>
    </w:p>
    <w:p>
      <w:pPr>
        <w:spacing w:after="0" w:line="2" w:lineRule="exact"/>
        <w:rPr>
          <w:rFonts w:ascii="Arial" w:cs="Arial" w:eastAsia="Arial" w:hAnsi="Arial"/>
          <w:sz w:val="18"/>
          <w:szCs w:val="18"/>
          <w:color w:val="auto"/>
        </w:rPr>
      </w:pPr>
    </w:p>
    <w:p>
      <w:pPr>
        <w:ind w:left="740" w:right="32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concerning the terms of selected transactions that BTIG considered relevant to its analysis;</w:t>
      </w:r>
    </w:p>
    <w:p>
      <w:pPr>
        <w:spacing w:after="0" w:line="1" w:lineRule="exact"/>
        <w:rPr>
          <w:rFonts w:ascii="Arial" w:cs="Arial" w:eastAsia="Arial" w:hAnsi="Arial"/>
          <w:sz w:val="18"/>
          <w:szCs w:val="18"/>
          <w:color w:val="auto"/>
        </w:rPr>
      </w:pPr>
    </w:p>
    <w:p>
      <w:pPr>
        <w:ind w:left="740" w:right="32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stock market data relating to selected public companies that BTIG considered relevant to its analysis;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RTR’s Class A Common Stock;</w:t>
      </w: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enterprise value of RTR implied by the various financial analyses BTIG conducted;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740" w:right="80" w:hanging="359"/>
        <w:spacing w:after="0" w:line="24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BTIG deemed necessary or appropriate for purposes of its opinion; and</w:t>
      </w:r>
    </w:p>
    <w:p>
      <w:pPr>
        <w:jc w:val="both"/>
        <w:ind w:left="740" w:right="140" w:hanging="359"/>
        <w:spacing w:after="0" w:line="242"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taken into account its assessment of general economic, market and financial conditions and its experience in other transactions, as well as BTIG’s experience in securities valuations and its knowledge of RTR’s industry generally.</w:t>
      </w:r>
    </w:p>
    <w:p>
      <w:pPr>
        <w:spacing w:after="0" w:line="152"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In rendering its opinion, BTIG has relied upon and assumed, with RTR’s acknowledgement and consent, without independent investigation or verification, the accuracy and completeness of all of the financial and other information that was provided to BTIG by or on behalf of RTR, or that was otherwise reviewed by BTIG, and BTIG has not assumed any responsibility for independently verifying any of such information. With respect to the non-public projected financial and operating data relating to RTR prepared and furnished to BTIG by management of RTR, BTIG has assumed, at the direction of RTR, that they were reasonably prepared on the basis of reflecting the best currently available estimates and judgments of the management of RTR as to the future operating and financial performance of RTR and that they provided a reasonable basis upon which BTIG could form its opinion. All projected financial information is based on numerous variables and assumptions that are inherently uncertain, including, without limitation, factors related to general economic and competitive conditions. Accordingly, actual results could vary significantly from those set forth in such projected financial information. BTIG has relied on this projected information without independent verification or analysis and does not in any respect assume any responsibility for the accuracy or completeness thereof.</w:t>
      </w:r>
    </w:p>
    <w:p>
      <w:pPr>
        <w:spacing w:after="0" w:line="140"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BTIG also assumed that there were no material changes in the assets, liabilities, financial condition, results of operations, business or prospects of RTR since the date of the last financial statements made available to BTIG. BTIG did not make or obtain any independent evaluation, appraisal or physical inspection of RTR’s assets or liabilities, nor was BTIG furnished with any such evaluation or appraisal. Estimates of values of companies and assets do not purport to be appraisals or necessarily reflect the prices at which companies or assets may actually be sold. Because such estimates are inherently subject to uncertainty, BTIG assumes no responsibility for their accuracy.</w:t>
      </w:r>
    </w:p>
    <w:p>
      <w:pPr>
        <w:spacing w:after="0" w:line="138"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BTIG assumed, with RTR’s consent, that there are no factors that would delay or subject to any adverse conditions any necessary regulatory or governmental approval and that all conditions to the Term Loan Conversion will be satisfied and not waived. BTIG also assumed that the Term Loan Conversion would be consummated substantially on the terms and conditions described in the Exchange Agreement, including the Rights Offering, the Conversion and the issuance of RSUs and PSUs described in the section entitled “Initial Grants under the Amended Plan”, without any waiver of material terms or conditions by RTR or any other party, and that obtaining any necessary regulatory approvals or satisfying any other conditions for consummation of the Term Loan Conversion would not have an adverse effect on RTR or the Term Loan Conversion. BTIG also assumed that the Term Loan Conversion would be consummated in a manner that complies with the applicable provisions of the Securities Act of 1933, as amended, the Securities Exchange Act of 1934, as amended, and all other applicable federal and state statutes, rules and regulations and all other laws applicable to RTR. BTIG further assumed that RTR relied upon the advice of its counsel, independent accountants and other advisors (other than BTIG) as to all legal, financial reporting, tax, accounting and regulatory matters with respect to RTR, the Term Loan Conversion and the Exchange Agreement. For the avoidance of doubt, the independent accountants referred to in BTIG’s opinion were intended by BTIG and the Company to be professional accounting advisors to the Company generally, without considering any particular meaning to the term “independent accountant” or identifying specifically any particular assessment made by any such professional accounting advisor for such purposes, and BTIG did not receive or rely on the advice of the Company’s auditors.</w:t>
      </w:r>
    </w:p>
    <w:p>
      <w:pPr>
        <w:spacing w:after="0" w:line="157"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BTIG’s opinion is limited to whether, as of the date thereof,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 and does not address any other terms, aspects or implications of the Term Loan Conversion or any other transactions, including, without limitation, the form or structure of the Term Loan Conversion, any consequences of the Term Loan Conversion or any other transactions on RTR, its stockholders, creditors or any other constituencies of RTR, or any terms, aspects or implications of any voting, support, stockholder, credit or other agreements, arrangements or understandings contemplated or entered into in connection with the Term Loan Conversion or otherwise, including the Debt and Equity Purchase Agreement, the Investor Rights Agreement or the New Credit Agreement. BTIG’s opinion also did not consider, address or include:</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80" w:firstLine="1"/>
        <w:spacing w:after="0" w:line="242" w:lineRule="auto"/>
        <w:tabs>
          <w:tab w:leader="none" w:pos="2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strategic alternatives currently (or which have been or may be) contemplated by RTR; (ii) the legal, tax or accounting consequences of the Term Loan Conversion on RTR, its stockholders or any other party; (iii) the fairness of the amount or nature of any compensation to any officers, directors or employees of RTR, or any class of any such person, including pursuant to the 2021 Plan, as amended by the Plan Amendment Proposal, relative to the compensation paid to any other party; or (iv) the fairness of the amount or nature of any securities being sold by RTR pursuant to the Rights Offering or the Rights Offering Backstop Agreement.</w:t>
      </w:r>
    </w:p>
    <w:p>
      <w:pPr>
        <w:spacing w:after="0" w:line="152" w:lineRule="exact"/>
        <w:rPr>
          <w:sz w:val="20"/>
          <w:szCs w:val="20"/>
          <w:color w:val="auto"/>
        </w:rPr>
      </w:pPr>
    </w:p>
    <w:p>
      <w:pPr>
        <w:jc w:val="both"/>
        <w:ind w:left="20" w:right="120"/>
        <w:spacing w:after="0" w:line="247" w:lineRule="auto"/>
        <w:rPr>
          <w:sz w:val="20"/>
          <w:szCs w:val="20"/>
          <w:color w:val="auto"/>
        </w:rPr>
      </w:pPr>
      <w:r>
        <w:rPr>
          <w:rFonts w:ascii="Arial" w:cs="Arial" w:eastAsia="Arial" w:hAnsi="Arial"/>
          <w:sz w:val="18"/>
          <w:szCs w:val="18"/>
          <w:color w:val="auto"/>
        </w:rPr>
        <w:t>Furthermore, BTIG expressed no opinion as to the prices, trading range or volume at which RTR’s securities will trade following public announcement or consummation of the Term Loan Conversion or other transactions contemplated by the Exchange Agreement or related agreements. BTIG was not requested to, and did not, participate in the structuring or negotiation of the Term Loan Conversion or of such transactions.</w:t>
      </w:r>
    </w:p>
    <w:p>
      <w:pPr>
        <w:spacing w:after="0" w:line="133"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BTIG’s opinion is necessarily based on economic, market, financial and other conditions as they existed on August 20, 2025, and on the information made available to BTIG by or on behalf of RTR or its advisors, or information otherwise reviewed by BTIG, as of the date of BTIG’s opinion. Subsequent developments may affect the conclusion reached in BTIG’s opinion and BTIG does not have any obligation to update, revise or reaffirm its opinion. Further, the credit, financial and stock markets are often affected by periods of volatility and BTIG expressed no opinion or view as to any potential effects of such volatility on RTR or the terms of the Term Loan Conversion. In addition, BTIG’s opinion did not compare the relative merits of the Term Loan Conversion with any other alternative transactions or business strategies which may have been available to RTR and did not address the underlying business decision of the Finance Committee and the Board or RTR to proceed with or effect the Term Loan Conversion.</w:t>
      </w:r>
    </w:p>
    <w:p>
      <w:pPr>
        <w:spacing w:after="0" w:line="143" w:lineRule="exact"/>
        <w:rPr>
          <w:sz w:val="20"/>
          <w:szCs w:val="20"/>
          <w:color w:val="auto"/>
        </w:rPr>
      </w:pPr>
    </w:p>
    <w:p>
      <w:pPr>
        <w:ind w:left="20" w:right="340"/>
        <w:spacing w:after="0" w:line="244" w:lineRule="auto"/>
        <w:rPr>
          <w:sz w:val="20"/>
          <w:szCs w:val="20"/>
          <w:color w:val="auto"/>
        </w:rPr>
      </w:pPr>
      <w:r>
        <w:rPr>
          <w:rFonts w:ascii="Arial" w:cs="Arial" w:eastAsia="Arial" w:hAnsi="Arial"/>
          <w:sz w:val="18"/>
          <w:szCs w:val="18"/>
          <w:color w:val="auto"/>
        </w:rPr>
        <w:t>BTIG is not a legal, tax, regulatory or bankruptcy advisor. BTIG has not considered in its opinion any potential legislative or regulatory changes currently being considered or recently enacted by the United States Congress, the SEC, or any other regulatory bodies, or any changes in accounting methods or generally accepted accounting principles that may be adopted by the SEC or the Financial Accounting Standards Board. BTIG’s opinion is not a solvency opinion and does not in any way address the solvency or financial condition of RTR.</w:t>
      </w:r>
    </w:p>
    <w:p>
      <w:pPr>
        <w:spacing w:after="0" w:line="149"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The summary set forth below does not purport to be a complete description of the analyses performed by BTIG, but describes, in summary form, the material elements of the presentation that BTIG made to the Finance Committee and the Board on August 20, 2025, in connection with BTIG’s opinion. These summaries of financial analyses alone do not constitute a complete description of the financial analyses BTIG employed in reaching its conclusions. In accordance with customary investment banking practice, BTIG employed generally accepted valuation methods and financial analyses in reaching its opinion.</w:t>
      </w:r>
    </w:p>
    <w:p>
      <w:pPr>
        <w:spacing w:after="0" w:line="138"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None of the analyses performed by BTIG were assigned a greater significance by BTIG than any other, nor does the order of analyses described represent relative importance or weight given to those analyses by BTIG. The financial analyses summarized below include information presented in tabular format. In order to fully understand the financial analyses performed by BTIG, the tables must be read together with the text of each summary. The tables alone do not constitute a complete description of the financial analyses performed by BTIG.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BTIG. The summary text and tables describing each financial analysis does not constitute a complete description of BTIG’s financial analyses, including the methodologies and assumptions underlying the analyses, and if viewed in isolation could create a misleading or incomplete view of the financial analyses performed by BTIG. The summary text and tables set forth below do not represent and should not be viewed by anyone as constituting conclusions reached by BTIG with respect to any of the analyses performed by it in connection with its opinion. Rather, BTIG made its determination on the basis of its experience and professional judgment after considering the results of all of the analyses performed. Except as otherwise noted, the information utilized by BTIG in its analyses, to the extent that it is based on market data, is based on market data as it existed on or before August 19, 2025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Material Financial Analyses</w:t>
      </w:r>
    </w:p>
    <w:p>
      <w:pPr>
        <w:spacing w:after="0" w:line="183"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In conducting its analysis, BTIG initially calculated the conversion price implied by the issuance of the Exchange Stock in exchange for the Equity Exchange Obligations. To do so, BTIG divided the total amount of Equity Exchange Obligations valued at 100% of the principal amount (approximately $223.1 million as of the end of RTR’s second fiscal quarter ending July 31, 2025) by the number of shares of Exchange Stock (approximately 26.3 million shares) being issued to Lender pursuant to the Exchange Agreement. Such calculation implied a conversion price of $8.48 per share. BTIG then compared this implied conversion price per share to RTR’s price per share using three primary methodologies: selected public companies analysis, selected precedent transactions analysis, and discounted cash flow analysis. No individual methodology was given a specific weight, nor can any methodology be viewed individually. Additionally, no company or transaction used in any analysis as a comparison is identical to RTR or the Term Loan Conversion, and they all differ in material ways. Accordingly, an analysis of the results described below is not mathematical; rather, it involves complex considerations and judgments concerning differences in financial and operating characteristics of the companies and other factors that could affect the public trading value of the selected companies or transactions to which they are being compared. BTIG used these analyses to determine the impact of various operating metrics on the implied enterprise value of RTR. Each of these analyses yielded a range of implied enterprise values, and therefore, such implied enterprise value ranges developed from these analyses were viewed by BTIG collectively and not individually. In delivering its opinion to the Finance Committee and the Board, BTIG utilized the non-public projected financial and operating data relating to RTR prepared and furnished to BTIG by management of RTR.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Selected Public Companies Analysis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BTIG reviewed, analyzed and compared certain financial information relating to RTR to corresponding publicly available financial information and market multiples for the following fourteen publicly traded companies divided into three sections: Fashion and Luxury E-Commerce, Digitally Native Retailers and Additional Apparel and Female-Focused Companies. BTIG reviewed, among other things, the range of enterprise values of the selected publicly traded companies as a multiple of the twelve months ending December 31 (“calendar year” or “CY”) 2025 and 2026 estimated revenue and estimated earnings before interest, taxes, depreciation and amortization (which is referred to in this section as “EBITDA”), respectively, based on estimates provided by S&amp;P Capital IQ.</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Fashion and Luxury E-Commerce: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Zalando SE</w:t>
      </w: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ThredUp Inc.</w:t>
      </w: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Revolve Group, Inc.</w:t>
      </w: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RealReal, Inc.</w:t>
      </w: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Stitch Fix, Inc.</w:t>
      </w:r>
    </w:p>
    <w:p>
      <w:pPr>
        <w:ind w:left="740" w:hanging="35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LuxExperience B.V.</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Digitally Native Retailers: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Chewy, Inc.</w:t>
      </w:r>
    </w:p>
    <w:p>
      <w:pPr>
        <w:ind w:left="74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Etsy, Inc.</w:t>
      </w:r>
    </w:p>
    <w:p>
      <w:pPr>
        <w:ind w:left="74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ASOS Plc</w:t>
      </w:r>
    </w:p>
    <w:p>
      <w:pPr>
        <w:ind w:left="740" w:hanging="35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FIGS, Inc.</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Additional Apparel and Female-Focused Companies: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Urban Outfitters, Inc.</w:t>
      </w:r>
    </w:p>
    <w:p>
      <w:pPr>
        <w:ind w:left="74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Aritzia, Inc.</w:t>
      </w:r>
    </w:p>
    <w:p>
      <w:pPr>
        <w:ind w:left="74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Victoria’s Secret &amp; Co.</w:t>
      </w:r>
    </w:p>
    <w:p>
      <w:pPr>
        <w:ind w:left="740" w:hanging="35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Torrid Holdings Inc.</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560"/>
        <w:spacing w:after="0" w:line="271" w:lineRule="auto"/>
        <w:rPr>
          <w:sz w:val="20"/>
          <w:szCs w:val="20"/>
          <w:color w:val="auto"/>
        </w:rPr>
      </w:pPr>
      <w:r>
        <w:rPr>
          <w:rFonts w:ascii="Arial" w:cs="Arial" w:eastAsia="Arial" w:hAnsi="Arial"/>
          <w:sz w:val="18"/>
          <w:szCs w:val="18"/>
          <w:color w:val="auto"/>
        </w:rPr>
        <w:t>The following table sets forth the enterprise values as a multiple of estimated revenue and estimated EBITDA for calendar year 2025 and calendar year 2026 for the selected publicly traded companies identified above.</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100" w:type="dxa"/>
            <w:vAlign w:val="bottom"/>
            <w:shd w:val="clear" w:color="auto" w:fill="E4C0D9"/>
          </w:tcPr>
          <w:p>
            <w:pPr>
              <w:spacing w:after="0"/>
              <w:rPr>
                <w:sz w:val="23"/>
                <w:szCs w:val="23"/>
                <w:color w:val="auto"/>
              </w:rPr>
            </w:pPr>
          </w:p>
        </w:tc>
        <w:tc>
          <w:tcPr>
            <w:tcW w:w="2520" w:type="dxa"/>
            <w:vAlign w:val="bottom"/>
            <w:shd w:val="clear" w:color="auto" w:fill="E4C0D9"/>
          </w:tcPr>
          <w:p>
            <w:pPr>
              <w:spacing w:after="0"/>
              <w:rPr>
                <w:sz w:val="23"/>
                <w:szCs w:val="23"/>
                <w:color w:val="auto"/>
              </w:rPr>
            </w:pPr>
          </w:p>
        </w:tc>
        <w:tc>
          <w:tcPr>
            <w:tcW w:w="23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Enterprise</w:t>
            </w:r>
          </w:p>
        </w:tc>
        <w:tc>
          <w:tcPr>
            <w:tcW w:w="2420" w:type="dxa"/>
            <w:vAlign w:val="bottom"/>
            <w:gridSpan w:val="2"/>
            <w:shd w:val="clear" w:color="auto" w:fill="E4C0D9"/>
          </w:tcPr>
          <w:p>
            <w:pPr>
              <w:jc w:val="right"/>
              <w:ind w:right="688"/>
              <w:spacing w:after="0"/>
              <w:rPr>
                <w:sz w:val="20"/>
                <w:szCs w:val="20"/>
                <w:color w:val="auto"/>
              </w:rPr>
            </w:pPr>
            <w:r>
              <w:rPr>
                <w:rFonts w:ascii="Arial" w:cs="Arial" w:eastAsia="Arial" w:hAnsi="Arial"/>
                <w:sz w:val="14"/>
                <w:szCs w:val="14"/>
                <w:b w:val="1"/>
                <w:bCs w:val="1"/>
                <w:color w:val="auto"/>
              </w:rPr>
              <w:t>EV / Revenue</w:t>
            </w:r>
          </w:p>
        </w:tc>
        <w:tc>
          <w:tcPr>
            <w:tcW w:w="2160" w:type="dxa"/>
            <w:vAlign w:val="bottom"/>
            <w:gridSpan w:val="2"/>
            <w:shd w:val="clear" w:color="auto" w:fill="E4C0D9"/>
          </w:tcPr>
          <w:p>
            <w:pPr>
              <w:jc w:val="right"/>
              <w:ind w:right="448"/>
              <w:spacing w:after="0"/>
              <w:rPr>
                <w:sz w:val="20"/>
                <w:szCs w:val="20"/>
                <w:color w:val="auto"/>
              </w:rPr>
            </w:pPr>
            <w:r>
              <w:rPr>
                <w:rFonts w:ascii="Arial" w:cs="Arial" w:eastAsia="Arial" w:hAnsi="Arial"/>
                <w:sz w:val="14"/>
                <w:szCs w:val="14"/>
                <w:b w:val="1"/>
                <w:bCs w:val="1"/>
                <w:color w:val="auto"/>
              </w:rPr>
              <w:t>EV / EBITDA</w:t>
            </w:r>
          </w:p>
        </w:tc>
        <w:tc>
          <w:tcPr>
            <w:tcW w:w="0" w:type="dxa"/>
            <w:vAlign w:val="bottom"/>
          </w:tcPr>
          <w:p>
            <w:pPr>
              <w:spacing w:after="0"/>
              <w:rPr>
                <w:sz w:val="1"/>
                <w:szCs w:val="1"/>
                <w:color w:val="auto"/>
              </w:rPr>
            </w:pPr>
          </w:p>
        </w:tc>
      </w:tr>
      <w:tr>
        <w:trPr>
          <w:trHeight w:val="90"/>
        </w:trPr>
        <w:tc>
          <w:tcPr>
            <w:tcW w:w="100" w:type="dxa"/>
            <w:vAlign w:val="bottom"/>
            <w:tcBorders>
              <w:bottom w:val="single" w:sz="8" w:color="E4C0D9"/>
            </w:tcBorders>
            <w:shd w:val="clear" w:color="auto" w:fill="E4C0D9"/>
          </w:tcPr>
          <w:p>
            <w:pPr>
              <w:spacing w:after="0"/>
              <w:rPr>
                <w:sz w:val="7"/>
                <w:szCs w:val="7"/>
                <w:color w:val="auto"/>
              </w:rPr>
            </w:pPr>
          </w:p>
        </w:tc>
        <w:tc>
          <w:tcPr>
            <w:tcW w:w="2520" w:type="dxa"/>
            <w:vAlign w:val="bottom"/>
            <w:tcBorders>
              <w:bottom w:val="single" w:sz="8" w:color="E4C0D9"/>
            </w:tcBorders>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Company Name</w:t>
            </w:r>
          </w:p>
        </w:tc>
        <w:tc>
          <w:tcPr>
            <w:tcW w:w="2300" w:type="dxa"/>
            <w:vAlign w:val="bottom"/>
            <w:tcBorders>
              <w:bottom w:val="single" w:sz="8" w:color="E4C0D9"/>
            </w:tcBorders>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w w:val="96"/>
              </w:rPr>
              <w:t>Value</w:t>
            </w:r>
          </w:p>
        </w:tc>
        <w:tc>
          <w:tcPr>
            <w:tcW w:w="1220" w:type="dxa"/>
            <w:vAlign w:val="bottom"/>
            <w:tcBorders>
              <w:bottom w:val="single" w:sz="8" w:color="auto"/>
            </w:tcBorders>
            <w:shd w:val="clear" w:color="auto" w:fill="E4C0D9"/>
          </w:tcPr>
          <w:p>
            <w:pPr>
              <w:spacing w:after="0"/>
              <w:rPr>
                <w:sz w:val="7"/>
                <w:szCs w:val="7"/>
                <w:color w:val="auto"/>
              </w:rPr>
            </w:pPr>
          </w:p>
        </w:tc>
        <w:tc>
          <w:tcPr>
            <w:tcW w:w="1200" w:type="dxa"/>
            <w:vAlign w:val="bottom"/>
            <w:tcBorders>
              <w:bottom w:val="single" w:sz="8" w:color="auto"/>
            </w:tcBorders>
            <w:shd w:val="clear" w:color="auto" w:fill="E4C0D9"/>
          </w:tcPr>
          <w:p>
            <w:pPr>
              <w:spacing w:after="0"/>
              <w:rPr>
                <w:sz w:val="7"/>
                <w:szCs w:val="7"/>
                <w:color w:val="auto"/>
              </w:rPr>
            </w:pPr>
          </w:p>
        </w:tc>
        <w:tc>
          <w:tcPr>
            <w:tcW w:w="1220" w:type="dxa"/>
            <w:vAlign w:val="bottom"/>
            <w:tcBorders>
              <w:bottom w:val="single" w:sz="8" w:color="auto"/>
            </w:tcBorders>
            <w:shd w:val="clear" w:color="auto" w:fill="E4C0D9"/>
          </w:tcPr>
          <w:p>
            <w:pPr>
              <w:spacing w:after="0"/>
              <w:rPr>
                <w:sz w:val="7"/>
                <w:szCs w:val="7"/>
                <w:color w:val="auto"/>
              </w:rPr>
            </w:pPr>
          </w:p>
        </w:tc>
        <w:tc>
          <w:tcPr>
            <w:tcW w:w="940" w:type="dxa"/>
            <w:vAlign w:val="bottom"/>
            <w:tcBorders>
              <w:bottom w:val="single" w:sz="8" w:color="auto"/>
            </w:tcBorders>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00" w:type="dxa"/>
            <w:vAlign w:val="bottom"/>
            <w:shd w:val="clear" w:color="auto" w:fill="E4C0D9"/>
          </w:tcPr>
          <w:p>
            <w:pPr>
              <w:spacing w:after="0"/>
              <w:rPr>
                <w:sz w:val="4"/>
                <w:szCs w:val="4"/>
                <w:color w:val="auto"/>
              </w:rPr>
            </w:pPr>
          </w:p>
        </w:tc>
        <w:tc>
          <w:tcPr>
            <w:tcW w:w="2520" w:type="dxa"/>
            <w:vAlign w:val="bottom"/>
            <w:vMerge w:val="continue"/>
            <w:shd w:val="clear" w:color="auto" w:fill="E4C0D9"/>
          </w:tcPr>
          <w:p>
            <w:pPr>
              <w:spacing w:after="0"/>
              <w:rPr>
                <w:sz w:val="4"/>
                <w:szCs w:val="4"/>
                <w:color w:val="auto"/>
              </w:rPr>
            </w:pPr>
          </w:p>
        </w:tc>
        <w:tc>
          <w:tcPr>
            <w:tcW w:w="2300" w:type="dxa"/>
            <w:vAlign w:val="bottom"/>
            <w:vMerge w:val="continue"/>
            <w:shd w:val="clear" w:color="auto" w:fill="E4C0D9"/>
          </w:tcPr>
          <w:p>
            <w:pPr>
              <w:spacing w:after="0"/>
              <w:rPr>
                <w:sz w:val="4"/>
                <w:szCs w:val="4"/>
                <w:color w:val="auto"/>
              </w:rPr>
            </w:pPr>
          </w:p>
        </w:tc>
        <w:tc>
          <w:tcPr>
            <w:tcW w:w="1220" w:type="dxa"/>
            <w:vAlign w:val="bottom"/>
            <w:shd w:val="clear" w:color="auto" w:fill="E4C0D9"/>
          </w:tcPr>
          <w:p>
            <w:pPr>
              <w:spacing w:after="0"/>
              <w:rPr>
                <w:sz w:val="4"/>
                <w:szCs w:val="4"/>
                <w:color w:val="auto"/>
              </w:rPr>
            </w:pPr>
          </w:p>
        </w:tc>
        <w:tc>
          <w:tcPr>
            <w:tcW w:w="1200" w:type="dxa"/>
            <w:vAlign w:val="bottom"/>
            <w:shd w:val="clear" w:color="auto" w:fill="E4C0D9"/>
          </w:tcPr>
          <w:p>
            <w:pPr>
              <w:spacing w:after="0"/>
              <w:rPr>
                <w:sz w:val="4"/>
                <w:szCs w:val="4"/>
                <w:color w:val="auto"/>
              </w:rPr>
            </w:pPr>
          </w:p>
        </w:tc>
        <w:tc>
          <w:tcPr>
            <w:tcW w:w="1220" w:type="dxa"/>
            <w:vAlign w:val="bottom"/>
            <w:shd w:val="clear" w:color="auto" w:fill="E4C0D9"/>
          </w:tcPr>
          <w:p>
            <w:pPr>
              <w:spacing w:after="0"/>
              <w:rPr>
                <w:sz w:val="4"/>
                <w:szCs w:val="4"/>
                <w:color w:val="auto"/>
              </w:rPr>
            </w:pPr>
          </w:p>
        </w:tc>
        <w:tc>
          <w:tcPr>
            <w:tcW w:w="940" w:type="dxa"/>
            <w:vAlign w:val="bottom"/>
            <w:shd w:val="clear" w:color="auto" w:fill="E4C0D9"/>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E4C0D9"/>
          </w:tcPr>
          <w:p>
            <w:pPr>
              <w:spacing w:after="0"/>
              <w:rPr>
                <w:sz w:val="19"/>
                <w:szCs w:val="19"/>
                <w:color w:val="auto"/>
              </w:rPr>
            </w:pPr>
          </w:p>
        </w:tc>
        <w:tc>
          <w:tcPr>
            <w:tcW w:w="2520" w:type="dxa"/>
            <w:vAlign w:val="bottom"/>
            <w:shd w:val="clear" w:color="auto" w:fill="E4C0D9"/>
          </w:tcPr>
          <w:p>
            <w:pPr>
              <w:spacing w:after="0"/>
              <w:rPr>
                <w:sz w:val="19"/>
                <w:szCs w:val="19"/>
                <w:color w:val="auto"/>
              </w:rPr>
            </w:pPr>
          </w:p>
        </w:tc>
        <w:tc>
          <w:tcPr>
            <w:tcW w:w="23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shd w:val="clear" w:color="auto" w:fill="E4C0D9"/>
          </w:tcPr>
          <w:p>
            <w:pPr>
              <w:jc w:val="right"/>
              <w:ind w:right="308"/>
              <w:spacing w:after="0"/>
              <w:rPr>
                <w:sz w:val="20"/>
                <w:szCs w:val="20"/>
                <w:color w:val="auto"/>
              </w:rPr>
            </w:pPr>
            <w:r>
              <w:rPr>
                <w:rFonts w:ascii="Arial" w:cs="Arial" w:eastAsia="Arial" w:hAnsi="Arial"/>
                <w:sz w:val="14"/>
                <w:szCs w:val="14"/>
                <w:b w:val="1"/>
                <w:bCs w:val="1"/>
                <w:color w:val="auto"/>
              </w:rPr>
              <w:t>CY25E</w:t>
            </w:r>
          </w:p>
        </w:tc>
        <w:tc>
          <w:tcPr>
            <w:tcW w:w="1200" w:type="dxa"/>
            <w:vAlign w:val="bottom"/>
            <w:shd w:val="clear" w:color="auto" w:fill="E4C0D9"/>
          </w:tcPr>
          <w:p>
            <w:pPr>
              <w:jc w:val="right"/>
              <w:ind w:right="308"/>
              <w:spacing w:after="0"/>
              <w:rPr>
                <w:sz w:val="20"/>
                <w:szCs w:val="20"/>
                <w:color w:val="auto"/>
              </w:rPr>
            </w:pPr>
            <w:r>
              <w:rPr>
                <w:rFonts w:ascii="Arial" w:cs="Arial" w:eastAsia="Arial" w:hAnsi="Arial"/>
                <w:sz w:val="14"/>
                <w:szCs w:val="14"/>
                <w:b w:val="1"/>
                <w:bCs w:val="1"/>
                <w:color w:val="auto"/>
              </w:rPr>
              <w:t>CY26E</w:t>
            </w:r>
          </w:p>
        </w:tc>
        <w:tc>
          <w:tcPr>
            <w:tcW w:w="1220" w:type="dxa"/>
            <w:vAlign w:val="bottom"/>
            <w:shd w:val="clear" w:color="auto" w:fill="E4C0D9"/>
          </w:tcPr>
          <w:p>
            <w:pPr>
              <w:jc w:val="right"/>
              <w:ind w:right="308"/>
              <w:spacing w:after="0"/>
              <w:rPr>
                <w:sz w:val="20"/>
                <w:szCs w:val="20"/>
                <w:color w:val="auto"/>
              </w:rPr>
            </w:pPr>
            <w:r>
              <w:rPr>
                <w:rFonts w:ascii="Arial" w:cs="Arial" w:eastAsia="Arial" w:hAnsi="Arial"/>
                <w:sz w:val="14"/>
                <w:szCs w:val="14"/>
                <w:b w:val="1"/>
                <w:bCs w:val="1"/>
                <w:color w:val="auto"/>
              </w:rPr>
              <w:t>CY25E</w:t>
            </w:r>
          </w:p>
        </w:tc>
        <w:tc>
          <w:tcPr>
            <w:tcW w:w="940" w:type="dxa"/>
            <w:vAlign w:val="bottom"/>
            <w:shd w:val="clear" w:color="auto" w:fill="E4C0D9"/>
          </w:tcPr>
          <w:p>
            <w:pPr>
              <w:jc w:val="right"/>
              <w:ind w:right="28"/>
              <w:spacing w:after="0"/>
              <w:rPr>
                <w:sz w:val="20"/>
                <w:szCs w:val="20"/>
                <w:color w:val="auto"/>
              </w:rPr>
            </w:pPr>
            <w:r>
              <w:rPr>
                <w:rFonts w:ascii="Arial" w:cs="Arial" w:eastAsia="Arial" w:hAnsi="Arial"/>
                <w:sz w:val="14"/>
                <w:szCs w:val="14"/>
                <w:b w:val="1"/>
                <w:bCs w:val="1"/>
                <w:color w:val="auto"/>
              </w:rPr>
              <w:t>CY26E</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shd w:val="clear" w:color="auto" w:fill="E4C0D9"/>
          </w:tcPr>
          <w:p>
            <w:pPr>
              <w:spacing w:after="0"/>
              <w:rPr>
                <w:sz w:val="6"/>
                <w:szCs w:val="6"/>
                <w:color w:val="auto"/>
              </w:rPr>
            </w:pPr>
          </w:p>
        </w:tc>
        <w:tc>
          <w:tcPr>
            <w:tcW w:w="2520" w:type="dxa"/>
            <w:vAlign w:val="bottom"/>
            <w:tcBorders>
              <w:bottom w:val="single" w:sz="8" w:color="auto"/>
            </w:tcBorders>
            <w:shd w:val="clear" w:color="auto" w:fill="E4C0D9"/>
          </w:tcPr>
          <w:p>
            <w:pPr>
              <w:spacing w:after="0"/>
              <w:rPr>
                <w:sz w:val="6"/>
                <w:szCs w:val="6"/>
                <w:color w:val="auto"/>
              </w:rPr>
            </w:pPr>
          </w:p>
        </w:tc>
        <w:tc>
          <w:tcPr>
            <w:tcW w:w="2300" w:type="dxa"/>
            <w:vAlign w:val="bottom"/>
            <w:tcBorders>
              <w:bottom w:val="single" w:sz="8" w:color="auto"/>
            </w:tcBorders>
            <w:shd w:val="clear" w:color="auto" w:fill="E4C0D9"/>
          </w:tcPr>
          <w:p>
            <w:pPr>
              <w:spacing w:after="0"/>
              <w:rPr>
                <w:sz w:val="6"/>
                <w:szCs w:val="6"/>
                <w:color w:val="auto"/>
              </w:rPr>
            </w:pPr>
          </w:p>
        </w:tc>
        <w:tc>
          <w:tcPr>
            <w:tcW w:w="1220" w:type="dxa"/>
            <w:vAlign w:val="bottom"/>
            <w:tcBorders>
              <w:bottom w:val="single" w:sz="8" w:color="auto"/>
            </w:tcBorders>
            <w:shd w:val="clear" w:color="auto" w:fill="E4C0D9"/>
          </w:tcPr>
          <w:p>
            <w:pPr>
              <w:spacing w:after="0"/>
              <w:rPr>
                <w:sz w:val="6"/>
                <w:szCs w:val="6"/>
                <w:color w:val="auto"/>
              </w:rPr>
            </w:pPr>
          </w:p>
        </w:tc>
        <w:tc>
          <w:tcPr>
            <w:tcW w:w="1200" w:type="dxa"/>
            <w:vAlign w:val="bottom"/>
            <w:tcBorders>
              <w:bottom w:val="single" w:sz="8" w:color="auto"/>
            </w:tcBorders>
            <w:shd w:val="clear" w:color="auto" w:fill="E4C0D9"/>
          </w:tcPr>
          <w:p>
            <w:pPr>
              <w:spacing w:after="0"/>
              <w:rPr>
                <w:sz w:val="6"/>
                <w:szCs w:val="6"/>
                <w:color w:val="auto"/>
              </w:rPr>
            </w:pPr>
          </w:p>
        </w:tc>
        <w:tc>
          <w:tcPr>
            <w:tcW w:w="1220" w:type="dxa"/>
            <w:vAlign w:val="bottom"/>
            <w:tcBorders>
              <w:bottom w:val="single" w:sz="8" w:color="auto"/>
            </w:tcBorders>
            <w:shd w:val="clear" w:color="auto" w:fill="E4C0D9"/>
          </w:tcPr>
          <w:p>
            <w:pPr>
              <w:spacing w:after="0"/>
              <w:rPr>
                <w:sz w:val="6"/>
                <w:szCs w:val="6"/>
                <w:color w:val="auto"/>
              </w:rPr>
            </w:pPr>
          </w:p>
        </w:tc>
        <w:tc>
          <w:tcPr>
            <w:tcW w:w="94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Fashion / Luxury E-Commerce</w:t>
            </w:r>
          </w:p>
        </w:tc>
        <w:tc>
          <w:tcPr>
            <w:tcW w:w="2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Zalando SE</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$6,880</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0.42x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6.3x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ThredUp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1,478</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4.91x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4.48x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NM</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Revolve Group,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1,253</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1.04x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0.97x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17.8x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16.5x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The Real Real,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1,343</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2.00x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1.82x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42.7x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26.3x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Stitch Fix,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629</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0.53x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0.51x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15.3x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LuxExperience B.V.</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520</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0.41x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0.45x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11.0x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9.7x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0.78x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0.74x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15.3x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Digitally Native Retailers</w:t>
            </w:r>
          </w:p>
        </w:tc>
        <w:tc>
          <w:tcPr>
            <w:tcW w:w="2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Chewy,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$17,754</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1.42x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1.32x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25.3x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20.4x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Etsy,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8,858</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3.12x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3.07x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12.1x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ASOS Plc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1,143</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0.32x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0.31x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5.7x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FIGS,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1,222</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2.15x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2.07x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24.0x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22.3x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1.78x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1.69x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18.0x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16.1x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Additional Apparel &amp; Female-</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tcPr>
          <w:p>
            <w:pPr>
              <w:ind w:left="220"/>
              <w:spacing w:after="0"/>
              <w:rPr>
                <w:sz w:val="20"/>
                <w:szCs w:val="20"/>
                <w:color w:val="auto"/>
              </w:rPr>
            </w:pPr>
            <w:r>
              <w:rPr>
                <w:rFonts w:ascii="Arial" w:cs="Arial" w:eastAsia="Arial" w:hAnsi="Arial"/>
                <w:sz w:val="14"/>
                <w:szCs w:val="14"/>
                <w:b w:val="1"/>
                <w:bCs w:val="1"/>
                <w:color w:val="auto"/>
              </w:rPr>
              <w:t>Focused</w:t>
            </w:r>
          </w:p>
        </w:tc>
        <w:tc>
          <w:tcPr>
            <w:tcW w:w="2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Urban Outfitters,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$6,786</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1.13x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1.05x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9.5x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Aritzia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6,989</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3.06x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2.76x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14.8x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12.0x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Victoria’s Secret &amp; Co.</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2,886</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0.46x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0.45x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5.6x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Torrid Holdings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497</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0.49x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5.1x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0.80x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0.77x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7.5x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 - All Companies</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1.08x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1.01x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12.1x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10.8x</w:t>
            </w: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0" w:right="460"/>
        <w:spacing w:after="0" w:line="282" w:lineRule="auto"/>
        <w:rPr>
          <w:sz w:val="20"/>
          <w:szCs w:val="20"/>
          <w:color w:val="auto"/>
        </w:rPr>
      </w:pPr>
      <w:r>
        <w:rPr>
          <w:rFonts w:ascii="Arial" w:cs="Arial" w:eastAsia="Arial" w:hAnsi="Arial"/>
          <w:sz w:val="14"/>
          <w:szCs w:val="14"/>
          <w:i w:val="1"/>
          <w:iCs w:val="1"/>
          <w:color w:val="auto"/>
        </w:rPr>
        <w:t>Note: Companies sorted in descending order by enterprise value. NA = Not applicable. NM = Not meaningful. NM represents negative or &gt;50x multiples.</w:t>
      </w:r>
    </w:p>
    <w:p>
      <w:pPr>
        <w:spacing w:after="0" w:line="12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As none of the selected publicly traded companies identified above, or group thereof, is identical or directly comparable to RTR, BTIG, using its professional judgment and experience, derived from the mean and median enterprise values as a multiple of such entities’ estimated revenue and estimated EBITDA for calendar year 2025 and calendar year 2026 a range of multiples for RTR’s estimated revenue and estimated Adjusted EBITDA for fiscal year (or “FY”) 2025 and fiscal year 2026, and applied such range of multiples to the estimated revenue and estimated Adjusted EBITDA for RTR for fiscal year 2025 and fiscal year 2026 utilized by BTIG in performing its analysis to derive ranges of enterprise values for RTR. BTIG then subtracted RTR’s pro forma net debt from the enterprise values obtained by the calculation above to obtain RTR’s equity value, and divided the resulting equity value by the number of fully diluted shares outstanding utilized by BTIG in its analysis, which resulted in ranges of indicative share prices for RTR. “Adjusted EBITDA” means net income/loss adjusted for net interest income/expense, rental product depreciation, other depreciation and amortization, stock-based compensation,</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write-off of liquidated assets, non-recurring adjustments, non-ordinary course legal fees, restructuring charges, loss on asset impairment related to restructuring, income tax benefit/expense, net gain/loss on warrant liability revaluation, net gain/loss on debt extinguishment, other income/expense, and other gains/losses. The results of this analysis were as follows: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Prospective Financial Information</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E4C0D9"/>
          </w:tcPr>
          <w:p>
            <w:pPr>
              <w:spacing w:after="0"/>
              <w:rPr>
                <w:sz w:val="22"/>
                <w:szCs w:val="22"/>
                <w:color w:val="auto"/>
              </w:rPr>
            </w:pPr>
          </w:p>
        </w:tc>
        <w:tc>
          <w:tcPr>
            <w:tcW w:w="340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Metric</w:t>
            </w:r>
          </w:p>
        </w:tc>
        <w:tc>
          <w:tcPr>
            <w:tcW w:w="2180" w:type="dxa"/>
            <w:vAlign w:val="bottom"/>
            <w:gridSpan w:val="2"/>
            <w:shd w:val="clear" w:color="auto" w:fill="E4C0D9"/>
          </w:tcPr>
          <w:p>
            <w:pPr>
              <w:jc w:val="center"/>
              <w:ind w:left="288"/>
              <w:spacing w:after="0"/>
              <w:rPr>
                <w:sz w:val="20"/>
                <w:szCs w:val="20"/>
                <w:color w:val="auto"/>
              </w:rPr>
            </w:pPr>
            <w:r>
              <w:rPr>
                <w:rFonts w:ascii="Arial" w:cs="Arial" w:eastAsia="Arial" w:hAnsi="Arial"/>
                <w:sz w:val="14"/>
                <w:szCs w:val="14"/>
                <w:b w:val="1"/>
                <w:bCs w:val="1"/>
                <w:color w:val="auto"/>
              </w:rPr>
              <w:t>Amount</w:t>
            </w:r>
          </w:p>
        </w:tc>
        <w:tc>
          <w:tcPr>
            <w:tcW w:w="2060" w:type="dxa"/>
            <w:vAlign w:val="bottom"/>
            <w:vMerge w:val="restart"/>
            <w:shd w:val="clear" w:color="auto" w:fill="E4C0D9"/>
          </w:tcPr>
          <w:p>
            <w:pPr>
              <w:jc w:val="right"/>
              <w:ind w:right="448"/>
              <w:spacing w:after="0"/>
              <w:rPr>
                <w:sz w:val="20"/>
                <w:szCs w:val="20"/>
                <w:color w:val="auto"/>
              </w:rPr>
            </w:pPr>
            <w:r>
              <w:rPr>
                <w:rFonts w:ascii="Arial" w:cs="Arial" w:eastAsia="Arial" w:hAnsi="Arial"/>
                <w:sz w:val="14"/>
                <w:szCs w:val="14"/>
                <w:b w:val="1"/>
                <w:bCs w:val="1"/>
                <w:color w:val="auto"/>
              </w:rPr>
              <w:t>Multiple Range</w:t>
            </w:r>
          </w:p>
        </w:tc>
        <w:tc>
          <w:tcPr>
            <w:tcW w:w="1760" w:type="dxa"/>
            <w:vAlign w:val="bottom"/>
            <w:shd w:val="clear" w:color="auto" w:fill="E4C0D9"/>
          </w:tcPr>
          <w:p>
            <w:pPr>
              <w:jc w:val="center"/>
              <w:ind w:left="308"/>
              <w:spacing w:after="0"/>
              <w:rPr>
                <w:sz w:val="20"/>
                <w:szCs w:val="20"/>
                <w:color w:val="auto"/>
              </w:rPr>
            </w:pPr>
            <w:r>
              <w:rPr>
                <w:rFonts w:ascii="Arial" w:cs="Arial" w:eastAsia="Arial" w:hAnsi="Arial"/>
                <w:sz w:val="14"/>
                <w:szCs w:val="14"/>
                <w:b w:val="1"/>
                <w:bCs w:val="1"/>
                <w:color w:val="auto"/>
              </w:rPr>
              <w:t>Indicative Share</w:t>
            </w:r>
          </w:p>
        </w:tc>
        <w:tc>
          <w:tcPr>
            <w:tcW w:w="0" w:type="dxa"/>
            <w:vAlign w:val="bottom"/>
          </w:tcPr>
          <w:p>
            <w:pPr>
              <w:spacing w:after="0"/>
              <w:rPr>
                <w:sz w:val="1"/>
                <w:szCs w:val="1"/>
                <w:color w:val="auto"/>
              </w:rPr>
            </w:pPr>
          </w:p>
        </w:tc>
      </w:tr>
      <w:tr>
        <w:trPr>
          <w:trHeight w:val="115"/>
        </w:trPr>
        <w:tc>
          <w:tcPr>
            <w:tcW w:w="100" w:type="dxa"/>
            <w:vAlign w:val="bottom"/>
            <w:shd w:val="clear" w:color="auto" w:fill="E4C0D9"/>
          </w:tcPr>
          <w:p>
            <w:pPr>
              <w:spacing w:after="0"/>
              <w:rPr>
                <w:sz w:val="10"/>
                <w:szCs w:val="10"/>
                <w:color w:val="auto"/>
              </w:rPr>
            </w:pPr>
          </w:p>
        </w:tc>
        <w:tc>
          <w:tcPr>
            <w:tcW w:w="3400" w:type="dxa"/>
            <w:vAlign w:val="bottom"/>
            <w:vMerge w:val="continue"/>
            <w:shd w:val="clear" w:color="auto" w:fill="E4C0D9"/>
          </w:tcPr>
          <w:p>
            <w:pPr>
              <w:spacing w:after="0"/>
              <w:rPr>
                <w:sz w:val="10"/>
                <w:szCs w:val="10"/>
                <w:color w:val="auto"/>
              </w:rPr>
            </w:pPr>
          </w:p>
        </w:tc>
        <w:tc>
          <w:tcPr>
            <w:tcW w:w="2180" w:type="dxa"/>
            <w:vAlign w:val="bottom"/>
            <w:gridSpan w:val="2"/>
            <w:vMerge w:val="restart"/>
            <w:shd w:val="clear" w:color="auto" w:fill="E4C0D9"/>
          </w:tcPr>
          <w:p>
            <w:pPr>
              <w:jc w:val="center"/>
              <w:ind w:left="288"/>
              <w:spacing w:after="0"/>
              <w:rPr>
                <w:sz w:val="20"/>
                <w:szCs w:val="20"/>
                <w:color w:val="auto"/>
              </w:rPr>
            </w:pPr>
            <w:r>
              <w:rPr>
                <w:rFonts w:ascii="Arial" w:cs="Arial" w:eastAsia="Arial" w:hAnsi="Arial"/>
                <w:sz w:val="14"/>
                <w:szCs w:val="14"/>
                <w:b w:val="1"/>
                <w:bCs w:val="1"/>
                <w:color w:val="auto"/>
              </w:rPr>
              <w:t>(in millions)</w:t>
            </w:r>
          </w:p>
        </w:tc>
        <w:tc>
          <w:tcPr>
            <w:tcW w:w="2060" w:type="dxa"/>
            <w:vAlign w:val="bottom"/>
            <w:vMerge w:val="continue"/>
            <w:shd w:val="clear" w:color="auto" w:fill="E4C0D9"/>
          </w:tcPr>
          <w:p>
            <w:pPr>
              <w:spacing w:after="0"/>
              <w:rPr>
                <w:sz w:val="10"/>
                <w:szCs w:val="10"/>
                <w:color w:val="auto"/>
              </w:rPr>
            </w:pPr>
          </w:p>
        </w:tc>
        <w:tc>
          <w:tcPr>
            <w:tcW w:w="1760" w:type="dxa"/>
            <w:vAlign w:val="bottom"/>
            <w:vMerge w:val="restart"/>
            <w:shd w:val="clear" w:color="auto" w:fill="E4C0D9"/>
          </w:tcPr>
          <w:p>
            <w:pPr>
              <w:jc w:val="center"/>
              <w:ind w:left="328"/>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3400" w:type="dxa"/>
            <w:vAlign w:val="bottom"/>
            <w:shd w:val="clear" w:color="auto" w:fill="E4C0D9"/>
          </w:tcPr>
          <w:p>
            <w:pPr>
              <w:spacing w:after="0"/>
              <w:rPr>
                <w:sz w:val="7"/>
                <w:szCs w:val="7"/>
                <w:color w:val="auto"/>
              </w:rPr>
            </w:pPr>
          </w:p>
        </w:tc>
        <w:tc>
          <w:tcPr>
            <w:tcW w:w="2180" w:type="dxa"/>
            <w:vAlign w:val="bottom"/>
            <w:gridSpan w:val="2"/>
            <w:vMerge w:val="continue"/>
            <w:shd w:val="clear" w:color="auto" w:fill="E4C0D9"/>
          </w:tcPr>
          <w:p>
            <w:pPr>
              <w:spacing w:after="0"/>
              <w:rPr>
                <w:sz w:val="7"/>
                <w:szCs w:val="7"/>
                <w:color w:val="auto"/>
              </w:rPr>
            </w:pPr>
          </w:p>
        </w:tc>
        <w:tc>
          <w:tcPr>
            <w:tcW w:w="2060" w:type="dxa"/>
            <w:vAlign w:val="bottom"/>
            <w:shd w:val="clear" w:color="auto" w:fill="E4C0D9"/>
          </w:tcPr>
          <w:p>
            <w:pPr>
              <w:spacing w:after="0"/>
              <w:rPr>
                <w:sz w:val="7"/>
                <w:szCs w:val="7"/>
                <w:color w:val="auto"/>
              </w:rPr>
            </w:pPr>
          </w:p>
        </w:tc>
        <w:tc>
          <w:tcPr>
            <w:tcW w:w="17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shd w:val="clear" w:color="auto" w:fill="E4C0D9"/>
          </w:tcPr>
          <w:p>
            <w:pPr>
              <w:spacing w:after="0"/>
              <w:rPr>
                <w:sz w:val="6"/>
                <w:szCs w:val="6"/>
                <w:color w:val="auto"/>
              </w:rPr>
            </w:pPr>
          </w:p>
        </w:tc>
        <w:tc>
          <w:tcPr>
            <w:tcW w:w="3400" w:type="dxa"/>
            <w:vAlign w:val="bottom"/>
            <w:tcBorders>
              <w:bottom w:val="single" w:sz="8" w:color="auto"/>
            </w:tcBorders>
            <w:shd w:val="clear" w:color="auto" w:fill="E4C0D9"/>
          </w:tcPr>
          <w:p>
            <w:pPr>
              <w:spacing w:after="0"/>
              <w:rPr>
                <w:sz w:val="6"/>
                <w:szCs w:val="6"/>
                <w:color w:val="auto"/>
              </w:rPr>
            </w:pPr>
          </w:p>
        </w:tc>
        <w:tc>
          <w:tcPr>
            <w:tcW w:w="2180" w:type="dxa"/>
            <w:vAlign w:val="bottom"/>
            <w:tcBorders>
              <w:bottom w:val="single" w:sz="8" w:color="auto"/>
            </w:tcBorders>
            <w:gridSpan w:val="2"/>
            <w:shd w:val="clear" w:color="auto" w:fill="E4C0D9"/>
          </w:tcPr>
          <w:p>
            <w:pPr>
              <w:spacing w:after="0"/>
              <w:rPr>
                <w:sz w:val="6"/>
                <w:szCs w:val="6"/>
                <w:color w:val="auto"/>
              </w:rPr>
            </w:pPr>
          </w:p>
        </w:tc>
        <w:tc>
          <w:tcPr>
            <w:tcW w:w="2060" w:type="dxa"/>
            <w:vAlign w:val="bottom"/>
            <w:tcBorders>
              <w:bottom w:val="single" w:sz="8" w:color="auto"/>
            </w:tcBorders>
            <w:shd w:val="clear" w:color="auto" w:fill="E4C0D9"/>
          </w:tcPr>
          <w:p>
            <w:pPr>
              <w:spacing w:after="0"/>
              <w:rPr>
                <w:sz w:val="6"/>
                <w:szCs w:val="6"/>
                <w:color w:val="auto"/>
              </w:rPr>
            </w:pPr>
          </w:p>
        </w:tc>
        <w:tc>
          <w:tcPr>
            <w:tcW w:w="176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2025 Estimated Revenue</w:t>
            </w:r>
          </w:p>
        </w:tc>
        <w:tc>
          <w:tcPr>
            <w:tcW w:w="2180" w:type="dxa"/>
            <w:vAlign w:val="bottom"/>
            <w:gridSpan w:val="2"/>
          </w:tcPr>
          <w:p>
            <w:pPr>
              <w:jc w:val="right"/>
              <w:ind w:right="428"/>
              <w:spacing w:after="0"/>
              <w:rPr>
                <w:sz w:val="20"/>
                <w:szCs w:val="20"/>
                <w:color w:val="auto"/>
              </w:rPr>
            </w:pPr>
            <w:r>
              <w:rPr>
                <w:rFonts w:ascii="Arial" w:cs="Arial" w:eastAsia="Arial" w:hAnsi="Arial"/>
                <w:sz w:val="14"/>
                <w:szCs w:val="14"/>
                <w:color w:val="auto"/>
              </w:rPr>
              <w:t>$324.8</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0.60x – 0.90x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$(19.00) – $3.70</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gridSpan w:val="2"/>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2025 Estimated Adjusted EBITDA</w:t>
            </w:r>
          </w:p>
        </w:tc>
        <w:tc>
          <w:tcPr>
            <w:tcW w:w="2180" w:type="dxa"/>
            <w:vAlign w:val="bottom"/>
            <w:gridSpan w:val="2"/>
          </w:tcPr>
          <w:p>
            <w:pPr>
              <w:jc w:val="right"/>
              <w:ind w:right="428"/>
              <w:spacing w:after="0"/>
              <w:rPr>
                <w:sz w:val="20"/>
                <w:szCs w:val="20"/>
                <w:color w:val="auto"/>
              </w:rPr>
            </w:pPr>
            <w:r>
              <w:rPr>
                <w:rFonts w:ascii="Arial" w:cs="Arial" w:eastAsia="Arial" w:hAnsi="Arial"/>
                <w:sz w:val="14"/>
                <w:szCs w:val="14"/>
                <w:color w:val="auto"/>
              </w:rPr>
              <w:t>$ 25.9</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8.0x – 11.0x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$(16.20) – $1.90</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2026 Estimated Revenue</w:t>
            </w:r>
          </w:p>
        </w:tc>
        <w:tc>
          <w:tcPr>
            <w:tcW w:w="1300" w:type="dxa"/>
            <w:vAlign w:val="bottom"/>
          </w:tcPr>
          <w:p>
            <w:pPr>
              <w:jc w:val="center"/>
              <w:ind w:left="1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28"/>
              <w:spacing w:after="0"/>
              <w:rPr>
                <w:sz w:val="20"/>
                <w:szCs w:val="20"/>
                <w:color w:val="auto"/>
              </w:rPr>
            </w:pPr>
            <w:r>
              <w:rPr>
                <w:rFonts w:ascii="Arial" w:cs="Arial" w:eastAsia="Arial" w:hAnsi="Arial"/>
                <w:sz w:val="14"/>
                <w:szCs w:val="14"/>
                <w:color w:val="auto"/>
              </w:rPr>
              <w:t>331.4</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0.55x – 0.90x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$(22.00) – $5.10</w:t>
            </w:r>
          </w:p>
        </w:tc>
        <w:tc>
          <w:tcPr>
            <w:tcW w:w="0" w:type="dxa"/>
            <w:vAlign w:val="bottom"/>
          </w:tcPr>
          <w:p>
            <w:pPr>
              <w:spacing w:after="0"/>
              <w:rPr>
                <w:sz w:val="1"/>
                <w:szCs w:val="1"/>
                <w:color w:val="auto"/>
              </w:rPr>
            </w:pPr>
          </w:p>
        </w:tc>
      </w:tr>
      <w:tr>
        <w:trPr>
          <w:trHeight w:val="69"/>
        </w:trPr>
        <w:tc>
          <w:tcPr>
            <w:tcW w:w="10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2026 Estimated Adjusted EBITDA</w:t>
            </w:r>
          </w:p>
        </w:tc>
        <w:tc>
          <w:tcPr>
            <w:tcW w:w="1300" w:type="dxa"/>
            <w:vAlign w:val="bottom"/>
          </w:tcPr>
          <w:p>
            <w:pPr>
              <w:jc w:val="center"/>
              <w:ind w:left="1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28"/>
              <w:spacing w:after="0"/>
              <w:rPr>
                <w:sz w:val="20"/>
                <w:szCs w:val="20"/>
                <w:color w:val="auto"/>
              </w:rPr>
            </w:pPr>
            <w:r>
              <w:rPr>
                <w:rFonts w:ascii="Arial" w:cs="Arial" w:eastAsia="Arial" w:hAnsi="Arial"/>
                <w:sz w:val="14"/>
                <w:szCs w:val="14"/>
                <w:color w:val="auto"/>
              </w:rPr>
              <w:t>37.4</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6.5x – 9.5x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$(7.80) – $18.30</w:t>
            </w:r>
          </w:p>
        </w:tc>
        <w:tc>
          <w:tcPr>
            <w:tcW w:w="0" w:type="dxa"/>
            <w:vAlign w:val="bottom"/>
          </w:tcPr>
          <w:p>
            <w:pPr>
              <w:spacing w:after="0"/>
              <w:rPr>
                <w:sz w:val="1"/>
                <w:szCs w:val="1"/>
                <w:color w:val="auto"/>
              </w:rPr>
            </w:pPr>
          </w:p>
        </w:tc>
      </w:tr>
      <w:tr>
        <w:trPr>
          <w:trHeight w:val="29"/>
        </w:trPr>
        <w:tc>
          <w:tcPr>
            <w:tcW w:w="1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BTIG compared the indicative share price ranges resulting from this analysis to the conversion price of $8.48 per share implied by the Term Loan Conversion. The conversion price implied by the Term Loan Conversion was within or above the indicative share price ranges resulting from the selected public company analysis outlined above, supporting a conclusion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38" w:lineRule="exact"/>
        <w:rPr>
          <w:sz w:val="20"/>
          <w:szCs w:val="20"/>
          <w:color w:val="auto"/>
        </w:rPr>
      </w:pPr>
    </w:p>
    <w:p>
      <w:pPr>
        <w:ind w:left="20" w:right="140"/>
        <w:spacing w:after="0" w:line="242" w:lineRule="auto"/>
        <w:rPr>
          <w:sz w:val="20"/>
          <w:szCs w:val="20"/>
          <w:color w:val="auto"/>
        </w:rPr>
      </w:pPr>
      <w:r>
        <w:rPr>
          <w:rFonts w:ascii="Arial" w:cs="Arial" w:eastAsia="Arial" w:hAnsi="Arial"/>
          <w:sz w:val="18"/>
          <w:szCs w:val="18"/>
          <w:color w:val="auto"/>
        </w:rPr>
        <w:t>BTIG selected the companies used in this analysis on the basis of its experience and knowledge of companies in the industry and various factors, including the size of RTR and the similarity of the lines of business to RTR’s lines of business, as well as the business models, product offerings, operating margin profiles and end-market exposure of such companies. As noted above, no company used as a comparison is identical to RTR. Accordingly, these analyses are not purely mathematical, but also involve complex considerations and judgments concerning the differences in financial and operating characteristics of the selected companies and other factors.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Selected Precedent Transactions Analysis</w:t>
      </w:r>
    </w:p>
    <w:p>
      <w:pPr>
        <w:spacing w:after="0" w:line="183" w:lineRule="exact"/>
        <w:rPr>
          <w:sz w:val="20"/>
          <w:szCs w:val="20"/>
          <w:color w:val="auto"/>
        </w:rPr>
      </w:pPr>
    </w:p>
    <w:p>
      <w:pPr>
        <w:jc w:val="both"/>
        <w:ind w:left="20" w:right="600"/>
        <w:spacing w:after="0" w:line="253" w:lineRule="auto"/>
        <w:rPr>
          <w:sz w:val="20"/>
          <w:szCs w:val="20"/>
          <w:color w:val="auto"/>
        </w:rPr>
      </w:pPr>
      <w:r>
        <w:rPr>
          <w:rFonts w:ascii="Arial" w:cs="Arial" w:eastAsia="Arial" w:hAnsi="Arial"/>
          <w:sz w:val="18"/>
          <w:szCs w:val="18"/>
          <w:color w:val="auto"/>
        </w:rPr>
        <w:t>BTIG reviewed and analyzed certain publicly available information for the following acquisitions involving online retailers, luxury retailers, fashion and lifestyle brands and other target companies that were announced between September 2014 and May 2025 which disclosed valuation metrics, as follows: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E4C0D9"/>
          </w:tcPr>
          <w:p>
            <w:pPr>
              <w:spacing w:after="0"/>
              <w:rPr>
                <w:sz w:val="22"/>
                <w:szCs w:val="22"/>
                <w:color w:val="auto"/>
              </w:rPr>
            </w:pPr>
          </w:p>
        </w:tc>
        <w:tc>
          <w:tcPr>
            <w:tcW w:w="2340" w:type="dxa"/>
            <w:vAlign w:val="bottom"/>
            <w:shd w:val="clear" w:color="auto" w:fill="E4C0D9"/>
          </w:tcPr>
          <w:p>
            <w:pPr>
              <w:spacing w:after="0"/>
              <w:rPr>
                <w:sz w:val="22"/>
                <w:szCs w:val="22"/>
                <w:color w:val="auto"/>
              </w:rPr>
            </w:pPr>
          </w:p>
        </w:tc>
        <w:tc>
          <w:tcPr>
            <w:tcW w:w="2840" w:type="dxa"/>
            <w:vAlign w:val="bottom"/>
            <w:shd w:val="clear" w:color="auto" w:fill="E4C0D9"/>
          </w:tcPr>
          <w:p>
            <w:pPr>
              <w:spacing w:after="0"/>
              <w:rPr>
                <w:sz w:val="22"/>
                <w:szCs w:val="22"/>
                <w:color w:val="auto"/>
              </w:rPr>
            </w:pPr>
          </w:p>
        </w:tc>
        <w:tc>
          <w:tcPr>
            <w:tcW w:w="2220" w:type="dxa"/>
            <w:vAlign w:val="bottom"/>
            <w:shd w:val="clear" w:color="auto" w:fill="E4C0D9"/>
          </w:tcPr>
          <w:p>
            <w:pPr>
              <w:spacing w:after="0"/>
              <w:rPr>
                <w:sz w:val="22"/>
                <w:szCs w:val="22"/>
                <w:color w:val="auto"/>
              </w:rPr>
            </w:pP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Implied</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Implied</w:t>
            </w:r>
          </w:p>
        </w:tc>
        <w:tc>
          <w:tcPr>
            <w:tcW w:w="0" w:type="dxa"/>
            <w:vAlign w:val="bottom"/>
          </w:tcPr>
          <w:p>
            <w:pPr>
              <w:spacing w:after="0"/>
              <w:rPr>
                <w:sz w:val="1"/>
                <w:szCs w:val="1"/>
                <w:color w:val="auto"/>
              </w:rPr>
            </w:pPr>
          </w:p>
        </w:tc>
      </w:tr>
      <w:tr>
        <w:trPr>
          <w:trHeight w:val="162"/>
        </w:trPr>
        <w:tc>
          <w:tcPr>
            <w:tcW w:w="100" w:type="dxa"/>
            <w:vAlign w:val="bottom"/>
            <w:shd w:val="clear" w:color="auto" w:fill="E4C0D9"/>
          </w:tcPr>
          <w:p>
            <w:pPr>
              <w:spacing w:after="0"/>
              <w:rPr>
                <w:sz w:val="14"/>
                <w:szCs w:val="14"/>
                <w:color w:val="auto"/>
              </w:rPr>
            </w:pPr>
          </w:p>
        </w:tc>
        <w:tc>
          <w:tcPr>
            <w:tcW w:w="234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Announced Date</w:t>
            </w:r>
          </w:p>
        </w:tc>
        <w:tc>
          <w:tcPr>
            <w:tcW w:w="2840" w:type="dxa"/>
            <w:vAlign w:val="bottom"/>
            <w:vMerge w:val="restart"/>
            <w:shd w:val="clear" w:color="auto" w:fill="E4C0D9"/>
          </w:tcPr>
          <w:p>
            <w:pPr>
              <w:jc w:val="center"/>
              <w:ind w:left="888"/>
              <w:spacing w:after="0"/>
              <w:rPr>
                <w:sz w:val="20"/>
                <w:szCs w:val="20"/>
                <w:color w:val="auto"/>
              </w:rPr>
            </w:pPr>
            <w:r>
              <w:rPr>
                <w:rFonts w:ascii="Arial" w:cs="Arial" w:eastAsia="Arial" w:hAnsi="Arial"/>
                <w:sz w:val="14"/>
                <w:szCs w:val="14"/>
                <w:b w:val="1"/>
                <w:bCs w:val="1"/>
                <w:color w:val="auto"/>
              </w:rPr>
              <w:t>Target</w:t>
            </w:r>
          </w:p>
        </w:tc>
        <w:tc>
          <w:tcPr>
            <w:tcW w:w="222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Buyer</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Enterprise</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Enterprise</w:t>
            </w:r>
          </w:p>
        </w:tc>
        <w:tc>
          <w:tcPr>
            <w:tcW w:w="0" w:type="dxa"/>
            <w:vAlign w:val="bottom"/>
          </w:tcPr>
          <w:p>
            <w:pPr>
              <w:spacing w:after="0"/>
              <w:rPr>
                <w:sz w:val="1"/>
                <w:szCs w:val="1"/>
                <w:color w:val="auto"/>
              </w:rPr>
            </w:pPr>
          </w:p>
        </w:tc>
      </w:tr>
      <w:tr>
        <w:trPr>
          <w:trHeight w:val="115"/>
        </w:trPr>
        <w:tc>
          <w:tcPr>
            <w:tcW w:w="100" w:type="dxa"/>
            <w:vAlign w:val="bottom"/>
            <w:shd w:val="clear" w:color="auto" w:fill="E4C0D9"/>
          </w:tcPr>
          <w:p>
            <w:pPr>
              <w:spacing w:after="0"/>
              <w:rPr>
                <w:sz w:val="10"/>
                <w:szCs w:val="10"/>
                <w:color w:val="auto"/>
              </w:rPr>
            </w:pPr>
          </w:p>
        </w:tc>
        <w:tc>
          <w:tcPr>
            <w:tcW w:w="2340" w:type="dxa"/>
            <w:vAlign w:val="bottom"/>
            <w:vMerge w:val="continue"/>
            <w:shd w:val="clear" w:color="auto" w:fill="E4C0D9"/>
          </w:tcPr>
          <w:p>
            <w:pPr>
              <w:spacing w:after="0"/>
              <w:rPr>
                <w:sz w:val="10"/>
                <w:szCs w:val="10"/>
                <w:color w:val="auto"/>
              </w:rPr>
            </w:pPr>
          </w:p>
        </w:tc>
        <w:tc>
          <w:tcPr>
            <w:tcW w:w="2840" w:type="dxa"/>
            <w:vAlign w:val="bottom"/>
            <w:vMerge w:val="continue"/>
            <w:shd w:val="clear" w:color="auto" w:fill="E4C0D9"/>
          </w:tcPr>
          <w:p>
            <w:pPr>
              <w:spacing w:after="0"/>
              <w:rPr>
                <w:sz w:val="10"/>
                <w:szCs w:val="10"/>
                <w:color w:val="auto"/>
              </w:rPr>
            </w:pPr>
          </w:p>
        </w:tc>
        <w:tc>
          <w:tcPr>
            <w:tcW w:w="2220" w:type="dxa"/>
            <w:vAlign w:val="bottom"/>
            <w:vMerge w:val="continue"/>
            <w:shd w:val="clear" w:color="auto" w:fill="E4C0D9"/>
          </w:tcPr>
          <w:p>
            <w:pPr>
              <w:spacing w:after="0"/>
              <w:rPr>
                <w:sz w:val="10"/>
                <w:szCs w:val="10"/>
                <w:color w:val="auto"/>
              </w:rPr>
            </w:pPr>
          </w:p>
        </w:tc>
        <w:tc>
          <w:tcPr>
            <w:tcW w:w="100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Value (in</w:t>
            </w:r>
          </w:p>
        </w:tc>
        <w:tc>
          <w:tcPr>
            <w:tcW w:w="100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w w:val="99"/>
              </w:rPr>
              <w:t>Value/LTM</w:t>
            </w:r>
          </w:p>
        </w:tc>
        <w:tc>
          <w:tcPr>
            <w:tcW w:w="0" w:type="dxa"/>
            <w:vAlign w:val="bottom"/>
          </w:tcPr>
          <w:p>
            <w:pPr>
              <w:spacing w:after="0"/>
              <w:rPr>
                <w:sz w:val="1"/>
                <w:szCs w:val="1"/>
                <w:color w:val="auto"/>
              </w:rPr>
            </w:pPr>
          </w:p>
        </w:tc>
      </w:tr>
      <w:tr>
        <w:trPr>
          <w:trHeight w:val="47"/>
        </w:trPr>
        <w:tc>
          <w:tcPr>
            <w:tcW w:w="100" w:type="dxa"/>
            <w:vAlign w:val="bottom"/>
            <w:shd w:val="clear" w:color="auto" w:fill="E4C0D9"/>
          </w:tcPr>
          <w:p>
            <w:pPr>
              <w:spacing w:after="0"/>
              <w:rPr>
                <w:sz w:val="4"/>
                <w:szCs w:val="4"/>
                <w:color w:val="auto"/>
              </w:rPr>
            </w:pPr>
          </w:p>
        </w:tc>
        <w:tc>
          <w:tcPr>
            <w:tcW w:w="2340" w:type="dxa"/>
            <w:vAlign w:val="bottom"/>
            <w:shd w:val="clear" w:color="auto" w:fill="E4C0D9"/>
          </w:tcPr>
          <w:p>
            <w:pPr>
              <w:spacing w:after="0"/>
              <w:rPr>
                <w:sz w:val="4"/>
                <w:szCs w:val="4"/>
                <w:color w:val="auto"/>
              </w:rPr>
            </w:pPr>
          </w:p>
        </w:tc>
        <w:tc>
          <w:tcPr>
            <w:tcW w:w="2840" w:type="dxa"/>
            <w:vAlign w:val="bottom"/>
            <w:shd w:val="clear" w:color="auto" w:fill="E4C0D9"/>
          </w:tcPr>
          <w:p>
            <w:pPr>
              <w:spacing w:after="0"/>
              <w:rPr>
                <w:sz w:val="4"/>
                <w:szCs w:val="4"/>
                <w:color w:val="auto"/>
              </w:rPr>
            </w:pPr>
          </w:p>
        </w:tc>
        <w:tc>
          <w:tcPr>
            <w:tcW w:w="2220" w:type="dxa"/>
            <w:vAlign w:val="bottom"/>
            <w:shd w:val="clear" w:color="auto" w:fill="E4C0D9"/>
          </w:tcPr>
          <w:p>
            <w:pPr>
              <w:spacing w:after="0"/>
              <w:rPr>
                <w:sz w:val="4"/>
                <w:szCs w:val="4"/>
                <w:color w:val="auto"/>
              </w:rPr>
            </w:pPr>
          </w:p>
        </w:tc>
        <w:tc>
          <w:tcPr>
            <w:tcW w:w="1000" w:type="dxa"/>
            <w:vAlign w:val="bottom"/>
            <w:vMerge w:val="continue"/>
            <w:shd w:val="clear" w:color="auto" w:fill="E4C0D9"/>
          </w:tcPr>
          <w:p>
            <w:pPr>
              <w:spacing w:after="0"/>
              <w:rPr>
                <w:sz w:val="4"/>
                <w:szCs w:val="4"/>
                <w:color w:val="auto"/>
              </w:rPr>
            </w:pPr>
          </w:p>
        </w:tc>
        <w:tc>
          <w:tcPr>
            <w:tcW w:w="1000" w:type="dxa"/>
            <w:vAlign w:val="bottom"/>
            <w:vMerge w:val="continue"/>
            <w:shd w:val="clear" w:color="auto" w:fill="E4C0D9"/>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E4C0D9"/>
          </w:tcPr>
          <w:p>
            <w:pPr>
              <w:spacing w:after="0"/>
              <w:rPr>
                <w:sz w:val="17"/>
                <w:szCs w:val="17"/>
                <w:color w:val="auto"/>
              </w:rPr>
            </w:pPr>
          </w:p>
        </w:tc>
        <w:tc>
          <w:tcPr>
            <w:tcW w:w="2340" w:type="dxa"/>
            <w:vAlign w:val="bottom"/>
            <w:shd w:val="clear" w:color="auto" w:fill="E4C0D9"/>
          </w:tcPr>
          <w:p>
            <w:pPr>
              <w:spacing w:after="0"/>
              <w:rPr>
                <w:sz w:val="17"/>
                <w:szCs w:val="17"/>
                <w:color w:val="auto"/>
              </w:rPr>
            </w:pPr>
          </w:p>
        </w:tc>
        <w:tc>
          <w:tcPr>
            <w:tcW w:w="2840" w:type="dxa"/>
            <w:vAlign w:val="bottom"/>
            <w:shd w:val="clear" w:color="auto" w:fill="E4C0D9"/>
          </w:tcPr>
          <w:p>
            <w:pPr>
              <w:spacing w:after="0"/>
              <w:rPr>
                <w:sz w:val="17"/>
                <w:szCs w:val="17"/>
                <w:color w:val="auto"/>
              </w:rPr>
            </w:pPr>
          </w:p>
        </w:tc>
        <w:tc>
          <w:tcPr>
            <w:tcW w:w="2220" w:type="dxa"/>
            <w:vAlign w:val="bottom"/>
            <w:shd w:val="clear" w:color="auto" w:fill="E4C0D9"/>
          </w:tcPr>
          <w:p>
            <w:pPr>
              <w:spacing w:after="0"/>
              <w:rPr>
                <w:sz w:val="17"/>
                <w:szCs w:val="17"/>
                <w:color w:val="auto"/>
              </w:rPr>
            </w:pP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billions)</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shd w:val="clear" w:color="auto" w:fill="E4C0D9"/>
          </w:tcPr>
          <w:p>
            <w:pPr>
              <w:spacing w:after="0"/>
              <w:rPr>
                <w:sz w:val="6"/>
                <w:szCs w:val="6"/>
                <w:color w:val="auto"/>
              </w:rPr>
            </w:pPr>
          </w:p>
        </w:tc>
        <w:tc>
          <w:tcPr>
            <w:tcW w:w="2340" w:type="dxa"/>
            <w:vAlign w:val="bottom"/>
            <w:tcBorders>
              <w:bottom w:val="single" w:sz="8" w:color="auto"/>
            </w:tcBorders>
            <w:shd w:val="clear" w:color="auto" w:fill="E4C0D9"/>
          </w:tcPr>
          <w:p>
            <w:pPr>
              <w:spacing w:after="0"/>
              <w:rPr>
                <w:sz w:val="6"/>
                <w:szCs w:val="6"/>
                <w:color w:val="auto"/>
              </w:rPr>
            </w:pPr>
          </w:p>
        </w:tc>
        <w:tc>
          <w:tcPr>
            <w:tcW w:w="2840" w:type="dxa"/>
            <w:vAlign w:val="bottom"/>
            <w:tcBorders>
              <w:bottom w:val="single" w:sz="8" w:color="auto"/>
            </w:tcBorders>
            <w:shd w:val="clear" w:color="auto" w:fill="E4C0D9"/>
          </w:tcPr>
          <w:p>
            <w:pPr>
              <w:spacing w:after="0"/>
              <w:rPr>
                <w:sz w:val="6"/>
                <w:szCs w:val="6"/>
                <w:color w:val="auto"/>
              </w:rPr>
            </w:pPr>
          </w:p>
        </w:tc>
        <w:tc>
          <w:tcPr>
            <w:tcW w:w="2220" w:type="dxa"/>
            <w:vAlign w:val="bottom"/>
            <w:tcBorders>
              <w:bottom w:val="single" w:sz="8" w:color="auto"/>
            </w:tcBorders>
            <w:shd w:val="clear" w:color="auto" w:fill="E4C0D9"/>
          </w:tcPr>
          <w:p>
            <w:pPr>
              <w:spacing w:after="0"/>
              <w:rPr>
                <w:sz w:val="6"/>
                <w:szCs w:val="6"/>
                <w:color w:val="auto"/>
              </w:rPr>
            </w:pPr>
          </w:p>
        </w:tc>
        <w:tc>
          <w:tcPr>
            <w:tcW w:w="1000" w:type="dxa"/>
            <w:vAlign w:val="bottom"/>
            <w:tcBorders>
              <w:bottom w:val="single" w:sz="8" w:color="auto"/>
            </w:tcBorders>
            <w:shd w:val="clear" w:color="auto" w:fill="E4C0D9"/>
          </w:tcPr>
          <w:p>
            <w:pPr>
              <w:spacing w:after="0"/>
              <w:rPr>
                <w:sz w:val="6"/>
                <w:szCs w:val="6"/>
                <w:color w:val="auto"/>
              </w:rPr>
            </w:pPr>
          </w:p>
        </w:tc>
        <w:tc>
          <w:tcPr>
            <w:tcW w:w="100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00" w:type="dxa"/>
            <w:vAlign w:val="bottom"/>
          </w:tcPr>
          <w:p>
            <w:pPr>
              <w:spacing w:after="0"/>
              <w:rPr>
                <w:sz w:val="23"/>
                <w:szCs w:val="23"/>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April 2017</w:t>
            </w:r>
          </w:p>
        </w:tc>
        <w:tc>
          <w:tcPr>
            <w:tcW w:w="2840" w:type="dxa"/>
            <w:vAlign w:val="bottom"/>
          </w:tcPr>
          <w:p>
            <w:pPr>
              <w:jc w:val="center"/>
              <w:ind w:left="908"/>
              <w:spacing w:after="0"/>
              <w:rPr>
                <w:sz w:val="20"/>
                <w:szCs w:val="20"/>
                <w:color w:val="auto"/>
              </w:rPr>
            </w:pPr>
            <w:r>
              <w:rPr>
                <w:rFonts w:ascii="Arial" w:cs="Arial" w:eastAsia="Arial" w:hAnsi="Arial"/>
                <w:sz w:val="14"/>
                <w:szCs w:val="14"/>
                <w:color w:val="auto"/>
              </w:rPr>
              <w:t>Chewy, Inc.</w:t>
            </w:r>
          </w:p>
        </w:tc>
        <w:tc>
          <w:tcPr>
            <w:tcW w:w="2220" w:type="dxa"/>
            <w:vAlign w:val="bottom"/>
          </w:tcPr>
          <w:p>
            <w:pPr>
              <w:jc w:val="center"/>
              <w:spacing w:after="0"/>
              <w:rPr>
                <w:sz w:val="20"/>
                <w:szCs w:val="20"/>
                <w:color w:val="auto"/>
              </w:rPr>
            </w:pPr>
            <w:r>
              <w:rPr>
                <w:rFonts w:ascii="Arial" w:cs="Arial" w:eastAsia="Arial" w:hAnsi="Arial"/>
                <w:sz w:val="14"/>
                <w:szCs w:val="14"/>
                <w:color w:val="auto"/>
              </w:rPr>
              <w:t>PetSmart, Inc.</w:t>
            </w:r>
          </w:p>
        </w:tc>
        <w:tc>
          <w:tcPr>
            <w:tcW w:w="1000" w:type="dxa"/>
            <w:vAlign w:val="bottom"/>
          </w:tcPr>
          <w:p>
            <w:pPr>
              <w:jc w:val="center"/>
              <w:spacing w:after="0"/>
              <w:rPr>
                <w:sz w:val="20"/>
                <w:szCs w:val="20"/>
                <w:color w:val="auto"/>
              </w:rPr>
            </w:pPr>
            <w:r>
              <w:rPr>
                <w:rFonts w:ascii="Arial" w:cs="Arial" w:eastAsia="Arial" w:hAnsi="Arial"/>
                <w:sz w:val="14"/>
                <w:szCs w:val="14"/>
                <w:color w:val="auto"/>
              </w:rPr>
              <w:t>$3.4</w:t>
            </w:r>
          </w:p>
        </w:tc>
        <w:tc>
          <w:tcPr>
            <w:tcW w:w="1000" w:type="dxa"/>
            <w:vAlign w:val="bottom"/>
          </w:tcPr>
          <w:p>
            <w:pPr>
              <w:jc w:val="center"/>
              <w:spacing w:after="0"/>
              <w:rPr>
                <w:sz w:val="20"/>
                <w:szCs w:val="20"/>
                <w:color w:val="auto"/>
              </w:rPr>
            </w:pPr>
            <w:r>
              <w:rPr>
                <w:rFonts w:ascii="Arial" w:cs="Arial" w:eastAsia="Arial" w:hAnsi="Arial"/>
                <w:sz w:val="14"/>
                <w:szCs w:val="14"/>
                <w:color w:val="auto"/>
              </w:rPr>
              <w:t>3.72x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October 2022</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Poshmark, Inc.</w:t>
            </w:r>
          </w:p>
        </w:tc>
        <w:tc>
          <w:tcPr>
            <w:tcW w:w="2220" w:type="dxa"/>
            <w:vAlign w:val="bottom"/>
          </w:tcPr>
          <w:p>
            <w:pPr>
              <w:jc w:val="center"/>
              <w:spacing w:after="0"/>
              <w:rPr>
                <w:sz w:val="20"/>
                <w:szCs w:val="20"/>
                <w:color w:val="auto"/>
              </w:rPr>
            </w:pPr>
            <w:r>
              <w:rPr>
                <w:rFonts w:ascii="Arial" w:cs="Arial" w:eastAsia="Arial" w:hAnsi="Arial"/>
                <w:sz w:val="14"/>
                <w:szCs w:val="14"/>
                <w:color w:val="auto"/>
              </w:rPr>
              <w:t>Naver Corp.</w:t>
            </w:r>
          </w:p>
        </w:tc>
        <w:tc>
          <w:tcPr>
            <w:tcW w:w="1000" w:type="dxa"/>
            <w:vAlign w:val="bottom"/>
          </w:tcPr>
          <w:p>
            <w:pPr>
              <w:jc w:val="center"/>
              <w:spacing w:after="0"/>
              <w:rPr>
                <w:sz w:val="20"/>
                <w:szCs w:val="20"/>
                <w:color w:val="auto"/>
              </w:rPr>
            </w:pPr>
            <w:r>
              <w:rPr>
                <w:rFonts w:ascii="Arial" w:cs="Arial" w:eastAsia="Arial" w:hAnsi="Arial"/>
                <w:sz w:val="14"/>
                <w:szCs w:val="14"/>
                <w:color w:val="auto"/>
              </w:rPr>
              <w:t>$1.2</w:t>
            </w:r>
          </w:p>
        </w:tc>
        <w:tc>
          <w:tcPr>
            <w:tcW w:w="1000" w:type="dxa"/>
            <w:vAlign w:val="bottom"/>
          </w:tcPr>
          <w:p>
            <w:pPr>
              <w:jc w:val="center"/>
              <w:spacing w:after="0"/>
              <w:rPr>
                <w:sz w:val="20"/>
                <w:szCs w:val="20"/>
                <w:color w:val="auto"/>
              </w:rPr>
            </w:pPr>
            <w:r>
              <w:rPr>
                <w:rFonts w:ascii="Arial" w:cs="Arial" w:eastAsia="Arial" w:hAnsi="Arial"/>
                <w:sz w:val="14"/>
                <w:szCs w:val="14"/>
                <w:color w:val="auto"/>
              </w:rPr>
              <w:t>3.46x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September 2014</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MyTheresa</w:t>
            </w:r>
          </w:p>
        </w:tc>
        <w:tc>
          <w:tcPr>
            <w:tcW w:w="2220" w:type="dxa"/>
            <w:vAlign w:val="bottom"/>
          </w:tcPr>
          <w:p>
            <w:pPr>
              <w:jc w:val="center"/>
              <w:spacing w:after="0"/>
              <w:rPr>
                <w:sz w:val="20"/>
                <w:szCs w:val="20"/>
                <w:color w:val="auto"/>
              </w:rPr>
            </w:pPr>
            <w:r>
              <w:rPr>
                <w:rFonts w:ascii="Arial" w:cs="Arial" w:eastAsia="Arial" w:hAnsi="Arial"/>
                <w:sz w:val="14"/>
                <w:szCs w:val="14"/>
                <w:color w:val="auto"/>
              </w:rPr>
              <w:t>Neiman Marcus Group</w:t>
            </w:r>
          </w:p>
        </w:tc>
        <w:tc>
          <w:tcPr>
            <w:tcW w:w="1000" w:type="dxa"/>
            <w:vAlign w:val="bottom"/>
          </w:tcPr>
          <w:p>
            <w:pPr>
              <w:jc w:val="center"/>
              <w:spacing w:after="0"/>
              <w:rPr>
                <w:sz w:val="20"/>
                <w:szCs w:val="20"/>
                <w:color w:val="auto"/>
              </w:rPr>
            </w:pPr>
            <w:r>
              <w:rPr>
                <w:rFonts w:ascii="Arial" w:cs="Arial" w:eastAsia="Arial" w:hAnsi="Arial"/>
                <w:sz w:val="14"/>
                <w:szCs w:val="14"/>
                <w:color w:val="auto"/>
              </w:rPr>
              <w:t>$0.2</w:t>
            </w:r>
          </w:p>
        </w:tc>
        <w:tc>
          <w:tcPr>
            <w:tcW w:w="1000" w:type="dxa"/>
            <w:vAlign w:val="bottom"/>
          </w:tcPr>
          <w:p>
            <w:pPr>
              <w:jc w:val="center"/>
              <w:spacing w:after="0"/>
              <w:rPr>
                <w:sz w:val="20"/>
                <w:szCs w:val="20"/>
                <w:color w:val="auto"/>
              </w:rPr>
            </w:pPr>
            <w:r>
              <w:rPr>
                <w:rFonts w:ascii="Arial" w:cs="Arial" w:eastAsia="Arial" w:hAnsi="Arial"/>
                <w:sz w:val="14"/>
                <w:szCs w:val="14"/>
                <w:color w:val="auto"/>
              </w:rPr>
              <w:t>1.98x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340" w:type="dxa"/>
            <w:vAlign w:val="bottom"/>
            <w:vMerge w:val="restart"/>
          </w:tcPr>
          <w:p>
            <w:pPr>
              <w:ind w:left="40"/>
              <w:spacing w:after="0"/>
              <w:rPr>
                <w:sz w:val="20"/>
                <w:szCs w:val="20"/>
                <w:color w:val="auto"/>
              </w:rPr>
            </w:pPr>
            <w:r>
              <w:rPr>
                <w:rFonts w:ascii="Arial" w:cs="Arial" w:eastAsia="Arial" w:hAnsi="Arial"/>
                <w:sz w:val="14"/>
                <w:szCs w:val="14"/>
                <w:color w:val="auto"/>
              </w:rPr>
              <w:t>August 2019</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New Guards Group</w:t>
            </w: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rPr>
              <w:t>Farfetch Limited</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$0.7</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1.96x</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2840" w:type="dxa"/>
            <w:vAlign w:val="bottom"/>
            <w:vMerge w:val="restart"/>
          </w:tcPr>
          <w:p>
            <w:pPr>
              <w:jc w:val="center"/>
              <w:ind w:left="888"/>
              <w:spacing w:after="0"/>
              <w:rPr>
                <w:sz w:val="20"/>
                <w:szCs w:val="20"/>
                <w:color w:val="auto"/>
              </w:rPr>
            </w:pPr>
            <w:r>
              <w:rPr>
                <w:rFonts w:ascii="Arial" w:cs="Arial" w:eastAsia="Arial" w:hAnsi="Arial"/>
                <w:sz w:val="14"/>
                <w:szCs w:val="14"/>
                <w:color w:val="auto"/>
              </w:rPr>
              <w:t>S.p.A</w:t>
            </w:r>
          </w:p>
        </w:tc>
        <w:tc>
          <w:tcPr>
            <w:tcW w:w="22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May 2017</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Kate Spade &amp; Company</w:t>
            </w:r>
          </w:p>
        </w:tc>
        <w:tc>
          <w:tcPr>
            <w:tcW w:w="2220" w:type="dxa"/>
            <w:vAlign w:val="bottom"/>
          </w:tcPr>
          <w:p>
            <w:pPr>
              <w:jc w:val="center"/>
              <w:spacing w:after="0"/>
              <w:rPr>
                <w:sz w:val="20"/>
                <w:szCs w:val="20"/>
                <w:color w:val="auto"/>
              </w:rPr>
            </w:pPr>
            <w:r>
              <w:rPr>
                <w:rFonts w:ascii="Arial" w:cs="Arial" w:eastAsia="Arial" w:hAnsi="Arial"/>
                <w:sz w:val="14"/>
                <w:szCs w:val="14"/>
                <w:color w:val="auto"/>
              </w:rPr>
              <w:t>Coach, Inc.</w:t>
            </w:r>
          </w:p>
        </w:tc>
        <w:tc>
          <w:tcPr>
            <w:tcW w:w="1000" w:type="dxa"/>
            <w:vAlign w:val="bottom"/>
          </w:tcPr>
          <w:p>
            <w:pPr>
              <w:jc w:val="center"/>
              <w:spacing w:after="0"/>
              <w:rPr>
                <w:sz w:val="20"/>
                <w:szCs w:val="20"/>
                <w:color w:val="auto"/>
              </w:rPr>
            </w:pPr>
            <w:r>
              <w:rPr>
                <w:rFonts w:ascii="Arial" w:cs="Arial" w:eastAsia="Arial" w:hAnsi="Arial"/>
                <w:sz w:val="14"/>
                <w:szCs w:val="14"/>
                <w:color w:val="auto"/>
              </w:rPr>
              <w:t>$2.4</w:t>
            </w:r>
          </w:p>
        </w:tc>
        <w:tc>
          <w:tcPr>
            <w:tcW w:w="1000" w:type="dxa"/>
            <w:vAlign w:val="bottom"/>
          </w:tcPr>
          <w:p>
            <w:pPr>
              <w:jc w:val="center"/>
              <w:spacing w:after="0"/>
              <w:rPr>
                <w:sz w:val="20"/>
                <w:szCs w:val="20"/>
                <w:color w:val="auto"/>
              </w:rPr>
            </w:pPr>
            <w:r>
              <w:rPr>
                <w:rFonts w:ascii="Arial" w:cs="Arial" w:eastAsia="Arial" w:hAnsi="Arial"/>
                <w:sz w:val="14"/>
                <w:szCs w:val="14"/>
                <w:color w:val="auto"/>
              </w:rPr>
              <w:t>1.75x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August 2015</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w w:val="98"/>
              </w:rPr>
              <w:t>zulily, inc.</w:t>
            </w:r>
          </w:p>
        </w:tc>
        <w:tc>
          <w:tcPr>
            <w:tcW w:w="2220" w:type="dxa"/>
            <w:vAlign w:val="bottom"/>
          </w:tcPr>
          <w:p>
            <w:pPr>
              <w:jc w:val="center"/>
              <w:spacing w:after="0"/>
              <w:rPr>
                <w:sz w:val="20"/>
                <w:szCs w:val="20"/>
                <w:color w:val="auto"/>
              </w:rPr>
            </w:pPr>
            <w:r>
              <w:rPr>
                <w:rFonts w:ascii="Arial" w:cs="Arial" w:eastAsia="Arial" w:hAnsi="Arial"/>
                <w:sz w:val="14"/>
                <w:szCs w:val="14"/>
                <w:color w:val="auto"/>
              </w:rPr>
              <w:t>Liberty Interactive Corporation</w:t>
            </w:r>
          </w:p>
        </w:tc>
        <w:tc>
          <w:tcPr>
            <w:tcW w:w="1000" w:type="dxa"/>
            <w:vAlign w:val="bottom"/>
          </w:tcPr>
          <w:p>
            <w:pPr>
              <w:jc w:val="center"/>
              <w:spacing w:after="0"/>
              <w:rPr>
                <w:sz w:val="20"/>
                <w:szCs w:val="20"/>
                <w:color w:val="auto"/>
              </w:rPr>
            </w:pPr>
            <w:r>
              <w:rPr>
                <w:rFonts w:ascii="Arial" w:cs="Arial" w:eastAsia="Arial" w:hAnsi="Arial"/>
                <w:sz w:val="14"/>
                <w:szCs w:val="14"/>
                <w:color w:val="auto"/>
              </w:rPr>
              <w:t>$2.2</w:t>
            </w:r>
          </w:p>
        </w:tc>
        <w:tc>
          <w:tcPr>
            <w:tcW w:w="1000" w:type="dxa"/>
            <w:vAlign w:val="bottom"/>
          </w:tcPr>
          <w:p>
            <w:pPr>
              <w:jc w:val="center"/>
              <w:spacing w:after="0"/>
              <w:rPr>
                <w:sz w:val="20"/>
                <w:szCs w:val="20"/>
                <w:color w:val="auto"/>
              </w:rPr>
            </w:pPr>
            <w:r>
              <w:rPr>
                <w:rFonts w:ascii="Arial" w:cs="Arial" w:eastAsia="Arial" w:hAnsi="Arial"/>
                <w:sz w:val="14"/>
                <w:szCs w:val="14"/>
                <w:color w:val="auto"/>
              </w:rPr>
              <w:t>1.71x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November 2016</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Blue Nile Inc.</w:t>
            </w:r>
          </w:p>
        </w:tc>
        <w:tc>
          <w:tcPr>
            <w:tcW w:w="2220" w:type="dxa"/>
            <w:vAlign w:val="bottom"/>
          </w:tcPr>
          <w:p>
            <w:pPr>
              <w:jc w:val="center"/>
              <w:spacing w:after="0"/>
              <w:rPr>
                <w:sz w:val="20"/>
                <w:szCs w:val="20"/>
                <w:color w:val="auto"/>
              </w:rPr>
            </w:pPr>
            <w:r>
              <w:rPr>
                <w:rFonts w:ascii="Arial" w:cs="Arial" w:eastAsia="Arial" w:hAnsi="Arial"/>
                <w:sz w:val="14"/>
                <w:szCs w:val="14"/>
                <w:color w:val="auto"/>
              </w:rPr>
              <w:t>Bain Capital</w:t>
            </w:r>
          </w:p>
        </w:tc>
        <w:tc>
          <w:tcPr>
            <w:tcW w:w="1000" w:type="dxa"/>
            <w:vAlign w:val="bottom"/>
          </w:tcPr>
          <w:p>
            <w:pPr>
              <w:jc w:val="center"/>
              <w:spacing w:after="0"/>
              <w:rPr>
                <w:sz w:val="20"/>
                <w:szCs w:val="20"/>
                <w:color w:val="auto"/>
              </w:rPr>
            </w:pPr>
            <w:r>
              <w:rPr>
                <w:rFonts w:ascii="Arial" w:cs="Arial" w:eastAsia="Arial" w:hAnsi="Arial"/>
                <w:sz w:val="14"/>
                <w:szCs w:val="14"/>
                <w:color w:val="auto"/>
              </w:rPr>
              <w:t>$0.5</w:t>
            </w:r>
          </w:p>
        </w:tc>
        <w:tc>
          <w:tcPr>
            <w:tcW w:w="1000" w:type="dxa"/>
            <w:vAlign w:val="bottom"/>
          </w:tcPr>
          <w:p>
            <w:pPr>
              <w:jc w:val="center"/>
              <w:spacing w:after="0"/>
              <w:rPr>
                <w:sz w:val="20"/>
                <w:szCs w:val="20"/>
                <w:color w:val="auto"/>
              </w:rPr>
            </w:pPr>
            <w:r>
              <w:rPr>
                <w:rFonts w:ascii="Arial" w:cs="Arial" w:eastAsia="Arial" w:hAnsi="Arial"/>
                <w:sz w:val="14"/>
                <w:szCs w:val="14"/>
                <w:color w:val="auto"/>
              </w:rPr>
              <w:t>0.97x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August 2022</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Blue Nile Inc.</w:t>
            </w:r>
          </w:p>
        </w:tc>
        <w:tc>
          <w:tcPr>
            <w:tcW w:w="2220" w:type="dxa"/>
            <w:vAlign w:val="bottom"/>
          </w:tcPr>
          <w:p>
            <w:pPr>
              <w:jc w:val="center"/>
              <w:spacing w:after="0"/>
              <w:rPr>
                <w:sz w:val="20"/>
                <w:szCs w:val="20"/>
                <w:color w:val="auto"/>
              </w:rPr>
            </w:pPr>
            <w:r>
              <w:rPr>
                <w:rFonts w:ascii="Arial" w:cs="Arial" w:eastAsia="Arial" w:hAnsi="Arial"/>
                <w:sz w:val="14"/>
                <w:szCs w:val="14"/>
                <w:color w:val="auto"/>
              </w:rPr>
              <w:t>Signet Jewelers Limited</w:t>
            </w:r>
          </w:p>
        </w:tc>
        <w:tc>
          <w:tcPr>
            <w:tcW w:w="1000" w:type="dxa"/>
            <w:vAlign w:val="bottom"/>
          </w:tcPr>
          <w:p>
            <w:pPr>
              <w:jc w:val="center"/>
              <w:spacing w:after="0"/>
              <w:rPr>
                <w:sz w:val="20"/>
                <w:szCs w:val="20"/>
                <w:color w:val="auto"/>
              </w:rPr>
            </w:pPr>
            <w:r>
              <w:rPr>
                <w:rFonts w:ascii="Arial" w:cs="Arial" w:eastAsia="Arial" w:hAnsi="Arial"/>
                <w:sz w:val="14"/>
                <w:szCs w:val="14"/>
                <w:color w:val="auto"/>
              </w:rPr>
              <w:t>$0.4</w:t>
            </w:r>
          </w:p>
        </w:tc>
        <w:tc>
          <w:tcPr>
            <w:tcW w:w="1000" w:type="dxa"/>
            <w:vAlign w:val="bottom"/>
          </w:tcPr>
          <w:p>
            <w:pPr>
              <w:jc w:val="center"/>
              <w:spacing w:after="0"/>
              <w:rPr>
                <w:sz w:val="20"/>
                <w:szCs w:val="20"/>
                <w:color w:val="auto"/>
              </w:rPr>
            </w:pPr>
            <w:r>
              <w:rPr>
                <w:rFonts w:ascii="Arial" w:cs="Arial" w:eastAsia="Arial" w:hAnsi="Arial"/>
                <w:sz w:val="14"/>
                <w:szCs w:val="14"/>
                <w:color w:val="auto"/>
              </w:rPr>
              <w:t>0.72x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September 2023</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Chico’s FAS, Inc.</w:t>
            </w:r>
          </w:p>
        </w:tc>
        <w:tc>
          <w:tcPr>
            <w:tcW w:w="2220" w:type="dxa"/>
            <w:vAlign w:val="bottom"/>
          </w:tcPr>
          <w:p>
            <w:pPr>
              <w:jc w:val="center"/>
              <w:spacing w:after="0"/>
              <w:rPr>
                <w:sz w:val="20"/>
                <w:szCs w:val="20"/>
                <w:color w:val="auto"/>
              </w:rPr>
            </w:pPr>
            <w:r>
              <w:rPr>
                <w:rFonts w:ascii="Arial" w:cs="Arial" w:eastAsia="Arial" w:hAnsi="Arial"/>
                <w:sz w:val="14"/>
                <w:szCs w:val="14"/>
                <w:color w:val="auto"/>
              </w:rPr>
              <w:t>Sycamore Partners</w:t>
            </w:r>
          </w:p>
        </w:tc>
        <w:tc>
          <w:tcPr>
            <w:tcW w:w="1000" w:type="dxa"/>
            <w:vAlign w:val="bottom"/>
          </w:tcPr>
          <w:p>
            <w:pPr>
              <w:jc w:val="center"/>
              <w:spacing w:after="0"/>
              <w:rPr>
                <w:sz w:val="20"/>
                <w:szCs w:val="20"/>
                <w:color w:val="auto"/>
              </w:rPr>
            </w:pPr>
            <w:r>
              <w:rPr>
                <w:rFonts w:ascii="Arial" w:cs="Arial" w:eastAsia="Arial" w:hAnsi="Arial"/>
                <w:sz w:val="14"/>
                <w:szCs w:val="14"/>
                <w:color w:val="auto"/>
              </w:rPr>
              <w:t>$1.0</w:t>
            </w:r>
          </w:p>
        </w:tc>
        <w:tc>
          <w:tcPr>
            <w:tcW w:w="1000" w:type="dxa"/>
            <w:vAlign w:val="bottom"/>
          </w:tcPr>
          <w:p>
            <w:pPr>
              <w:jc w:val="center"/>
              <w:spacing w:after="0"/>
              <w:rPr>
                <w:sz w:val="20"/>
                <w:szCs w:val="20"/>
                <w:color w:val="auto"/>
              </w:rPr>
            </w:pPr>
            <w:r>
              <w:rPr>
                <w:rFonts w:ascii="Arial" w:cs="Arial" w:eastAsia="Arial" w:hAnsi="Arial"/>
                <w:sz w:val="14"/>
                <w:szCs w:val="14"/>
                <w:color w:val="auto"/>
              </w:rPr>
              <w:t>0.42x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May 2025</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Foot Locker, Inc.</w:t>
            </w:r>
          </w:p>
        </w:tc>
        <w:tc>
          <w:tcPr>
            <w:tcW w:w="2220" w:type="dxa"/>
            <w:vAlign w:val="bottom"/>
          </w:tcPr>
          <w:p>
            <w:pPr>
              <w:jc w:val="center"/>
              <w:spacing w:after="0"/>
              <w:rPr>
                <w:sz w:val="20"/>
                <w:szCs w:val="20"/>
                <w:color w:val="auto"/>
              </w:rPr>
            </w:pPr>
            <w:r>
              <w:rPr>
                <w:rFonts w:ascii="Arial" w:cs="Arial" w:eastAsia="Arial" w:hAnsi="Arial"/>
                <w:sz w:val="14"/>
                <w:szCs w:val="14"/>
                <w:color w:val="auto"/>
              </w:rPr>
              <w:t>DICK’S Sporting Goods, Inc.</w:t>
            </w:r>
          </w:p>
        </w:tc>
        <w:tc>
          <w:tcPr>
            <w:tcW w:w="1000" w:type="dxa"/>
            <w:vAlign w:val="bottom"/>
          </w:tcPr>
          <w:p>
            <w:pPr>
              <w:jc w:val="center"/>
              <w:spacing w:after="0"/>
              <w:rPr>
                <w:sz w:val="20"/>
                <w:szCs w:val="20"/>
                <w:color w:val="auto"/>
              </w:rPr>
            </w:pPr>
            <w:r>
              <w:rPr>
                <w:rFonts w:ascii="Arial" w:cs="Arial" w:eastAsia="Arial" w:hAnsi="Arial"/>
                <w:sz w:val="14"/>
                <w:szCs w:val="14"/>
                <w:color w:val="auto"/>
              </w:rPr>
              <w:t>$2.5</w:t>
            </w:r>
          </w:p>
        </w:tc>
        <w:tc>
          <w:tcPr>
            <w:tcW w:w="1000" w:type="dxa"/>
            <w:vAlign w:val="bottom"/>
          </w:tcPr>
          <w:p>
            <w:pPr>
              <w:jc w:val="center"/>
              <w:spacing w:after="0"/>
              <w:rPr>
                <w:sz w:val="20"/>
                <w:szCs w:val="20"/>
                <w:color w:val="auto"/>
              </w:rPr>
            </w:pPr>
            <w:r>
              <w:rPr>
                <w:rFonts w:ascii="Arial" w:cs="Arial" w:eastAsia="Arial" w:hAnsi="Arial"/>
                <w:sz w:val="14"/>
                <w:szCs w:val="14"/>
                <w:color w:val="auto"/>
              </w:rPr>
              <w:t>0.31x</w:t>
            </w: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20" w:right="240"/>
        <w:spacing w:after="0" w:line="247" w:lineRule="auto"/>
        <w:rPr>
          <w:sz w:val="20"/>
          <w:szCs w:val="20"/>
          <w:color w:val="auto"/>
        </w:rPr>
      </w:pPr>
      <w:r>
        <w:rPr>
          <w:rFonts w:ascii="Arial" w:cs="Arial" w:eastAsia="Arial" w:hAnsi="Arial"/>
          <w:sz w:val="18"/>
          <w:szCs w:val="18"/>
          <w:color w:val="auto"/>
        </w:rPr>
        <w:t>BTIG selected the precedent transactions based upon its experience and knowledge of companies in each of the relevant industries. Although none of the transactions are directly comparable to the Term Loan Conversion, nor are any of the target companies directly comparable to RTR, BTIG selected transactions involving target companies with similar characteristics to the characteristics identified above in the selected public company analysis.</w:t>
      </w:r>
    </w:p>
    <w:p>
      <w:pPr>
        <w:spacing w:after="0" w:line="133" w:lineRule="exact"/>
        <w:rPr>
          <w:sz w:val="20"/>
          <w:szCs w:val="20"/>
          <w:color w:val="auto"/>
        </w:rPr>
      </w:pPr>
    </w:p>
    <w:p>
      <w:pPr>
        <w:ind w:left="20" w:right="140"/>
        <w:spacing w:after="0" w:line="239" w:lineRule="auto"/>
        <w:rPr>
          <w:sz w:val="20"/>
          <w:szCs w:val="20"/>
          <w:color w:val="auto"/>
        </w:rPr>
      </w:pPr>
      <w:r>
        <w:rPr>
          <w:rFonts w:ascii="Arial" w:cs="Arial" w:eastAsia="Arial" w:hAnsi="Arial"/>
          <w:sz w:val="18"/>
          <w:szCs w:val="18"/>
          <w:color w:val="auto"/>
        </w:rPr>
        <w:t>BTIG reviewed, among other things, the range of enterprise values of the selected target companies implied by the precedent transactions as a multiple of their revenue for the twelve months preceding each transaction. Using its professional judgment and experience, BTIG derived a range of multiples for RTR ranging from 0.60x to 0.90x of last twelve months (“</w:t>
      </w:r>
      <w:r>
        <w:rPr>
          <w:rFonts w:ascii="Arial" w:cs="Arial" w:eastAsia="Arial" w:hAnsi="Arial"/>
          <w:sz w:val="18"/>
          <w:szCs w:val="18"/>
          <w:u w:val="single" w:color="auto"/>
          <w:color w:val="auto"/>
        </w:rPr>
        <w:t>LTM</w:t>
      </w:r>
      <w:r>
        <w:rPr>
          <w:rFonts w:ascii="Arial" w:cs="Arial" w:eastAsia="Arial" w:hAnsi="Arial"/>
          <w:sz w:val="18"/>
          <w:szCs w:val="18"/>
          <w:color w:val="auto"/>
        </w:rPr>
        <w:t>”) revenues. Applying such range of multiples to RTR’s revenue for the twelve months ending April 30, 2025, in accordance with the financial statements contained in RTR’s public filings, BTIG obtained a range of enterprise values for RTR. BTIG then subtracted RTR’s pro forma net debt from the enterprise value obtained by the calculation above to obtain RTR’s equity value, and divided the resulting equity value by the number of fully diluted shares outstanding utilized by BTIG in its analysis, which resulted in an indicative share price range from $(22.40) to $(8.30).</w:t>
      </w:r>
    </w:p>
    <w:p>
      <w:pPr>
        <w:spacing w:after="0" w:line="14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BTIG compared the indicative share price range resulting from this analysis to the conversion price of $8.48 per share implied by the Term Loan Conversion. The conversion price implied by the Term Loan Conversion was above the indicative share price range resulting from the selected precedent transaction analysis outlined above, supporting a conclusion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52" w:lineRule="exact"/>
        <w:rPr>
          <w:sz w:val="20"/>
          <w:szCs w:val="20"/>
          <w:color w:val="auto"/>
        </w:rPr>
      </w:pPr>
    </w:p>
    <w:p>
      <w:pPr>
        <w:ind w:left="20" w:right="480"/>
        <w:spacing w:after="0" w:line="275" w:lineRule="auto"/>
        <w:rPr>
          <w:sz w:val="20"/>
          <w:szCs w:val="20"/>
          <w:color w:val="auto"/>
        </w:rPr>
      </w:pPr>
      <w:r>
        <w:rPr>
          <w:rFonts w:ascii="Arial" w:cs="Arial" w:eastAsia="Arial" w:hAnsi="Arial"/>
          <w:sz w:val="17"/>
          <w:szCs w:val="17"/>
          <w:color w:val="auto"/>
        </w:rPr>
        <w:t>Because the market conditions, rationale, and circumstances surrounding each of the transactions analyzed were specific to each transaction and because of the inherent differences between RTR’s businesses, operations and prospects and those of the acquired companies above, BTIG believed that it was inappropriate to, and therefore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320"/>
        <w:spacing w:after="0" w:line="275" w:lineRule="auto"/>
        <w:rPr>
          <w:sz w:val="20"/>
          <w:szCs w:val="20"/>
          <w:color w:val="auto"/>
        </w:rPr>
      </w:pPr>
      <w:r>
        <w:rPr>
          <w:rFonts w:ascii="Arial" w:cs="Arial" w:eastAsia="Arial" w:hAnsi="Arial"/>
          <w:sz w:val="17"/>
          <w:szCs w:val="17"/>
          <w:color w:val="auto"/>
        </w:rPr>
        <w:t>did not, rely solely on the quantitative results of the analysis. Accordingly, BTIG also made qualitative judgments concerning the differences between the characteristics of these transactions (including market conditions, rationale, and circumstances surrounding each of the transactions, and the timing, type and size of each of the transactions).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83" w:lineRule="exact"/>
        <w:rPr>
          <w:sz w:val="20"/>
          <w:szCs w:val="20"/>
          <w:color w:val="auto"/>
        </w:rPr>
      </w:pPr>
    </w:p>
    <w:p>
      <w:pPr>
        <w:jc w:val="both"/>
        <w:ind w:left="20" w:right="260"/>
        <w:spacing w:after="0" w:line="266" w:lineRule="auto"/>
        <w:rPr>
          <w:sz w:val="20"/>
          <w:szCs w:val="20"/>
          <w:color w:val="auto"/>
        </w:rPr>
      </w:pPr>
      <w:r>
        <w:rPr>
          <w:rFonts w:ascii="Arial" w:cs="Arial" w:eastAsia="Arial" w:hAnsi="Arial"/>
          <w:sz w:val="17"/>
          <w:szCs w:val="17"/>
          <w:color w:val="auto"/>
        </w:rPr>
        <w:t>Discounted cash flow analysis is an important valuation methodology that calculates a company’s intrinsic value by discounting its future cash flows to their present value. Free cash flows are projected based on reasonable revenue growth, margin, working capital, and capital expenditure assumptions that conform to industry and company-specific research. These cash flows are then discounted to the present value using a weighted average cost of capital.</w:t>
      </w:r>
    </w:p>
    <w:p>
      <w:pPr>
        <w:spacing w:after="0" w:line="119"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BTIG utilized the non -public projected financial and operating data relating to RTR prepared and furnished to BTIG by management of RTR to perform a discounted cash flow analysis of RTR. In conducting this analysis, BTIG assumed that RTR would perform in accordance with these projections and estimates. BTIG performed an analysis of the present value of the unlevered cash flows that RTR’s management projected RTR will generate for the fiscal year 2025 through fiscal year 2027, and extrapolated such projections by two years through fiscal year 2029 assuming 0% growth based on guidance furnished to BTIG by management of RTR. BTIG calculated terminal values for RTR by applying a range of terminal multiples of 7.0x to 9.0x, selected based on BTIG’s professional judgment and experience, to terminal Adjusted EBITDA, which assumed 0% growth from projected fiscal year 2029’s Adjusted EBITDA based on guidance furnished to BTIG by management of RTR. BTIG discounted the terminal values and cash flows projected for the specified period using discount rates ranging from 19.0% to 23.0%, reflecting estimates of RTR’s weighted average cost of capital based on BTIG’s professional judgment and experience, to determine an implied enterprise value reference range. The weighted average cost of capital was calculated as 21.0% and derived using the capital asset pricing model, which took into account, among other things, risk free rate, historical equity risk premium, levered beta, historical size premium and BTIG’s professional judgment and experience to determine the cost of equity capital, and then applying an additional risk premium selected based on BTIG’s professional judgment and experience to determine the weighted average cost of capital, consistent with standard industry practices. Using discount rates of 19.0% to</w:t>
      </w:r>
    </w:p>
    <w:p>
      <w:pPr>
        <w:spacing w:after="0" w:line="1"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23.0% and terminal multiples of 7.0x to 9.0x, selected based on BTIG’s professional judgment and experience, BTIG’s analysis resulted in implied enterprise values for RTR ranging from $152 million to $212 million. BTIG then subtracted RTR’s pro forma net debt from the enterprise value obtained by the calculation above to obtain RTR’s equity value, and divided the resulting equity value by the number of fully diluted shares outstanding utilized by BTIG in its analysis and obtained an implied per share equity value ranging from $(28.90) to $(14.90). </w:t>
      </w:r>
    </w:p>
    <w:p>
      <w:pPr>
        <w:spacing w:after="0" w:line="139"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BTIG compared the results of this analysis to the conversion price of $8.48 per share implied by the Term Loan Conversion. The conversion price implied by the Term Loan Conversion was above the indicative share price range resulting from the discounted cash flow analysis outlined above, supporting a conclusion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Conclusion</w:t>
      </w:r>
    </w:p>
    <w:p>
      <w:pPr>
        <w:spacing w:after="0" w:line="169"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Based upon the foregoing analyses and based upon and subject to the various limitations, qualifications, assumptions, conditions and other matters set forth in full in the text of BTIG’s opinion, BTIG was of the opinion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Miscellaneous</w:t>
      </w:r>
    </w:p>
    <w:p>
      <w:pPr>
        <w:spacing w:after="0" w:line="183"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The discussion above represents a summary of the material financial analyses presented by BTIG to the Finance Committee and the Board in connection with its opinion and is not a comprehensive description of all analyses undertaken by BTIG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readily susceptible to partial analysis or summary description. BTIG believes that its analyses summarized above must be considered as a whole. BTIG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BTIG’s analyses and opinion. The fact that any specific analysis has been referred to in the summary above is not meant to indicate that such analysis was given greater weight than any other analysis referred to in the summary.</w:t>
      </w:r>
    </w:p>
    <w:p>
      <w:pPr>
        <w:spacing w:after="0" w:line="152"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In performing its analyses, BTIG considered industry performance, general business and economic conditions and other matters, many of which are beyond the control of RTR. The estimates of the future performance of RTR in or underlying BTIG’s analyses are not necessarily indicative of actual values or actual future results, which may be significantly more or less favorable than those estimates or those suggested by BTIG’s analyses. These analyses were prepared solely as part of BTIG’s analysis of the fairness, from a financial point of view, to the holders of Class A Common Stock (exclusive of any Class A Common Stock held by Lender or its affiliates) of the issuance of the Exchange Stock to Lender by RTR in exchange for the Equity Exchange Obligations pursuant to the Exchange Agreement, and were provided to the Finance Committee and the Board in connection with the delivery of BTIG’s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BTIG’s view of the actual value of RTR.</w:t>
      </w:r>
    </w:p>
    <w:p>
      <w:pPr>
        <w:spacing w:after="0" w:line="142" w:lineRule="exact"/>
        <w:rPr>
          <w:sz w:val="20"/>
          <w:szCs w:val="20"/>
          <w:color w:val="auto"/>
        </w:rPr>
      </w:pPr>
    </w:p>
    <w:p>
      <w:pPr>
        <w:ind w:left="20"/>
        <w:spacing w:after="0" w:line="259" w:lineRule="auto"/>
        <w:rPr>
          <w:sz w:val="20"/>
          <w:szCs w:val="20"/>
          <w:color w:val="auto"/>
        </w:rPr>
      </w:pPr>
      <w:r>
        <w:rPr>
          <w:rFonts w:ascii="Arial" w:cs="Arial" w:eastAsia="Arial" w:hAnsi="Arial"/>
          <w:sz w:val="17"/>
          <w:szCs w:val="17"/>
          <w:color w:val="auto"/>
        </w:rPr>
        <w:t>The type and amount of consideration payable in the Term Loan Conversion was determined through negotiations between RTR and Lender, rather than by any financial advisor, and was approved by the Finance Committee and the Board. The decision to enter into the Exchange Agreement was solely that of the Finance Committee and the Board. As described above, BTIG’s opinion and analyses were only one of many factors considered by the Finance Committee and the Board in their evaluation of the Term Loan Conversion and should not be viewed as determinative of the views of the Finance Committee and the Board or RTR’s management with respect to the Term Loan Conversion.</w:t>
      </w:r>
    </w:p>
    <w:p>
      <w:pPr>
        <w:spacing w:after="0" w:line="125"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In the two years prior to the date hereof, BTIG has not provided financial advisory or investment banking services for RTR or Lender for which any compensation was received. BTIG may seek to provide investment banking services to RTR, Lender or any of their respective affiliates in the future, and would expect to receive fees for the rendering of any such services.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the engagement letter between RTR and BTIG, BTIG is entitled to receive a non-contingent fee of</w:t>
      </w:r>
    </w:p>
    <w:p>
      <w:pPr>
        <w:spacing w:after="0" w:line="14"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$750,000, which became due upon delivery of BTIG’s opinion. BTIG will not receive any other significant payment or compensation contingent upon the successful consummation of the issuance of the Exchange Stock to Lender by RTR in exchange for the Equity Exchange Obligations pursuant to the Exchange Agreement. In addition, RTR has agreed to reimburse BTIG for certain of its out-of-pocket expenses, including legal fees, and has agreed to indemnify BTIG against certain liabilities, including under applicable laws, arising out of its engagement.</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BTIG, as part of its investment banking services, is regularly engaged in the independent valuation of businesses and securities in connection with mergers, acquisitions, underwritings, sales and distributions of listed and unlisted securities, and private placements. BTIG or its affiliates may seek to provide investment banking services to RTR, Lender or their respective affiliates in the future, for which BTIG or its affiliates would seek customary compensation. BTIG provides a full range of financial advisory and securities services and, in the course of its normal trading activities, may from time to time effect transactions and hold securities, including, without limitation, derivative securities, of RTR, Lender or each of their affiliates, for its own account and for the accounts of customers.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300"/>
        <w:spacing w:after="0" w:line="271" w:lineRule="auto"/>
        <w:rPr>
          <w:sz w:val="20"/>
          <w:szCs w:val="20"/>
          <w:color w:val="auto"/>
        </w:rPr>
      </w:pPr>
      <w:r>
        <w:rPr>
          <w:rFonts w:ascii="Arial" w:cs="Arial" w:eastAsia="Arial" w:hAnsi="Arial"/>
          <w:sz w:val="18"/>
          <w:szCs w:val="18"/>
          <w:color w:val="auto"/>
        </w:rPr>
        <w:t>Our Class A Common Stock is listed on the Nasdaq Global Market. In order to comply with Nasdaq Listing rules, we are seeking stockholder approval of the Term Loan Conversion.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Nasdaq Listing Rule 5635(b) requires stockholder approval prior to the issuance of securities when the issuance or potential issuance will result in a “change of control” of the issuer. Generally, Nasdaq interpretations provide that the acquisition of 20% of the shares of an issuer by one person or a group of affiliated persons may be deemed a change of control of such issuer. The Term Loan Conversion would result in the issuance of 86% of our outstanding Common Stock as of the closing of the Recapitalization Transactions (after giving effect to the Conversions, but before giving effect to the Rights Offering and the increased share reserve under the Amended Plan) and in a “change of control” under the Nasdaq interpretations of Nasdaq Listing Rule 5635(b). Stockholders should note that a “change of control,” as described under Nasdaq Listing Rule 5635(b), applies only with respect to the application of such rule, and does not necessarily constitute a “change of control” for purposes of Delaware law, our organizational documents or any other agreements to which we may be a party.</w:t>
      </w:r>
    </w:p>
    <w:p>
      <w:pPr>
        <w:spacing w:after="0" w:line="153" w:lineRule="exact"/>
        <w:rPr>
          <w:sz w:val="20"/>
          <w:szCs w:val="20"/>
          <w:color w:val="auto"/>
        </w:rPr>
      </w:pPr>
    </w:p>
    <w:p>
      <w:pPr>
        <w:jc w:val="both"/>
        <w:ind w:left="20" w:right="280"/>
        <w:spacing w:after="0" w:line="253" w:lineRule="auto"/>
        <w:rPr>
          <w:sz w:val="20"/>
          <w:szCs w:val="20"/>
          <w:color w:val="auto"/>
        </w:rPr>
      </w:pPr>
      <w:r>
        <w:rPr>
          <w:rFonts w:ascii="Arial" w:cs="Arial" w:eastAsia="Arial" w:hAnsi="Arial"/>
          <w:sz w:val="18"/>
          <w:szCs w:val="18"/>
          <w:color w:val="auto"/>
        </w:rPr>
        <w:t>Pursuant to the Exchange Agreement, we agreed to hold a meeting of our stockholders for the purpose of obtaining such stockholder approval pursuant to Nasdaq Listing Rule 5635(b). The Special Meeting is intended to satisfy such obligation.</w:t>
      </w:r>
    </w:p>
    <w:p>
      <w:pPr>
        <w:spacing w:after="0" w:line="128"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Board, acting upon the unanimous recommendation of the Finance Committee, has determined that the Term Loan Conversion Proposal is fair to, and in the best interests of, the Company and its stockholders, and resolved to recommend that the stockholders vote to approve the issuance of the Exchange Stock.</w:t>
      </w:r>
    </w:p>
    <w:p>
      <w:pPr>
        <w:spacing w:after="0" w:line="128"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Approval of the Term Loan Conversion Proposal requires the affirmative vote of a majority of votes cast (excluding abstentions and broker non-votes). Abstentions and broker non-votes (if any) will have no effect on the outcome of this proposal.</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Consequences if Stockholder Approval Is Not Obtained</w:t>
      </w:r>
    </w:p>
    <w:p>
      <w:pPr>
        <w:spacing w:after="0" w:line="199"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If the Term Loan Conversion Proposal is not approved, the Exchange Agreement will be terminated in accordance with its terms, we will not be able to enter into the New Credit Agreement, and we may default under the Existing Credit Agreement. Such default would allow Agent to accelerate repayment of all obligations and exercise all other rights and remedies available under the Existing Credit Agreement. As a result, a default would have a material adverse effect on our business, financial condition and results of operations, and we would likely be unable to avoid filing for bankruptcy protection or have an involuntary bankruptcy case filed against us. We therefore strongly believe that it is critical that you vote “FOR” the Term Loan Conversion Proposal.</w:t>
      </w:r>
    </w:p>
    <w:p>
      <w:pPr>
        <w:spacing w:after="0" w:line="144"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Approval of the Term Loan Conversion Proposal requires the affirmative vote of a majority of votes cast (excluding abstentions and broker non-votes). Abstentions and broker non-votes (if any) will have no effect on the outcome of this proposal.</w:t>
      </w:r>
    </w:p>
    <w:p>
      <w:pPr>
        <w:spacing w:after="0" w:line="159"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1.</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Backstop Proposal</w:t>
      </w:r>
    </w:p>
    <w:p>
      <w:pPr>
        <w:spacing w:after="0" w:line="144"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Pursuant to the Exchange Agreement, we agreed to prepare and file with the SEC a registration statement on Form S-1 in connection with a $ 12.5 million rights offering (the “Rights Offering”) and entered into a rights offering backstop agreement, dated as of August 20, 2025 (the “Rights Offering Backstop Agreement”), among us and the Investor Group, which is attached hereto as Exhibit D. Under the Rights Offering Backstop Agreement, the Investor Group agreed to purchase all unsubscribed shares of the Class A Common Stock to be issued in connection with the Rights Offering at a price of $4.08 per share. In order to comply with Nasdaq Listing Rule 5635, our stockholders are being asked to approve the issuance of all of the shares of Class A Common Stock that may be issued pursuant to the Rights Offering Backstop Agreement pursuant to this Backstop Proposal, if any.</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Rights Offering Backstop Agreement</w:t>
      </w:r>
    </w:p>
    <w:p>
      <w:pPr>
        <w:spacing w:after="0" w:line="199"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We expect to launch the Rights Offering and distribute to the holders of our Common Stock transferable subscription rights to purchase shares of our Class A Common Stock at a price of $ 4.08 per share. These subscription rights will be available for a limited subscription period, and stockholders will not be required to subscribe for any shares in the Rights Offering. As a result, any rights issued to our stockholders that are unsubscribed, either pursuant to the initial rights or oversubscription rights, during the subscription period will be purchased by the Investor Group pursuant to the Rights Offering Backstop Agreement, up to the $12.5 million maximum amount of the Rights Offering.</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300"/>
        <w:spacing w:after="0" w:line="301" w:lineRule="auto"/>
        <w:rPr>
          <w:sz w:val="20"/>
          <w:szCs w:val="20"/>
          <w:color w:val="auto"/>
        </w:rPr>
      </w:pPr>
      <w:r>
        <w:rPr>
          <w:rFonts w:ascii="Arial" w:cs="Arial" w:eastAsia="Arial" w:hAnsi="Arial"/>
          <w:sz w:val="17"/>
          <w:szCs w:val="17"/>
          <w:color w:val="auto"/>
        </w:rPr>
        <w:t>Our Class A Common Stock is listed on the Nasdaq Global Market. In order to comply with Nasdaq Listing rules, we are seeking stockholder approval of the issuance of shares pursuant to the Rights Offering Backstop Agreement.</w:t>
      </w:r>
    </w:p>
    <w:p>
      <w:pPr>
        <w:spacing w:after="0" w:line="90"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Nasdaq Listing Rule 5635(b) requires stockholder approval prior to the issuance of securities when the issuance or potential issuance will result in a “change of control” of the issuer. Generally, Nasdaq interpretations provide that the acquisition of 20% of the shares of an issuer by one person or a group of affiliated persons may be deemed a change of control of such issuer. The issuance of shares pursuant to the Rights Offering Backstop Agreement may result in the issuance of more than 20% of our total Common Stock and in a “change of control” under the Nasdaq interpretations of Nasdaq Listing Rule 5635(b). Stockholders should note that a “change of control,” as described under Nasdaq Listing Rule 5635(b), applies only with respect to the application of such rule, and does not necessarily constitute a “change of control” for purposes of Delaware law, our organizational documents or any other agreements to which we may be a party.</w:t>
      </w:r>
    </w:p>
    <w:p>
      <w:pPr>
        <w:spacing w:after="0" w:line="156" w:lineRule="exact"/>
        <w:rPr>
          <w:sz w:val="20"/>
          <w:szCs w:val="20"/>
          <w:color w:val="auto"/>
        </w:rPr>
      </w:pPr>
    </w:p>
    <w:p>
      <w:pPr>
        <w:ind w:left="20" w:right="160"/>
        <w:spacing w:after="0"/>
        <w:rPr>
          <w:sz w:val="20"/>
          <w:szCs w:val="20"/>
          <w:color w:val="auto"/>
        </w:rPr>
      </w:pPr>
      <w:r>
        <w:rPr>
          <w:rFonts w:ascii="Arial" w:cs="Arial" w:eastAsia="Arial" w:hAnsi="Arial"/>
          <w:sz w:val="18"/>
          <w:szCs w:val="18"/>
          <w:color w:val="auto"/>
        </w:rPr>
        <w:t>Nasdaq Listing Rule 5635(d) requires stockholder approval of transactions, other than public offerings, resulting in the issuance of greater than 20% of the outstanding Common Stock or voting power of the issuer prior to the offering at a price less than the “Minimum Price,” which Nasdaq defines as the lower of the issuer’s most recent closing price immediately prior to signing the binding agreement for the transaction or the average of the closing price for the five trading days immediately preceding the signing of the binding agreement. The price per share of Class A Common Stock to be issued pursuant to the Rights Offering Backstop Agreement is $4.08 per share, which is less than the “Minimum Price” of $4.49 and therefore the issuance requires stockholder approval pursuant to Nasdaq Listing Rule 5635(d).</w:t>
      </w:r>
    </w:p>
    <w:p>
      <w:pPr>
        <w:spacing w:after="0" w:line="140"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Pursuant to the Exchange Agreement, we agreed to hold a meeting of our stockholders for the purpose of obtaining such stockholder approval pursuant to Nasdaq Listing Rules 5635(b) and (d). The Special Meeting is intended to satisfy such obligation.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40"/>
        <w:spacing w:after="0" w:line="247" w:lineRule="auto"/>
        <w:rPr>
          <w:sz w:val="20"/>
          <w:szCs w:val="20"/>
          <w:color w:val="auto"/>
        </w:rPr>
      </w:pPr>
      <w:r>
        <w:rPr>
          <w:rFonts w:ascii="Arial" w:cs="Arial" w:eastAsia="Arial" w:hAnsi="Arial"/>
          <w:sz w:val="18"/>
          <w:szCs w:val="18"/>
          <w:color w:val="auto"/>
        </w:rPr>
        <w:t>The Board, acting upon the unanimous recommendation of the Finance Committee, has determined that approval of the issuance of shares pursuant to the Backstop Proposal is fair to, and in the best interests of, the Company and its stockholders, and resolved to recommend that the stockholders vote to approve the issuance of Class A Common Stock issuable pursuant to the Rights Offering Backstop Agreement.</w:t>
      </w:r>
    </w:p>
    <w:p>
      <w:pPr>
        <w:spacing w:after="0" w:line="147"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Approval of the Backstop Proposal requires the affirmative vote of a majority of votes cast (excluding abstentions and broker non-votes) on this proposal. Abstentions and broker non-votes (if any) will have no effect on the outcome of this proposal.</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Consequences if Stockholder Approval Is Not Obtained</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 Backstop Proposal is not approved, the Exchange Agreement will be terminated in accordance with its terms, we will not be able to enter into the New Credit Agreement, and we may default under the Existing Credit Agreement. Such default would allow Agent to accelerate repayment of all obligations and exercise all other rights and remedies available under the Existing Credit Agreement. As a result, a default would have a material adverse effect on our business, financial condition and results of operations, and we would likely be unable to avoid filing for bankruptcy protection or have an involuntary bankruptcy case filed against us. We therefore strongly believe that it is critical that you vote “FOR” the Backstop Proposal.</w:t>
      </w:r>
    </w:p>
    <w:p>
      <w:pPr>
        <w:spacing w:after="0" w:line="158"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Approval of the Backstop Proposal requires the affirmative vote of a majority of votes cast (excluding abstentions and broker non-votes). Abstentions and broker non-votes (if any) will have no effect on the outcome of this proposal.</w:t>
      </w:r>
    </w:p>
    <w:p>
      <w:pPr>
        <w:spacing w:after="0" w:line="144" w:lineRule="exact"/>
        <w:rPr>
          <w:sz w:val="20"/>
          <w:szCs w:val="20"/>
          <w:color w:val="auto"/>
        </w:rPr>
      </w:pPr>
    </w:p>
    <w:p>
      <w:pPr>
        <w:jc w:val="center"/>
        <w:ind w:right="2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3</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Plan Amendment</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40"/>
        <w:spacing w:after="0"/>
        <w:rPr>
          <w:sz w:val="20"/>
          <w:szCs w:val="20"/>
          <w:color w:val="auto"/>
        </w:rPr>
      </w:pPr>
      <w:r>
        <w:rPr>
          <w:rFonts w:ascii="Arial" w:cs="Arial" w:eastAsia="Arial" w:hAnsi="Arial"/>
          <w:sz w:val="18"/>
          <w:szCs w:val="18"/>
          <w:color w:val="auto"/>
        </w:rPr>
        <w:t>Pursuant to the Exchange Agreement, we agreed to take all actions as may be required to amend, or amend and restate, the 2021 Plan to the extent required in order to issue additional awards pursuant to the 2021 Plan (the “Amended Plan”), as amended and restated. The Plan Amendment (as defined below) is contingent on, and will not take effect until, the closing of the Recapitalization Transactions, and the 2021 Plan will continue in effect under its existing terms unless and until the occurrence of the closing of the Recapitalization Transactions. The Board, acting upon the unanimous recommendation of the Finance Committee, has determined that it is in the best interests of the Company and its stockholders to approve the amendment and restatement of the 2021 Plan.</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Plan Amendment</w:t>
      </w:r>
    </w:p>
    <w:p>
      <w:pPr>
        <w:spacing w:after="0" w:line="199"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We are seeking stockholder approval to amend and restate the 2021 Plan (the “Plan Amendment”) to (i) increase the maximum number of shares of Class A Common Stock that will be made available as awards thereunder following the closing of the Recapitalization Transactions to an amount equal to 18.3% of the fully diluted Class A Common Stock outstanding immediately following the closing of the Recapitalization Transactions and (ii) extend the expiration date of the 2021 Plan to the tenth anniversary of the date that the Amended Plan is approved by our stockholders.</w:t>
      </w:r>
    </w:p>
    <w:p>
      <w:pPr>
        <w:spacing w:after="0" w:line="149"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As of September 5, 2025, there were 336,796 shares of Class A Common Stock available for future awards under the 2021 Plan, which the Company estimates will not be sufficient to cover the equity grants required to be made to the Company’s executive officers and other employees pursuant to the Exchange Agreement. Therefore, the Board, upon the unanimous recommendation of the Finance Committee, determined that the Plan Amendment is fair to, and in the best interests of, the Company and its stockholders, and resolved to recommend that the stockholders vote to approve the Plan Amendment.</w:t>
      </w:r>
    </w:p>
    <w:p>
      <w:pPr>
        <w:spacing w:after="0" w:line="138"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Board, acting upon the unanimous recommendation of the Finance Committee and the compensation committee of the Board (the “Compensation Committee”), approved the Plan Amendment on September 15, 2025, subject to stockholder approval, and our stockholders are now being asked to approve the Plan Amendment.</w:t>
      </w:r>
    </w:p>
    <w:p>
      <w:pPr>
        <w:spacing w:after="0" w:line="128"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The Company anticipates filing a registration statement on Form S-8 with the SEC to register the additional amount of new shares of Class A Common Stock available to be included in the aggregate share reserve under the Amended Plan, effective upon and subject to stockholder approval of the Plan Amendment, as soon as practicable following the closing of the Recapitalization Transactions.</w:t>
      </w:r>
    </w:p>
    <w:p>
      <w:pPr>
        <w:spacing w:after="0" w:line="147" w:lineRule="exact"/>
        <w:rPr>
          <w:sz w:val="20"/>
          <w:szCs w:val="20"/>
          <w:color w:val="auto"/>
        </w:rPr>
      </w:pPr>
    </w:p>
    <w:p>
      <w:pPr>
        <w:ind w:left="20" w:right="80"/>
        <w:spacing w:after="0" w:line="269" w:lineRule="auto"/>
        <w:rPr>
          <w:sz w:val="20"/>
          <w:szCs w:val="20"/>
          <w:color w:val="auto"/>
        </w:rPr>
      </w:pPr>
      <w:r>
        <w:rPr>
          <w:rFonts w:ascii="Arial" w:cs="Arial" w:eastAsia="Arial" w:hAnsi="Arial"/>
          <w:sz w:val="17"/>
          <w:szCs w:val="17"/>
          <w:b w:val="1"/>
          <w:bCs w:val="1"/>
          <w:color w:val="auto"/>
        </w:rPr>
        <w:t>The Board, acting upon the unanimous recommendation of the Finance Committee and the Compensation Committee has determined that it is in the best interests of the Company and its stockholders to approve the Plan Amendment. The closing of the Recapitalization Transactions is conditioned upon our stockholders approving the Plan Amendment. Stockholders are requested in this proposal to approve the Plan Amendment.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Rationale for the Plan Amendment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approved, the Plan Amendment will allow us to continue to provide our employees with the opportunity to acquire an ownership interest in the Company through the Amended Plan, encouraging them to remain in our employ or service, motivating them to achieve superior performance for the Company and more closely aligning their interests with those of our stockholders. We, along with the Investor Group, believe that offering ownership interests in the Company through the Amended Plan is a key factor in retaining existing employees, recruiting, and retaining new employees and is vital to the long-term success of the Company by aligning and increasing the interest of all employees in our success, which is why approval of the Plan Amendment Proposal is a condition precedent to the closing of the Recapitalization Transactions.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The Board and the Compensation Committee consider long-term equity-based incentive compensation as an important element of the Company’s compensation program. The Board and the Compensation Committee believe that equity awards provide our executive officers and employees with a strong link to long-term performance, create an ownership culture and help to align the interests of our executive officers and employees with those of our stockholders. The Amended Plan is designed to advance these interests to the benefit of the Company and its stockholders and encourage sustained excellence from our employees to drive long-term stockholder value. Equity-based compensation under the Amended Plan would encourage executive officers and employees to act as owners with an equity stake in the Company, discourage inappropriate risk-taking and contribute to continuity and stability within the Company’s workforce.</w:t>
      </w:r>
    </w:p>
    <w:p>
      <w:pPr>
        <w:spacing w:after="0" w:line="156"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The ability to grant long-term equity-based compensation would allow the Company to continue to align the interests of executive officers and employees with the interests of the Company’s stockholders and to create substantial incentives for the Company’s executive officers and employees to achieve the Company’s long-term goals. In addition, long-term equity-based compensation enables the Company to provide competitive compensation to help in recruitment of executive officers and employees, and, through vesting requirements, helps to promote retention and long-term service of executive officers and employees.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the Amended Plan</w:t>
      </w:r>
    </w:p>
    <w:p>
      <w:pPr>
        <w:spacing w:after="0" w:line="169"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The following summary discussion describes the principal features of the Amended Plan. This summary, however, does not purport to be a complete description of all of the provisions of the Amended Plan. It is qualified in its entirety by reference to the full text and terms of the Amended Plan, a copy of which is attached as Exhibit F.</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Eligibility and Administration</w:t>
      </w:r>
    </w:p>
    <w:p>
      <w:pPr>
        <w:spacing w:after="0" w:line="16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Our employees, consultants and directors, and employees, consultants and directors of our subsidiaries, are eligible to receive awards under the Amended Plan. The Amended Plan is expected to be administered by the Board,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Amended Plan, subject to its express terms and conditions. The plan administrator will also set the terms and conditions of all awards under the Amended Plan, including any vesting and vesting acceleration conditions. As of September 5, 2025, approximately 253 employees and 6 directors of the Company and its subsidiaries were eligible to participate in the 2021 Plan.</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83"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Previously, the maximum number of shares of our Common Stock available for issuance under the 2021 Plan was equal to the sum of (i) 5,221,848, plus (ii) an annual increase on the first day of each year beginning in 2022 and ending in and including 2031, equal to the lesser of (A) 5% of the outstanding shares of our Common Stock on the last day of the immediately preceding fiscal year and (B) such lesser amount as determined by the Board, plus (iii) 67,842 shares of our Class B Common Stock for an award to Ms. Hyman and plus (iv) any shares of our Common Stock available for issuance under the 2009 Plan and the 2019 Plan as of the effective date of the 2021 Plan or that are subject to awards under the 2009 Plan and the 2019 Plan which are forfeited or lapse unexercised and which following the effective date of the 2021 Plan are not issued under such prior plans (which would become available as shares of our Class A Common Stock).</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amended, the maximum number of shares of our Common Stock available for issuance under the Amended Plan following the closing of the Recapitalization Transactions will be an amount equal to 18.3% of the fully diluted Class A Common Stock outstanding immediately following the closing of the Recapitalization Transactions. The share reserve under the Amended Plan is intended to provide us with enough shares of Class A Common Stock to grant pursuant to the terms of the Exchange Agreement to our executive officers and other employees, to promote retention of our executive officers and employees, and to align the interests of our executive officers and employees with those of our stockholders, and will not be subject to an annual increase in the number of shares of Class A Common Stock available for issuance under the Amended Plan.</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As under the 2021 Plan, no more than 15,665,544 shares of Class A Common Stock may be issued upon the exercise of incentive stock options (“ISOs”) under the Amended Plan.</w:t>
      </w:r>
    </w:p>
    <w:p>
      <w:pPr>
        <w:spacing w:after="0" w:line="127"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color w:val="auto"/>
        </w:rPr>
        <w:t>Awards granted under the Amended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Amended Plan. The maximum grant date fair value of cash and equity awards granted to any non-employee director pursuant to the Amended Plan during any calendar year is $750,000, increased to $1,000,000 for the non-employee director’s initial year of service as a non-employee director.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Awards</w:t>
      </w:r>
    </w:p>
    <w:p>
      <w:pPr>
        <w:spacing w:after="0" w:line="169"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The Amended Plan provides for the grant of stock options, including ISOs and nonqualified stock options (“NSOs”), restricted stock, dividend equivalents, stock payments, restricted stock units (“RSUs”), other incentive awards, SARs and cash awards.</w:t>
      </w:r>
    </w:p>
    <w:p>
      <w:pPr>
        <w:spacing w:after="0" w:line="128"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Pursuant to the Exchange Agreement, Ms. Hyman will be eligible to receive an initial equity award grant (an “Initial Grant”) pursuant to the terms and conditions of the Amended Plan. Ms. Hyman’s Initial Grant will be equal to 5% of the fully diluted Class A Common Stock immediately following the closing of the Recapitalization Transactions (assuming “good” level of performance is achieved, and up to 7.5% if maximum level of performance is achieved). In addition, following the closing of the Recapitalization Transactions, Ms. Hyman will recommend that the Board issue an Initial Grant to Company employees who are at or above the level of vice president and not members of the Board immediately following the Recapitalization Transactions. The total number of shares of Common Stock available to be issued to these employees will be equal to 6% of the fully diluted Class A Common Stock immediately following the closing of the Recapitalization Transactions (assuming “good” level of performance is achieved and up to 9% if maximum level of performance is achieved).</w:t>
      </w:r>
    </w:p>
    <w:p>
      <w:pPr>
        <w:spacing w:after="0" w:line="153" w:lineRule="exact"/>
        <w:rPr>
          <w:sz w:val="20"/>
          <w:szCs w:val="20"/>
          <w:color w:val="auto"/>
        </w:rPr>
      </w:pPr>
    </w:p>
    <w:p>
      <w:pPr>
        <w:ind w:left="20" w:right="280"/>
        <w:spacing w:after="0" w:line="255" w:lineRule="auto"/>
        <w:rPr>
          <w:sz w:val="20"/>
          <w:szCs w:val="20"/>
          <w:color w:val="auto"/>
        </w:rPr>
      </w:pPr>
      <w:r>
        <w:rPr>
          <w:rFonts w:ascii="Arial" w:cs="Arial" w:eastAsia="Arial" w:hAnsi="Arial"/>
          <w:sz w:val="17"/>
          <w:szCs w:val="17"/>
          <w:color w:val="auto"/>
        </w:rPr>
        <w:t>Each Initial Grant will be made 50% in the form of RSUs denominated in Class A Common Stock with the remaining 50% of the Class A Common Stock subject to each Initial Grant being made in the form of performance stock units denominated in Class A Common Stock (“PSUs”). The RSUs subject to each Initial Grant will vest 25% on the</w:t>
      </w:r>
    </w:p>
    <w:p>
      <w:pPr>
        <w:spacing w:after="0" w:line="2" w:lineRule="exact"/>
        <w:rPr>
          <w:sz w:val="20"/>
          <w:szCs w:val="20"/>
          <w:color w:val="auto"/>
        </w:rPr>
      </w:pPr>
    </w:p>
    <w:p>
      <w:pPr>
        <w:ind w:left="20" w:right="160"/>
        <w:spacing w:after="0" w:line="237" w:lineRule="auto"/>
        <w:rPr>
          <w:sz w:val="20"/>
          <w:szCs w:val="20"/>
          <w:color w:val="auto"/>
        </w:rPr>
      </w:pPr>
      <w:r>
        <w:rPr>
          <w:rFonts w:ascii="Arial" w:cs="Arial" w:eastAsia="Arial" w:hAnsi="Arial"/>
          <w:sz w:val="18"/>
          <w:szCs w:val="18"/>
          <w:color w:val="auto"/>
        </w:rPr>
        <w:t>first anniversary of the grant date and 75% on a quarterly basis thereafter through the fourth anniversary of the grant date, in each case, subject to the recipient’s continued employment over the four-year period following the grant date. The PSUs subject to each Initial Grant will vest based on the satisfaction of performance metrics established for each performance period, with the first performance period comprising the Company’s fiscal year 2027, the second performance period comprising the Company’s fiscal year 2028, and the third performance period comprising the Company’s fiscal year 2029, subject to the recipient’s continued employment through the last day of the third performance period.</w:t>
      </w:r>
    </w:p>
    <w:p>
      <w:pPr>
        <w:spacing w:after="0" w:line="144"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In order to receive an Initial Grant, each continuing executive officer, including Ms. Hyman, must agree to forfeit any equity awards outstanding immediately following the closing of the Recapitalization Transactions, and each Initial Grant will be subject to approval of the Board following the closing of the Recapitalization Transactions.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awards under the Amended Plan may constitute or provide for a deferral of compensation, subject to</w:t>
      </w:r>
    </w:p>
    <w:p>
      <w:pPr>
        <w:spacing w:after="0" w:line="14"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Section 409A of the Internal Revenue Code (the “Code”), which may impose additional requirements on the terms and conditions of such awards. All awards under the Amended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53" w:lineRule="exact"/>
        <w:rPr>
          <w:sz w:val="20"/>
          <w:szCs w:val="20"/>
          <w:color w:val="auto"/>
        </w:rPr>
      </w:pPr>
    </w:p>
    <w:p>
      <w:pPr>
        <w:ind w:left="740" w:hanging="35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Class A Common Stock in the future at an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of Class A Common Stock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740" w:right="20" w:hanging="359"/>
        <w:spacing w:after="0" w:line="238"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A Common Stock subject to the award between the grant date and the exercise date. The exercise price of a SAR may not be less than 100% of the fair market value of the underlying share of Class A Common Stock on the date of grant (except with respect to certain substitute SARs granted in connection with a corporate transaction). The term of a SAR may not be longer than ten years.</w:t>
      </w:r>
    </w:p>
    <w:p>
      <w:pPr>
        <w:spacing w:after="0" w:line="4"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remain forfeitable unless and until specified conditions are met, and which may be subject to a purchase price. RSUs are contractual promises to deliver shares of Class A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4" w:lineRule="exact"/>
        <w:rPr>
          <w:rFonts w:ascii="Arial" w:cs="Arial" w:eastAsia="Arial" w:hAnsi="Arial"/>
          <w:sz w:val="18"/>
          <w:szCs w:val="18"/>
          <w:color w:val="auto"/>
        </w:rPr>
      </w:pPr>
    </w:p>
    <w:p>
      <w:pPr>
        <w:ind w:left="740" w:right="2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Stock Payments, Other Incentive Awards and Cash Awards</w:t>
      </w:r>
      <w:r>
        <w:rPr>
          <w:rFonts w:ascii="Arial" w:cs="Arial" w:eastAsia="Arial" w:hAnsi="Arial"/>
          <w:sz w:val="18"/>
          <w:szCs w:val="18"/>
          <w:color w:val="auto"/>
        </w:rPr>
        <w:t>. Stock payments are awards of fully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Class A 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Class A Common Stock or value metrics related to our shares, and may remain forfeitable unless and until specified conditions are met. Cash awards are cash incentive bonuses subject to performance goals.</w:t>
      </w:r>
    </w:p>
    <w:p>
      <w:pPr>
        <w:spacing w:after="0" w:line="4" w:lineRule="exact"/>
        <w:rPr>
          <w:rFonts w:ascii="Arial" w:cs="Arial" w:eastAsia="Arial" w:hAnsi="Arial"/>
          <w:sz w:val="18"/>
          <w:szCs w:val="18"/>
          <w:color w:val="auto"/>
        </w:rPr>
      </w:pPr>
    </w:p>
    <w:p>
      <w:pPr>
        <w:ind w:left="740" w:right="220" w:hanging="359"/>
        <w:spacing w:after="0" w:line="23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paid on shares of Class A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Vesting</w:t>
      </w:r>
    </w:p>
    <w:p>
      <w:pPr>
        <w:spacing w:after="0" w:line="183"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Certain Transactions</w:t>
      </w:r>
    </w:p>
    <w:p>
      <w:pPr>
        <w:spacing w:after="0" w:line="169" w:lineRule="exact"/>
        <w:rPr>
          <w:sz w:val="20"/>
          <w:szCs w:val="20"/>
          <w:color w:val="auto"/>
        </w:rPr>
      </w:pPr>
    </w:p>
    <w:p>
      <w:pPr>
        <w:ind w:left="20" w:right="60"/>
        <w:spacing w:after="0" w:line="237" w:lineRule="auto"/>
        <w:rPr>
          <w:sz w:val="20"/>
          <w:szCs w:val="20"/>
          <w:color w:val="auto"/>
        </w:rPr>
      </w:pPr>
      <w:r>
        <w:rPr>
          <w:rFonts w:ascii="Arial" w:cs="Arial" w:eastAsia="Arial" w:hAnsi="Arial"/>
          <w:sz w:val="18"/>
          <w:szCs w:val="18"/>
          <w:color w:val="auto"/>
        </w:rPr>
        <w:t>The plan administrator has broad discretion to take action under the Amended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Amended Plan and replacing or terminating awards under the Amended Plan. In addition, in the event of certain non-reciprocal transactions with our stockholders known as “equity restructurings,” the plan administrator will make equitable adjustments to the Amended Plan and outstanding awards. In the event of a “change in control” of our Company (as defined in the Amended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Non-U.S. Participants, Clawback Provisions, Transferability and Participant Payments</w:t>
      </w:r>
    </w:p>
    <w:p>
      <w:pPr>
        <w:spacing w:after="0" w:line="183"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Company’s Policy Relating to Recovery of Erroneously Awarded Compensation. With limited exceptions for estate planning, domestic relations orders, certain beneficiary designations and the laws of descent and distribution, awards under the Amended Plan are generally non-transferable,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Plan Amendment and Termination</w:t>
      </w:r>
    </w:p>
    <w:p>
      <w:pPr>
        <w:spacing w:after="0" w:line="18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Board may amend or terminate the Amended Plan at any time; however, except in connection with certain changes in our capital structure, stockholder approval will be required for any amendment that increases the number of shares available under the Amended Plan. No award may be granted pursuant to the Amended Plan after the tenth anniversary of the date on which our stockholders approve the Amended Plan.</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Federal Income Tax Consequences of Awards</w:t>
      </w:r>
    </w:p>
    <w:p>
      <w:pPr>
        <w:spacing w:after="0" w:line="169"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The Amended Plan is not qualified under the provisions of Section 401(a) of the Code and is not subject to any of the provisions of the Employee Retirement Income Security Act of 1974. The following is a general summary of certain U.S. Federal income tax consequences to U.S. participants with respect to awards granted under the Amended Plan based on the law as currently in effect. This discussion applies to participants who are citizens or residents of the U.S. and a U.S. taxpayer.</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Nonqualified Stock Options</w:t>
      </w:r>
    </w:p>
    <w:p>
      <w:pPr>
        <w:spacing w:after="0" w:line="169"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On exercise of a nonqualified stock option granted under the Amended Plan, an optionee will recognize ordinary income equal to the excess, if any, of the fair market value on the date of exercise of the shares of stock acquired on exercise of the option over the exercise price. If the optionee is an employee of the Company or one of its subsidiaries, that income will be subject to the withholding of Federal income tax. The optionee’s tax basis in those shares will be equal to their fair market value on the date of exercise of the option, and his or her holding period for those shares will begin on that date.</w:t>
      </w:r>
    </w:p>
    <w:p>
      <w:pPr>
        <w:spacing w:after="0" w:line="152"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If an optionee pays for shares of stock on exercise of an option by delivering shares of our Common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or she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or her holding period for those shares will include his or her holding period for the shares delivered. The optionee’s tax basis and holding period for the additional shares received on exercise of the option will be the same as if the optionee had exercised the option solely in exchange for cash.</w:t>
      </w:r>
    </w:p>
    <w:p>
      <w:pPr>
        <w:spacing w:after="0" w:line="143"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 xml:space="preserve">We will be entitled to a deduction for Federal income tax purposes equal to the amount of ordinary income taxable to the optionee;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Incentive Stock Options</w:t>
      </w:r>
    </w:p>
    <w:p>
      <w:pPr>
        <w:spacing w:after="0" w:line="18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Amended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(the “Required Holding Period”), the difference, if any, between the amount realized on a sale or other taxable disposition of that share and the holder’s tax basis in that share will be long-term capital gain or loss. An individual’s stock options otherwise qualifying as ISOs will be treated for tax purposes as nonqualified stock options (and not as ISOs) to the extent that, in the aggregate, they first become exercisable in any calendar year for stock having a fair market value (determined as of the date of grant) in excess of $100,000.</w:t>
      </w:r>
    </w:p>
    <w:p>
      <w:pPr>
        <w:spacing w:after="0" w:line="143"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If, however, an optionee disposes of a share acquired on exercise of an ISO before the end of the Required Holding Period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300"/>
        <w:spacing w:after="0" w:line="244" w:lineRule="auto"/>
        <w:rPr>
          <w:sz w:val="20"/>
          <w:szCs w:val="20"/>
          <w:color w:val="auto"/>
        </w:rPr>
      </w:pPr>
      <w:r>
        <w:rPr>
          <w:rFonts w:ascii="Arial" w:cs="Arial" w:eastAsia="Arial" w:hAnsi="Arial"/>
          <w:sz w:val="18"/>
          <w:szCs w:val="18"/>
          <w:color w:val="auto"/>
        </w:rPr>
        <w:t>An optionee who exercises an ISO by delivering shares of our Common Stock acquired previously pursuant to the exercise of an ISO before the expiration of the Required Holding Period for those shares is treated as making a Disqualifying Disposition of those shares. This rule prevents “pyramiding” in connection with the exercise of an ISO (that is, exercising an ISO for one share and using that share, and others so acquired, to exercise successive ISOs) without the imposition of current income tax.</w:t>
      </w:r>
    </w:p>
    <w:p>
      <w:pPr>
        <w:spacing w:after="0" w:line="14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our Common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4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 xml:space="preserve">We are not allowed an income tax deduction with respect to the grant or exercise of an ISO or the disposition of a share acquired on exercise of an ISO after the Required Holding Period. However, if there is a Disqualifying Disposition of a share, RTR is allowed a deduction in an amount equal to the ordinary income includible in income by the optionee;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Appreciation Rights</w:t>
      </w:r>
    </w:p>
    <w:p>
      <w:pPr>
        <w:spacing w:after="0" w:line="183"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 xml:space="preserve">A recipient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stock received. We generally will be entitled to a tax deduction at such time and in the same amount, if any, that the participant recognizes as ordinary income;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 The participant’s tax basis in any stock received upon exercise of a SAR will be the fair market value of the stock on the date of exercise, and if the shares are later sold or exchanged, then the difference between the amount received upon such sale or exchange and the fair market value of such stock on the date of exercise will generally be taxable as long-term or short-term capital gain or loss (if the shares are a capital asset of the participant) depending upon the length of time such stock were held by the participant.</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Restricted Stock; Restricted Stock Units</w:t>
      </w:r>
    </w:p>
    <w:p>
      <w:pPr>
        <w:spacing w:after="0" w:line="16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Generally, the recipient of a stock award will recognize ordinary compensation income at the time the stock is received equal to the excess, if any, of the fair market value of the stock received over any amount paid by the recipient in exchange for the stock. If, however, the stock is non-vested when it is received under the Amended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If permitted by the plan administrator,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59"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Amended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38" w:lineRule="exact"/>
        <w:rPr>
          <w:sz w:val="20"/>
          <w:szCs w:val="20"/>
          <w:color w:val="auto"/>
        </w:rPr>
      </w:pPr>
    </w:p>
    <w:p>
      <w:pPr>
        <w:ind w:left="20" w:right="860"/>
        <w:spacing w:after="0" w:line="271" w:lineRule="auto"/>
        <w:rPr>
          <w:sz w:val="20"/>
          <w:szCs w:val="20"/>
          <w:color w:val="auto"/>
        </w:rPr>
      </w:pPr>
      <w:r>
        <w:rPr>
          <w:rFonts w:ascii="Arial" w:cs="Arial" w:eastAsia="Arial" w:hAnsi="Arial"/>
          <w:sz w:val="18"/>
          <w:szCs w:val="18"/>
          <w:color w:val="auto"/>
        </w:rPr>
        <w:t xml:space="preserve">We will be allowed a corresponding Federal income tax deduction in an amount equal to the ordinary income recognized by the recipient;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0"/>
        <w:spacing w:after="0" w:line="247" w:lineRule="auto"/>
        <w:rPr>
          <w:sz w:val="20"/>
          <w:szCs w:val="20"/>
          <w:color w:val="auto"/>
        </w:rPr>
      </w:pPr>
      <w:r>
        <w:rPr>
          <w:rFonts w:ascii="Arial" w:cs="Arial" w:eastAsia="Arial" w:hAnsi="Arial"/>
          <w:sz w:val="18"/>
          <w:szCs w:val="18"/>
          <w:color w:val="auto"/>
        </w:rPr>
        <w:t>Generally, the grant of RSUs (including PSUs) will not result in income for the participant or in a tax deduction for us. Upon the settlement of such an award in stock or cash, the participant will recognize ordinary income equal to the aggregate value of the payment received, and we generally will be entitled to a tax deduction at the same time and in the same amount.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Payments, Other Incentive Awards and Cash Awards</w:t>
      </w:r>
    </w:p>
    <w:p>
      <w:pPr>
        <w:spacing w:after="0" w:line="183"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 xml:space="preserve">With respect to other awards granted under the Amended Plan, including stock bonuses, other stock-based awards and cash awards, generally when the participant receives payment with respect to an award, the amount of cash and/or the fair market value of any stock or other property received will be ordinary income to the participant, and we generally will be entitled to a tax deduction at the same time and in the same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Dividend Equivalents</w:t>
      </w:r>
    </w:p>
    <w:p>
      <w:pPr>
        <w:spacing w:after="0" w:line="169"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 xml:space="preserve">Generally, the recipient of a dividend equivalents will recognize ordinary compensation income at the time the dividend equivalents are received equal to the fair market value of the dividend equivalents received. We generally will be entitled to a deduction for Federal income tax purposes equal to the amount of ordinary income that the employee is required to recognize as a result of the dividend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409A of the Code</w:t>
      </w:r>
    </w:p>
    <w:p>
      <w:pPr>
        <w:spacing w:after="0" w:line="169"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Section 409A of the Code imposes requirements applicable to “nonqualified deferred compensation plans,” including 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These rules generally apply with respect to deferred compensation that becomes earned and vested on or after January 1, 2005. If a nonqualified deferred compensation plan subject to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w:t>
      </w:r>
    </w:p>
    <w:p>
      <w:pPr>
        <w:spacing w:after="0" w:line="159"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Some of the awards to be granted under the Amended Plan may constitute deferred compensation subject to the Section 409A requirements, including, without limitation, deferred stock. It is intended that any award agreement that will govern Awards subject to Section 409A will comply with, or be exempt from, these rules.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280G of the Code</w:t>
      </w:r>
    </w:p>
    <w:p>
      <w:pPr>
        <w:spacing w:after="0" w:line="16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Under certain circumstances, the acceleration of vesting of equity awards in connection with a change in control could result in excess “parachute payments” under Section 280G of the Code, which amounts may not be deductible by the Company. In addition, executives that receive such payments may be subject to a 20% excise tax (in addition to regular income taxes). The Amended Plan does not provide for any excise tax gross-ups.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162(m) Deduction Limitation</w:t>
      </w:r>
    </w:p>
    <w:p>
      <w:pPr>
        <w:spacing w:after="0" w:line="169"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In general, compensation over $1.0 million per year paid to any named executive officer (and any person who was a named executive for any year, beginning with 2017) will be nondeductible under Section 162(m) of the Code.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State and Local Income Taxes</w:t>
      </w:r>
    </w:p>
    <w:p>
      <w:pPr>
        <w:spacing w:after="0" w:line="183"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In addition to U.S. Federal income tax, participants may also be subject to U.S. state and local taxes with respect to awards granted under the Amended Plan.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New Plan Benefits under the Amended Plan</w:t>
      </w:r>
    </w:p>
    <w:p>
      <w:pPr>
        <w:spacing w:after="0" w:line="18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Although certain of our employees may be eligible for an Initial Grant, as described above, future awards under the Amended Plan will be made at the discretion of, and subject to the consideration, review and approval of, the plan administrator and, accordingly, are not yet determinable. In addition, awards under the Amended Plan will depend on a number of factors, including the number of shares of our Class A Common Stock that are outstanding immediately following the closing of the Recapitalization Transactions. Consequently, it is not possible at this time to determine the benefits that might be received by participants under the Amended Plan. Similarly, had the Amended Plan been in place during fiscal year 2024, the amount of benefits that would have been provided to participants under the Amended Plan is not determinable at this time given the unique nature of the adoption of the Amended Plan in connection with the closing of the Recapitalization Transactions.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Additional Information Regarding the Amended Plan</w:t>
      </w:r>
    </w:p>
    <w:p>
      <w:pPr>
        <w:spacing w:after="0" w:line="169"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The following table lists each of our named executive officers, each current non-executive officer director, all current executive officers as a group, all current non-employee directors as a group, each associate of the foregoing persons, each other person who received at least 5% of the awards under the Amended Plan, and all current employees of RTR (other than executive officers) as a group, indicating the aggregate number of options and RSUs granted under the 2021 Plan to each of the foregoing since the inception of the 2021 Plan. The fair market value per share of Class A Common Stock on September 5, 2025, was $6.06.</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Equity Awards under the 2021 Plan</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80" w:type="dxa"/>
            <w:vAlign w:val="bottom"/>
            <w:shd w:val="clear" w:color="auto" w:fill="E4C0D9"/>
          </w:tcPr>
          <w:p>
            <w:pPr>
              <w:spacing w:after="0"/>
              <w:rPr>
                <w:sz w:val="22"/>
                <w:szCs w:val="22"/>
                <w:color w:val="auto"/>
              </w:rPr>
            </w:pPr>
          </w:p>
        </w:tc>
        <w:tc>
          <w:tcPr>
            <w:tcW w:w="6100" w:type="dxa"/>
            <w:vAlign w:val="bottom"/>
            <w:shd w:val="clear" w:color="auto" w:fill="E4C0D9"/>
          </w:tcPr>
          <w:p>
            <w:pPr>
              <w:spacing w:after="0"/>
              <w:rPr>
                <w:sz w:val="22"/>
                <w:szCs w:val="22"/>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Options</w:t>
            </w:r>
          </w:p>
        </w:tc>
        <w:tc>
          <w:tcPr>
            <w:tcW w:w="1060" w:type="dxa"/>
            <w:vAlign w:val="bottom"/>
            <w:shd w:val="clear" w:color="auto" w:fill="E4C0D9"/>
          </w:tcPr>
          <w:p>
            <w:pPr>
              <w:spacing w:after="0"/>
              <w:rPr>
                <w:sz w:val="22"/>
                <w:szCs w:val="22"/>
                <w:color w:val="auto"/>
              </w:rPr>
            </w:pPr>
          </w:p>
        </w:tc>
        <w:tc>
          <w:tcPr>
            <w:tcW w:w="1120" w:type="dxa"/>
            <w:vAlign w:val="bottom"/>
            <w:shd w:val="clear" w:color="auto" w:fill="E4C0D9"/>
          </w:tcPr>
          <w:p>
            <w:pPr>
              <w:ind w:left="200"/>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Weighted</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granted</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Average</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under the</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Exercise</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vMerge w:val="continue"/>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Amended</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Price of</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Amended</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Plan From</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Options</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Plan From</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Inception</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0" w:type="dxa"/>
            <w:vAlign w:val="bottom"/>
            <w:shd w:val="clear" w:color="auto" w:fill="E4C0D9"/>
          </w:tcPr>
          <w:p>
            <w:pPr>
              <w:spacing w:after="0"/>
              <w:rPr>
                <w:sz w:val="10"/>
                <w:szCs w:val="10"/>
                <w:color w:val="auto"/>
              </w:rPr>
            </w:pPr>
          </w:p>
        </w:tc>
        <w:tc>
          <w:tcPr>
            <w:tcW w:w="6100" w:type="dxa"/>
            <w:vAlign w:val="bottom"/>
            <w:shd w:val="clear" w:color="auto" w:fill="E4C0D9"/>
          </w:tcPr>
          <w:p>
            <w:pPr>
              <w:spacing w:after="0"/>
              <w:rPr>
                <w:sz w:val="10"/>
                <w:szCs w:val="10"/>
                <w:color w:val="auto"/>
              </w:rPr>
            </w:pPr>
          </w:p>
        </w:tc>
        <w:tc>
          <w:tcPr>
            <w:tcW w:w="1140" w:type="dxa"/>
            <w:vAlign w:val="bottom"/>
            <w:vMerge w:val="continue"/>
            <w:shd w:val="clear" w:color="auto" w:fill="E4C0D9"/>
          </w:tcPr>
          <w:p>
            <w:pPr>
              <w:spacing w:after="0"/>
              <w:rPr>
                <w:sz w:val="10"/>
                <w:szCs w:val="10"/>
                <w:color w:val="auto"/>
              </w:rPr>
            </w:pPr>
          </w:p>
        </w:tc>
        <w:tc>
          <w:tcPr>
            <w:tcW w:w="1060" w:type="dxa"/>
            <w:vAlign w:val="bottom"/>
            <w:shd w:val="clear" w:color="auto" w:fill="E4C0D9"/>
          </w:tcPr>
          <w:p>
            <w:pPr>
              <w:spacing w:after="0"/>
              <w:rPr>
                <w:sz w:val="10"/>
                <w:szCs w:val="10"/>
                <w:color w:val="auto"/>
              </w:rPr>
            </w:pP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shd w:val="clear" w:color="auto" w:fill="E4C0D9"/>
          </w:tcPr>
          <w:p>
            <w:pPr>
              <w:spacing w:after="0"/>
              <w:rPr>
                <w:sz w:val="7"/>
                <w:szCs w:val="7"/>
                <w:color w:val="auto"/>
              </w:rPr>
            </w:pPr>
          </w:p>
        </w:tc>
        <w:tc>
          <w:tcPr>
            <w:tcW w:w="1060" w:type="dxa"/>
            <w:vAlign w:val="bottom"/>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shd w:val="clear" w:color="auto" w:fill="E4C0D9"/>
          </w:tcPr>
          <w:p>
            <w:pPr>
              <w:spacing w:after="0"/>
              <w:rPr>
                <w:sz w:val="6"/>
                <w:szCs w:val="6"/>
                <w:color w:val="auto"/>
              </w:rPr>
            </w:pPr>
          </w:p>
        </w:tc>
        <w:tc>
          <w:tcPr>
            <w:tcW w:w="6100" w:type="dxa"/>
            <w:vAlign w:val="bottom"/>
            <w:tcBorders>
              <w:bottom w:val="single" w:sz="8" w:color="auto"/>
            </w:tcBorders>
            <w:shd w:val="clear" w:color="auto" w:fill="E4C0D9"/>
          </w:tcPr>
          <w:p>
            <w:pPr>
              <w:spacing w:after="0"/>
              <w:rPr>
                <w:sz w:val="6"/>
                <w:szCs w:val="6"/>
                <w:color w:val="auto"/>
              </w:rPr>
            </w:pPr>
          </w:p>
        </w:tc>
        <w:tc>
          <w:tcPr>
            <w:tcW w:w="1140" w:type="dxa"/>
            <w:vAlign w:val="bottom"/>
            <w:tcBorders>
              <w:bottom w:val="single" w:sz="8" w:color="auto"/>
            </w:tcBorders>
            <w:shd w:val="clear" w:color="auto" w:fill="E4C0D9"/>
          </w:tcPr>
          <w:p>
            <w:pPr>
              <w:spacing w:after="0"/>
              <w:rPr>
                <w:sz w:val="6"/>
                <w:szCs w:val="6"/>
                <w:color w:val="auto"/>
              </w:rPr>
            </w:pPr>
          </w:p>
        </w:tc>
        <w:tc>
          <w:tcPr>
            <w:tcW w:w="1060" w:type="dxa"/>
            <w:vAlign w:val="bottom"/>
            <w:tcBorders>
              <w:bottom w:val="single" w:sz="8" w:color="auto"/>
            </w:tcBorders>
            <w:shd w:val="clear" w:color="auto" w:fill="E4C0D9"/>
          </w:tcPr>
          <w:p>
            <w:pPr>
              <w:spacing w:after="0"/>
              <w:rPr>
                <w:sz w:val="6"/>
                <w:szCs w:val="6"/>
                <w:color w:val="auto"/>
              </w:rPr>
            </w:pPr>
          </w:p>
        </w:tc>
        <w:tc>
          <w:tcPr>
            <w:tcW w:w="112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Jennifer Hyman</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211,465</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Co-Founder, Chief Executive Officer &amp; President, Chair</w:t>
            </w:r>
          </w:p>
        </w:tc>
        <w:tc>
          <w:tcPr>
            <w:tcW w:w="1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Sid Thacker</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61,250</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1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Sarah Tam</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41,407</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Chief Merchant Officer</w:t>
            </w:r>
          </w:p>
        </w:tc>
        <w:tc>
          <w:tcPr>
            <w:tcW w:w="1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All Current Executive Officers as a Group (5 persons)</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1,221</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$420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383,819</w:t>
            </w: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All Current Non-Executive Officer Directors as a Group (6 persons)</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30,638</w:t>
            </w: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Associates of Named Executive Officers and Directors</w:t>
            </w:r>
            <w:r>
              <w:rPr>
                <w:rFonts w:ascii="Arial" w:cs="Arial" w:eastAsia="Arial" w:hAnsi="Arial"/>
                <w:sz w:val="23"/>
                <w:szCs w:val="23"/>
                <w:b w:val="1"/>
                <w:bCs w:val="1"/>
                <w:color w:val="auto"/>
                <w:vertAlign w:val="superscript"/>
              </w:rPr>
              <w:t>(1)</w:t>
            </w: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14,610</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Each Other Person who Received 5% of Awards under the 2021 Plan</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All Current Employees (other than Executive Officers) as a Group (approximately 222)</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2,501</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$280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367,874</w:t>
            </w:r>
          </w:p>
        </w:tc>
        <w:tc>
          <w:tcPr>
            <w:tcW w:w="0" w:type="dxa"/>
            <w:vAlign w:val="bottom"/>
          </w:tcPr>
          <w:p>
            <w:pPr>
              <w:spacing w:after="0"/>
              <w:rPr>
                <w:sz w:val="1"/>
                <w:szCs w:val="1"/>
                <w:color w:val="auto"/>
              </w:rPr>
            </w:pPr>
          </w:p>
        </w:tc>
      </w:tr>
      <w:tr>
        <w:trPr>
          <w:trHeight w:val="29"/>
        </w:trPr>
        <w:tc>
          <w:tcPr>
            <w:tcW w:w="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20" w:hanging="359"/>
        <w:spacing w:after="0" w:line="256"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Rule 12b-2 of the Exchange Act defines an “associate” as (1) any corporation or entity of which the person is a partner, officer or 10% beneficial owner; (2) any trust or estate in which the person has a substantial interest or as to which the person serves as a trustee; and (3) any relative or spouse of the person, or relative of the person’s spouse, who shares the same household or who is a director or officer of the company, its parent or any of its subsidiaries.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Equity Compensation Plan Information</w:t>
      </w:r>
    </w:p>
    <w:p>
      <w:pPr>
        <w:spacing w:after="0" w:line="199"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The following table provides information as of January 31, 2025, with respect to the shares of the Company’s Common Stock that may be issued under the Company’s existing compensation plans.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E4C0D9"/>
          </w:tcPr>
          <w:p>
            <w:pPr>
              <w:spacing w:after="0"/>
              <w:rPr>
                <w:sz w:val="22"/>
                <w:szCs w:val="22"/>
                <w:color w:val="auto"/>
              </w:rPr>
            </w:pPr>
          </w:p>
        </w:tc>
        <w:tc>
          <w:tcPr>
            <w:tcW w:w="4800" w:type="dxa"/>
            <w:vAlign w:val="bottom"/>
            <w:shd w:val="clear" w:color="auto" w:fill="E4C0D9"/>
          </w:tcPr>
          <w:p>
            <w:pPr>
              <w:spacing w:after="0"/>
              <w:rPr>
                <w:sz w:val="22"/>
                <w:szCs w:val="22"/>
                <w:color w:val="auto"/>
              </w:rPr>
            </w:pPr>
          </w:p>
        </w:tc>
        <w:tc>
          <w:tcPr>
            <w:tcW w:w="2060" w:type="dxa"/>
            <w:vAlign w:val="bottom"/>
            <w:shd w:val="clear" w:color="auto" w:fill="E4C0D9"/>
          </w:tcPr>
          <w:p>
            <w:pPr>
              <w:spacing w:after="0"/>
              <w:rPr>
                <w:sz w:val="22"/>
                <w:szCs w:val="22"/>
                <w:color w:val="auto"/>
              </w:rPr>
            </w:pPr>
          </w:p>
        </w:tc>
        <w:tc>
          <w:tcPr>
            <w:tcW w:w="1280" w:type="dxa"/>
            <w:vAlign w:val="bottom"/>
            <w:shd w:val="clear" w:color="auto" w:fill="E4C0D9"/>
          </w:tcPr>
          <w:p>
            <w:pPr>
              <w:spacing w:after="0"/>
              <w:rPr>
                <w:sz w:val="22"/>
                <w:szCs w:val="22"/>
                <w:color w:val="auto"/>
              </w:rPr>
            </w:pPr>
          </w:p>
        </w:tc>
        <w:tc>
          <w:tcPr>
            <w:tcW w:w="1260" w:type="dxa"/>
            <w:vAlign w:val="bottom"/>
            <w:shd w:val="clear" w:color="auto" w:fill="E4C0D9"/>
          </w:tcPr>
          <w:p>
            <w:pPr>
              <w:ind w:lef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00" w:type="dxa"/>
            <w:vAlign w:val="bottom"/>
            <w:shd w:val="clear" w:color="auto" w:fill="E4C0D9"/>
          </w:tcPr>
          <w:p>
            <w:pPr>
              <w:spacing w:after="0"/>
              <w:rPr>
                <w:sz w:val="14"/>
                <w:szCs w:val="14"/>
                <w:color w:val="auto"/>
              </w:rPr>
            </w:pPr>
          </w:p>
        </w:tc>
        <w:tc>
          <w:tcPr>
            <w:tcW w:w="4800" w:type="dxa"/>
            <w:vAlign w:val="bottom"/>
            <w:shd w:val="clear" w:color="auto" w:fill="E4C0D9"/>
          </w:tcPr>
          <w:p>
            <w:pPr>
              <w:spacing w:after="0"/>
              <w:rPr>
                <w:sz w:val="14"/>
                <w:szCs w:val="14"/>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Number of</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Weighted</w:t>
            </w:r>
          </w:p>
        </w:tc>
        <w:tc>
          <w:tcPr>
            <w:tcW w:w="1260" w:type="dxa"/>
            <w:vAlign w:val="bottom"/>
            <w:shd w:val="clear" w:color="auto" w:fill="E4C0D9"/>
          </w:tcPr>
          <w:p>
            <w:pPr>
              <w:ind w:left="12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Securities to</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Average</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be Issued</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Exercise Price</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vMerge w:val="continue"/>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Upon Exercise</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of Outstanding</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line="159" w:lineRule="exact"/>
              <w:rPr>
                <w:sz w:val="20"/>
                <w:szCs w:val="20"/>
                <w:color w:val="auto"/>
              </w:rPr>
            </w:pPr>
            <w:r>
              <w:rPr>
                <w:rFonts w:ascii="Arial" w:cs="Arial" w:eastAsia="Arial" w:hAnsi="Arial"/>
                <w:sz w:val="14"/>
                <w:szCs w:val="14"/>
                <w:b w:val="1"/>
                <w:bCs w:val="1"/>
                <w:color w:val="auto"/>
              </w:rPr>
              <w:t>of Outstanding</w:t>
            </w:r>
          </w:p>
        </w:tc>
        <w:tc>
          <w:tcPr>
            <w:tcW w:w="1280" w:type="dxa"/>
            <w:vAlign w:val="bottom"/>
            <w:vMerge w:val="restart"/>
            <w:shd w:val="clear" w:color="auto" w:fill="E4C0D9"/>
          </w:tcPr>
          <w:p>
            <w:pPr>
              <w:ind w:left="120"/>
              <w:spacing w:after="0" w:line="159" w:lineRule="exact"/>
              <w:rPr>
                <w:sz w:val="20"/>
                <w:szCs w:val="20"/>
                <w:color w:val="auto"/>
              </w:rPr>
            </w:pPr>
            <w:r>
              <w:rPr>
                <w:rFonts w:ascii="Arial" w:cs="Arial" w:eastAsia="Arial" w:hAnsi="Arial"/>
                <w:sz w:val="14"/>
                <w:szCs w:val="14"/>
                <w:b w:val="1"/>
                <w:bCs w:val="1"/>
                <w:color w:val="auto"/>
              </w:rPr>
              <w:t>Options</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00" w:type="dxa"/>
            <w:vAlign w:val="bottom"/>
            <w:shd w:val="clear" w:color="auto" w:fill="E4C0D9"/>
          </w:tcPr>
          <w:p>
            <w:pPr>
              <w:spacing w:after="0"/>
              <w:rPr>
                <w:sz w:val="6"/>
                <w:szCs w:val="6"/>
                <w:color w:val="auto"/>
              </w:rPr>
            </w:pPr>
          </w:p>
        </w:tc>
        <w:tc>
          <w:tcPr>
            <w:tcW w:w="4800" w:type="dxa"/>
            <w:vAlign w:val="bottom"/>
            <w:shd w:val="clear" w:color="auto" w:fill="E4C0D9"/>
          </w:tcPr>
          <w:p>
            <w:pPr>
              <w:spacing w:after="0"/>
              <w:rPr>
                <w:sz w:val="6"/>
                <w:szCs w:val="6"/>
                <w:color w:val="auto"/>
              </w:rPr>
            </w:pPr>
          </w:p>
        </w:tc>
        <w:tc>
          <w:tcPr>
            <w:tcW w:w="2060" w:type="dxa"/>
            <w:vAlign w:val="bottom"/>
            <w:vMerge w:val="continue"/>
            <w:shd w:val="clear" w:color="auto" w:fill="E4C0D9"/>
          </w:tcPr>
          <w:p>
            <w:pPr>
              <w:spacing w:after="0"/>
              <w:rPr>
                <w:sz w:val="6"/>
                <w:szCs w:val="6"/>
                <w:color w:val="auto"/>
              </w:rPr>
            </w:pPr>
          </w:p>
        </w:tc>
        <w:tc>
          <w:tcPr>
            <w:tcW w:w="1280" w:type="dxa"/>
            <w:vAlign w:val="bottom"/>
            <w:vMerge w:val="continue"/>
            <w:shd w:val="clear" w:color="auto" w:fill="E4C0D9"/>
          </w:tcPr>
          <w:p>
            <w:pPr>
              <w:spacing w:after="0"/>
              <w:rPr>
                <w:sz w:val="6"/>
                <w:szCs w:val="6"/>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84"/>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line="243" w:lineRule="exact"/>
              <w:rPr>
                <w:sz w:val="20"/>
                <w:szCs w:val="20"/>
                <w:color w:val="auto"/>
              </w:rPr>
            </w:pPr>
            <w:r>
              <w:rPr>
                <w:rFonts w:ascii="Arial" w:cs="Arial" w:eastAsia="Arial" w:hAnsi="Arial"/>
                <w:sz w:val="14"/>
                <w:szCs w:val="14"/>
                <w:b w:val="1"/>
                <w:bCs w:val="1"/>
                <w:color w:val="auto"/>
              </w:rPr>
              <w:t>Securities</w:t>
            </w:r>
            <w:r>
              <w:rPr>
                <w:rFonts w:ascii="Arial" w:cs="Arial" w:eastAsia="Arial" w:hAnsi="Arial"/>
                <w:sz w:val="23"/>
                <w:szCs w:val="23"/>
                <w:b w:val="1"/>
                <w:bCs w:val="1"/>
                <w:color w:val="auto"/>
                <w:vertAlign w:val="superscript"/>
              </w:rPr>
              <w:t>(1)</w:t>
            </w:r>
          </w:p>
        </w:tc>
        <w:tc>
          <w:tcPr>
            <w:tcW w:w="1280" w:type="dxa"/>
            <w:vAlign w:val="bottom"/>
            <w:vMerge w:val="restart"/>
            <w:shd w:val="clear" w:color="auto" w:fill="E4C0D9"/>
          </w:tcPr>
          <w:p>
            <w:pPr>
              <w:ind w:left="12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00" w:type="dxa"/>
            <w:vAlign w:val="bottom"/>
            <w:shd w:val="clear" w:color="auto" w:fill="E4C0D9"/>
          </w:tcPr>
          <w:p>
            <w:pPr>
              <w:spacing w:after="0"/>
              <w:rPr>
                <w:sz w:val="13"/>
                <w:szCs w:val="13"/>
                <w:color w:val="auto"/>
              </w:rPr>
            </w:pPr>
          </w:p>
        </w:tc>
        <w:tc>
          <w:tcPr>
            <w:tcW w:w="4800" w:type="dxa"/>
            <w:vAlign w:val="bottom"/>
            <w:shd w:val="clear" w:color="auto" w:fill="E4C0D9"/>
          </w:tcPr>
          <w:p>
            <w:pPr>
              <w:spacing w:after="0"/>
              <w:rPr>
                <w:sz w:val="13"/>
                <w:szCs w:val="13"/>
                <w:color w:val="auto"/>
              </w:rPr>
            </w:pPr>
          </w:p>
        </w:tc>
        <w:tc>
          <w:tcPr>
            <w:tcW w:w="2060" w:type="dxa"/>
            <w:vAlign w:val="bottom"/>
            <w:vMerge w:val="continue"/>
            <w:shd w:val="clear" w:color="auto" w:fill="E4C0D9"/>
          </w:tcPr>
          <w:p>
            <w:pPr>
              <w:spacing w:after="0"/>
              <w:rPr>
                <w:sz w:val="13"/>
                <w:szCs w:val="13"/>
                <w:color w:val="auto"/>
              </w:rPr>
            </w:pPr>
          </w:p>
        </w:tc>
        <w:tc>
          <w:tcPr>
            <w:tcW w:w="1280" w:type="dxa"/>
            <w:vAlign w:val="bottom"/>
            <w:vMerge w:val="continue"/>
            <w:shd w:val="clear" w:color="auto" w:fill="E4C0D9"/>
          </w:tcPr>
          <w:p>
            <w:pPr>
              <w:spacing w:after="0"/>
              <w:rPr>
                <w:sz w:val="13"/>
                <w:szCs w:val="13"/>
                <w:color w:val="auto"/>
              </w:rPr>
            </w:pPr>
          </w:p>
        </w:tc>
        <w:tc>
          <w:tcPr>
            <w:tcW w:w="1260" w:type="dxa"/>
            <w:vAlign w:val="bottom"/>
            <w:shd w:val="clear" w:color="auto" w:fill="E4C0D9"/>
          </w:tcPr>
          <w:p>
            <w:pPr>
              <w:ind w:left="120"/>
              <w:spacing w:after="0" w:line="15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96"/>
        </w:trPr>
        <w:tc>
          <w:tcPr>
            <w:tcW w:w="100" w:type="dxa"/>
            <w:vAlign w:val="bottom"/>
            <w:tcBorders>
              <w:bottom w:val="single" w:sz="8" w:color="auto"/>
            </w:tcBorders>
            <w:shd w:val="clear" w:color="auto" w:fill="E4C0D9"/>
          </w:tcPr>
          <w:p>
            <w:pPr>
              <w:spacing w:after="0"/>
              <w:rPr>
                <w:sz w:val="24"/>
                <w:szCs w:val="24"/>
                <w:color w:val="auto"/>
              </w:rPr>
            </w:pPr>
          </w:p>
        </w:tc>
        <w:tc>
          <w:tcPr>
            <w:tcW w:w="4800" w:type="dxa"/>
            <w:vAlign w:val="bottom"/>
            <w:tcBorders>
              <w:bottom w:val="single" w:sz="8" w:color="auto"/>
            </w:tcBorders>
            <w:shd w:val="clear" w:color="auto" w:fill="E4C0D9"/>
          </w:tcPr>
          <w:p>
            <w:pPr>
              <w:spacing w:after="0"/>
              <w:rPr>
                <w:sz w:val="24"/>
                <w:szCs w:val="24"/>
                <w:color w:val="auto"/>
              </w:rPr>
            </w:pPr>
          </w:p>
        </w:tc>
        <w:tc>
          <w:tcPr>
            <w:tcW w:w="2060" w:type="dxa"/>
            <w:vAlign w:val="bottom"/>
            <w:tcBorders>
              <w:bottom w:val="single" w:sz="8" w:color="auto"/>
            </w:tcBorders>
            <w:shd w:val="clear" w:color="auto" w:fill="E4C0D9"/>
          </w:tcPr>
          <w:p>
            <w:pPr>
              <w:spacing w:after="0"/>
              <w:rPr>
                <w:sz w:val="24"/>
                <w:szCs w:val="24"/>
                <w:color w:val="auto"/>
              </w:rPr>
            </w:pPr>
          </w:p>
        </w:tc>
        <w:tc>
          <w:tcPr>
            <w:tcW w:w="1280" w:type="dxa"/>
            <w:vAlign w:val="bottom"/>
            <w:tcBorders>
              <w:bottom w:val="single" w:sz="8" w:color="auto"/>
            </w:tcBorders>
            <w:shd w:val="clear" w:color="auto" w:fill="E4C0D9"/>
          </w:tcPr>
          <w:p>
            <w:pPr>
              <w:spacing w:after="0"/>
              <w:rPr>
                <w:sz w:val="24"/>
                <w:szCs w:val="24"/>
                <w:color w:val="auto"/>
              </w:rPr>
            </w:pPr>
          </w:p>
        </w:tc>
        <w:tc>
          <w:tcPr>
            <w:tcW w:w="1260" w:type="dxa"/>
            <w:vAlign w:val="bottom"/>
            <w:tcBorders>
              <w:bottom w:val="single" w:sz="8" w:color="auto"/>
            </w:tcBorders>
            <w:shd w:val="clear" w:color="auto" w:fill="E4C0D9"/>
          </w:tcPr>
          <w:p>
            <w:pPr>
              <w:ind w:left="120"/>
              <w:spacing w:after="0"/>
              <w:rPr>
                <w:sz w:val="20"/>
                <w:szCs w:val="20"/>
                <w:color w:val="auto"/>
              </w:rPr>
            </w:pPr>
            <w:r>
              <w:rPr>
                <w:rFonts w:ascii="Arial" w:cs="Arial" w:eastAsia="Arial" w:hAnsi="Arial"/>
                <w:sz w:val="14"/>
                <w:szCs w:val="14"/>
                <w:b w:val="1"/>
                <w:bCs w:val="1"/>
                <w:color w:val="auto"/>
              </w:rPr>
              <w:t>Plans</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372"/>
        </w:trPr>
        <w:tc>
          <w:tcPr>
            <w:tcW w:w="1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3"/>
                <w:szCs w:val="23"/>
                <w:color w:val="auto"/>
                <w:vertAlign w:val="superscript"/>
              </w:rPr>
              <w:t>(4)</w:t>
            </w:r>
          </w:p>
        </w:tc>
        <w:tc>
          <w:tcPr>
            <w:tcW w:w="2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367,437</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160.84</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431,298</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2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Totals</w:t>
            </w:r>
          </w:p>
        </w:tc>
        <w:tc>
          <w:tcPr>
            <w:tcW w:w="2060" w:type="dxa"/>
            <w:vAlign w:val="bottom"/>
          </w:tcPr>
          <w:p>
            <w:pPr>
              <w:jc w:val="right"/>
              <w:ind w:right="28"/>
              <w:spacing w:after="0"/>
              <w:rPr>
                <w:sz w:val="20"/>
                <w:szCs w:val="20"/>
                <w:color w:val="auto"/>
              </w:rPr>
            </w:pPr>
            <w:r>
              <w:rPr>
                <w:rFonts w:ascii="Arial" w:cs="Arial" w:eastAsia="Arial" w:hAnsi="Arial"/>
                <w:sz w:val="14"/>
                <w:szCs w:val="14"/>
                <w:color w:val="auto"/>
              </w:rPr>
              <w:t>367,437</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431,298</w:t>
            </w: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160" w:hanging="359"/>
        <w:spacing w:after="0" w:line="26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33,538 shares of Class A Common Stock are subject to outstanding options, 333,263 shares of Class A Common Stock are subject to outstanding RSUs, and 636 shares of Class B Common Stock are subject to outstanding RSUs.</w:t>
      </w:r>
    </w:p>
    <w:p>
      <w:pPr>
        <w:spacing w:after="0" w:line="10"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 and does not reflect the shares that will be issued upon the vesting of outstanding RSUs, which have no exercise price.</w:t>
      </w:r>
    </w:p>
    <w:p>
      <w:pPr>
        <w:spacing w:after="0" w:line="1" w:lineRule="exact"/>
        <w:rPr>
          <w:rFonts w:ascii="Arial" w:cs="Arial" w:eastAsia="Arial" w:hAnsi="Arial"/>
          <w:sz w:val="14"/>
          <w:szCs w:val="14"/>
          <w:color w:val="auto"/>
        </w:rPr>
      </w:pPr>
    </w:p>
    <w:p>
      <w:pPr>
        <w:ind w:left="380" w:right="80" w:hanging="359"/>
        <w:spacing w:after="0" w:line="252"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Amended and Restated 2021 Incentive Award Plan (the “2021 Plan”) and the 2021 Employee Stock Purchase Plan (the “ESPP”). As of January 31, 2025, 387,147 shares of Class A Common Stock and 636 shares of Class B Common Stock were available for issuance under the 2021 Plan, and 43,515 shares of Class A Common Stock were available for issuance under the ESPP. There was no ESPP purchase period in effect as of January 31, 2025 and as a result there were no rights to purchase shares under the ESPP outstanding as of January 31, 2025.</w:t>
      </w:r>
    </w:p>
    <w:p>
      <w:pPr>
        <w:spacing w:after="0" w:line="18" w:lineRule="exact"/>
        <w:rPr>
          <w:rFonts w:ascii="Arial" w:cs="Arial" w:eastAsia="Arial" w:hAnsi="Arial"/>
          <w:sz w:val="14"/>
          <w:szCs w:val="14"/>
          <w:color w:val="auto"/>
        </w:rPr>
      </w:pPr>
    </w:p>
    <w:p>
      <w:pPr>
        <w:ind w:left="380" w:right="120"/>
        <w:spacing w:after="0" w:line="247" w:lineRule="auto"/>
        <w:rPr>
          <w:rFonts w:ascii="Arial" w:cs="Arial" w:eastAsia="Arial" w:hAnsi="Arial"/>
          <w:sz w:val="14"/>
          <w:szCs w:val="14"/>
          <w:color w:val="auto"/>
        </w:rPr>
      </w:pPr>
      <w:r>
        <w:rPr>
          <w:rFonts w:ascii="Arial" w:cs="Arial" w:eastAsia="Arial" w:hAnsi="Arial"/>
          <w:sz w:val="14"/>
          <w:szCs w:val="14"/>
          <w:color w:val="auto"/>
        </w:rPr>
        <w:t>Our 2021 Plan and ESPP each contain an “evergreen” provision, which allow for an annual increase in the number of shares of Class A Common Stock available for issuance under the respective plan on the first day of each year commencing on January 1, 2022 and ending on and including January 1, 2031. Prior to the effective date of the Amended Plan, the number of shares under the 2021 Plan increased by 5% of the number of shares of Class A Common Stock issued and outstanding on the immediately preceding December 31, or a lesser number of shares determined by the Board. As of the effective date of the Amended Plan, the 2021 Plan will no longer be subject to an evergreen provision. The number of shares under the ESPP shall be increased by 1% of the number of shares of Class A Common Stock issued and outstanding on the immediately preceding December 31, or such lesser number of shares determined by the Board. The Amended Plan does not contain an evergreen provision.</w:t>
      </w:r>
    </w:p>
    <w:p>
      <w:pPr>
        <w:spacing w:after="0" w:line="217"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No further shares are available for issuance under the 2019 Plan or the 2009 Plan.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2021 Plan, the ESPP, the 2019 Plan, and the 2009 Plan.</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500"/>
        <w:spacing w:after="0" w:line="271" w:lineRule="auto"/>
        <w:rPr>
          <w:sz w:val="20"/>
          <w:szCs w:val="20"/>
          <w:color w:val="auto"/>
        </w:rPr>
      </w:pPr>
      <w:r>
        <w:rPr>
          <w:rFonts w:ascii="Arial" w:cs="Arial" w:eastAsia="Arial" w:hAnsi="Arial"/>
          <w:sz w:val="18"/>
          <w:szCs w:val="18"/>
          <w:color w:val="auto"/>
        </w:rPr>
        <w:t>Our Class A Common Stock is listed on the Nasdaq Global Market. In order to comply with Nasdaq Listing Rules, including, but not limited to, Rule 5635(c), we are seeking stockholder approval of the Amended Plan.</w:t>
      </w:r>
    </w:p>
    <w:p>
      <w:pPr>
        <w:spacing w:after="0" w:line="113" w:lineRule="exact"/>
        <w:rPr>
          <w:sz w:val="20"/>
          <w:szCs w:val="20"/>
          <w:color w:val="auto"/>
        </w:rPr>
      </w:pPr>
    </w:p>
    <w:p>
      <w:pPr>
        <w:ind w:left="20" w:right="280"/>
        <w:spacing w:after="0" w:line="253" w:lineRule="auto"/>
        <w:rPr>
          <w:sz w:val="20"/>
          <w:szCs w:val="20"/>
          <w:color w:val="auto"/>
        </w:rPr>
      </w:pPr>
      <w:r>
        <w:rPr>
          <w:rFonts w:ascii="Arial" w:cs="Arial" w:eastAsia="Arial" w:hAnsi="Arial"/>
          <w:sz w:val="18"/>
          <w:szCs w:val="18"/>
          <w:color w:val="auto"/>
        </w:rPr>
        <w:t>Nasdaq Listing Rule 5635(c) requires stockholder approval prior to the issuance of securities when a stock option or purchase plan is to be established or materially amended, pursuant to which stock may be acquired by officers, directors, employees or consultants.</w:t>
      </w:r>
    </w:p>
    <w:p>
      <w:pPr>
        <w:spacing w:after="0" w:line="142"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The Exchange Agreement requires that we take all actions that may be required to increase the maximum number of shares of Class A Common Stock authorized for issuance under the 2021 Plan to the extent required to issue Awards (as defined in the Amended Plan) pursuant to the terms and conditions of the Amended Plan. Therefore, the Plan Amendment Proposal requires stockholder approval pursuant to Nasdaq Listing Rule 5635(c).</w:t>
      </w:r>
    </w:p>
    <w:p>
      <w:pPr>
        <w:spacing w:after="0" w:line="133" w:lineRule="exact"/>
        <w:rPr>
          <w:sz w:val="20"/>
          <w:szCs w:val="20"/>
          <w:color w:val="auto"/>
        </w:rPr>
      </w:pPr>
    </w:p>
    <w:p>
      <w:pPr>
        <w:jc w:val="both"/>
        <w:ind w:left="20" w:right="280"/>
        <w:spacing w:after="0" w:line="253" w:lineRule="auto"/>
        <w:rPr>
          <w:sz w:val="20"/>
          <w:szCs w:val="20"/>
          <w:color w:val="auto"/>
        </w:rPr>
      </w:pPr>
      <w:r>
        <w:rPr>
          <w:rFonts w:ascii="Arial" w:cs="Arial" w:eastAsia="Arial" w:hAnsi="Arial"/>
          <w:sz w:val="18"/>
          <w:szCs w:val="18"/>
          <w:color w:val="auto"/>
        </w:rPr>
        <w:t>Pursuant to the Exchange Agreement, we agreed to hold a meeting of our stockholders for the purpose of obtaining such stockholder approval pursuant to Nasdaq Listing Rule 5635(c). The Special Meeting is intended to satisfy such obligation.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Approval of the Plan Amendment Proposal requires the affirmative vote of a majority of votes cast (excluding abstentions and broker non-votes). Abstentions and broker non-votes (if any) will have no effect on the outcome of this proposal.</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Consequences if Stockholder Approval Is Not Obtained</w:t>
      </w:r>
    </w:p>
    <w:p>
      <w:pPr>
        <w:spacing w:after="0" w:line="210"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If the Plan Amendment Proposal is not approved, the Exchange Agreement will be terminated in accordance with its terms, we will not be able to enter into the New Credit Agreement, and we may default under the Existing Credit Agreement. Such default would allow Agent to accelerate repayment of all obligations and exercise all other rights and remedies available under the Existing Credit Agreement. As a result, a default would have a material adverse effect on our business, financial condition and results of operations, and we would likely be unable to avoid filing for bankruptcy protection or have an involuntary bankruptcy case filed against us. We therefore strongly believe that it is critical that you vote “FOR” the Plan Amendment Proposal.</w:t>
      </w:r>
    </w:p>
    <w:p>
      <w:pPr>
        <w:spacing w:after="0" w:line="175" w:lineRule="exact"/>
        <w:rPr>
          <w:sz w:val="20"/>
          <w:szCs w:val="20"/>
          <w:color w:val="auto"/>
        </w:rPr>
      </w:pPr>
    </w:p>
    <w:p>
      <w:pPr>
        <w:jc w:val="center"/>
        <w:ind w:right="2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3.</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4</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Charter Amendment</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Pursuant to the Exchange Agreement, we agreed to use our reasonable best efforts to solicit proxies in favor of the amendment and restatement of our Twelfth Amended and Restated Certificate of Incorporation. The Board has adopted and declared advisable such amendment and restatement of our Twelfth Amended and Restated Certificate of Incorporation to facilitate the consummation of the Recapitalization Transactions.</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Charter Amendment</w:t>
      </w:r>
    </w:p>
    <w:p>
      <w:pPr>
        <w:spacing w:after="0" w:line="199"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Upon consummation of the Recapitalization Transactions, the Investor Group is expected to collectively own 86% of our outstanding Common Stock as of the closing of the Recapitalization Transactions (after giving effect to the Conversions, but before giving effect to the Rights Offering and the increased share reserve under the Amended Plan). In recognition of this fact, Lender and the Company have agreed that the Company will amend and restate its Twelfth Amended and Restated Certificate of Incorporation to include the provisions described below (the “Thirteenth Amended and Restated Certificate of Incorporation”).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Thirteenth Amended and Restated Certificate of Incorporation includes amendments to, among other things:</w:t>
      </w:r>
    </w:p>
    <w:p>
      <w:pPr>
        <w:spacing w:after="0" w:line="171" w:lineRule="exact"/>
        <w:rPr>
          <w:sz w:val="20"/>
          <w:szCs w:val="20"/>
          <w:color w:val="auto"/>
        </w:rPr>
      </w:pPr>
    </w:p>
    <w:p>
      <w:pPr>
        <w:ind w:left="920" w:hanging="53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eliminate the Class B Common Stock;</w:t>
      </w:r>
    </w:p>
    <w:p>
      <w:pPr>
        <w:spacing w:after="0" w:line="184" w:lineRule="exact"/>
        <w:rPr>
          <w:rFonts w:ascii="Arial" w:cs="Arial" w:eastAsia="Arial" w:hAnsi="Arial"/>
          <w:sz w:val="18"/>
          <w:szCs w:val="18"/>
          <w:color w:val="auto"/>
        </w:rPr>
      </w:pPr>
    </w:p>
    <w:p>
      <w:pPr>
        <w:ind w:left="920" w:hanging="53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eliminate the Preferred Stock;</w:t>
      </w:r>
    </w:p>
    <w:p>
      <w:pPr>
        <w:spacing w:after="0" w:line="171" w:lineRule="exact"/>
        <w:rPr>
          <w:rFonts w:ascii="Arial" w:cs="Arial" w:eastAsia="Arial" w:hAnsi="Arial"/>
          <w:sz w:val="18"/>
          <w:szCs w:val="18"/>
          <w:color w:val="auto"/>
        </w:rPr>
      </w:pPr>
    </w:p>
    <w:p>
      <w:pPr>
        <w:ind w:left="920" w:hanging="53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eliminate supermajority voting requirements;</w:t>
      </w:r>
    </w:p>
    <w:p>
      <w:pPr>
        <w:spacing w:after="0" w:line="171" w:lineRule="exact"/>
        <w:rPr>
          <w:rFonts w:ascii="Arial" w:cs="Arial" w:eastAsia="Arial" w:hAnsi="Arial"/>
          <w:sz w:val="18"/>
          <w:szCs w:val="18"/>
          <w:color w:val="auto"/>
        </w:rPr>
      </w:pPr>
    </w:p>
    <w:p>
      <w:pPr>
        <w:ind w:left="920" w:hanging="53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set forth certain director appointment rights;</w:t>
      </w:r>
    </w:p>
    <w:p>
      <w:pPr>
        <w:spacing w:after="0" w:line="184" w:lineRule="exact"/>
        <w:rPr>
          <w:rFonts w:ascii="Arial" w:cs="Arial" w:eastAsia="Arial" w:hAnsi="Arial"/>
          <w:sz w:val="18"/>
          <w:szCs w:val="18"/>
          <w:color w:val="auto"/>
        </w:rPr>
      </w:pPr>
    </w:p>
    <w:p>
      <w:pPr>
        <w:ind w:left="920" w:hanging="53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revised quorum requirements for meetings of the Board;</w:t>
      </w:r>
    </w:p>
    <w:p>
      <w:pPr>
        <w:spacing w:after="0" w:line="171" w:lineRule="exact"/>
        <w:rPr>
          <w:rFonts w:ascii="Arial" w:cs="Arial" w:eastAsia="Arial" w:hAnsi="Arial"/>
          <w:sz w:val="18"/>
          <w:szCs w:val="18"/>
          <w:color w:val="auto"/>
        </w:rPr>
      </w:pPr>
    </w:p>
    <w:p>
      <w:pPr>
        <w:ind w:left="920" w:right="180" w:hanging="539"/>
        <w:spacing w:after="0" w:line="27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 stockholders holding at least 40% of the voting power of all of the then-outstanding Common Stock to call special meetings of stockholders of the Company;</w:t>
      </w:r>
    </w:p>
    <w:p>
      <w:pPr>
        <w:spacing w:after="0" w:line="113" w:lineRule="exact"/>
        <w:rPr>
          <w:rFonts w:ascii="Arial" w:cs="Arial" w:eastAsia="Arial" w:hAnsi="Arial"/>
          <w:sz w:val="18"/>
          <w:szCs w:val="18"/>
          <w:color w:val="auto"/>
        </w:rPr>
      </w:pPr>
    </w:p>
    <w:p>
      <w:pPr>
        <w:ind w:left="920" w:hanging="53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stockholders to take action by written consent without a meeting;</w:t>
      </w:r>
    </w:p>
    <w:p>
      <w:pPr>
        <w:spacing w:after="0" w:line="184" w:lineRule="exact"/>
        <w:rPr>
          <w:rFonts w:ascii="Arial" w:cs="Arial" w:eastAsia="Arial" w:hAnsi="Arial"/>
          <w:sz w:val="18"/>
          <w:szCs w:val="18"/>
          <w:color w:val="auto"/>
        </w:rPr>
      </w:pPr>
    </w:p>
    <w:p>
      <w:pPr>
        <w:ind w:left="920" w:hanging="53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officer exculpation as permitted by Delaware law; and</w:t>
      </w:r>
    </w:p>
    <w:p>
      <w:pPr>
        <w:spacing w:after="0" w:line="171" w:lineRule="exact"/>
        <w:rPr>
          <w:rFonts w:ascii="Arial" w:cs="Arial" w:eastAsia="Arial" w:hAnsi="Arial"/>
          <w:sz w:val="18"/>
          <w:szCs w:val="18"/>
          <w:color w:val="auto"/>
        </w:rPr>
      </w:pPr>
    </w:p>
    <w:p>
      <w:pPr>
        <w:ind w:left="920" w:right="180" w:hanging="539"/>
        <w:spacing w:after="0" w:line="271"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changes that are consistent with the Investor Rights Agreement, which takes effect upon the closing of the Recapitalization Transactions.</w:t>
      </w:r>
    </w:p>
    <w:p>
      <w:pPr>
        <w:spacing w:after="0" w:line="113" w:lineRule="exact"/>
        <w:rPr>
          <w:sz w:val="20"/>
          <w:szCs w:val="20"/>
          <w:color w:val="auto"/>
        </w:rPr>
      </w:pPr>
    </w:p>
    <w:p>
      <w:pPr>
        <w:ind w:left="20" w:right="160"/>
        <w:spacing w:after="0" w:line="245" w:lineRule="auto"/>
        <w:rPr>
          <w:sz w:val="20"/>
          <w:szCs w:val="20"/>
          <w:color w:val="auto"/>
        </w:rPr>
      </w:pPr>
      <w:r>
        <w:rPr>
          <w:rFonts w:ascii="Arial" w:cs="Arial" w:eastAsia="Arial" w:hAnsi="Arial"/>
          <w:sz w:val="18"/>
          <w:szCs w:val="18"/>
          <w:color w:val="auto"/>
        </w:rPr>
        <w:t>This summary description of the Thirteenth Amended and Restated Certificate of Incorporation does not purport to be complete and is qualified by the complete text of the proposed amendments that are set forth in the</w:t>
      </w:r>
    </w:p>
    <w:p>
      <w:pPr>
        <w:ind w:left="20" w:right="100"/>
        <w:spacing w:after="0" w:line="242" w:lineRule="auto"/>
        <w:rPr>
          <w:sz w:val="20"/>
          <w:szCs w:val="20"/>
          <w:color w:val="auto"/>
        </w:rPr>
      </w:pPr>
      <w:r>
        <w:rPr>
          <w:rFonts w:ascii="Arial" w:cs="Arial" w:eastAsia="Arial" w:hAnsi="Arial"/>
          <w:sz w:val="18"/>
          <w:szCs w:val="18"/>
          <w:color w:val="auto"/>
        </w:rPr>
        <w:t>Thirteenth Amended and Restated Certificate of Incorporation, and is attached to this Proxy Statement as Exhibit E as a redline against the Twelfth Amended and Restated Certificate of Incorporation in order to reflect the proposed changes contemplated by the Thirteenth Amended and Restated Certificate of Incorporation.</w:t>
      </w:r>
    </w:p>
    <w:p>
      <w:pPr>
        <w:spacing w:after="0" w:line="152"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If the Charter Amendment Proposal is approved, we expect that the Board will adopt certain conforming changes to the Company’s amended and restated bylaws (the “Bylaws”) (which do not require stockholder approval), with</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such other changes as the Board may approve that are consistent with the Thirteenth Amended and Restated Certificate of Incorporation. For the avoidance of doubt, if the Charter Amendment Proposal is not approved, we expect that the Board will still adopt certain changes to the Bylaws in connection with the closing of the Recapitalization Transactions.</w:t>
      </w:r>
    </w:p>
    <w:p>
      <w:pPr>
        <w:spacing w:after="0" w:line="147" w:lineRule="exact"/>
        <w:rPr>
          <w:sz w:val="20"/>
          <w:szCs w:val="20"/>
          <w:color w:val="auto"/>
        </w:rPr>
      </w:pPr>
    </w:p>
    <w:p>
      <w:pPr>
        <w:jc w:val="both"/>
        <w:ind w:left="20" w:right="60"/>
        <w:spacing w:after="0" w:line="253" w:lineRule="auto"/>
        <w:rPr>
          <w:sz w:val="20"/>
          <w:szCs w:val="20"/>
          <w:color w:val="auto"/>
        </w:rPr>
      </w:pPr>
      <w:r>
        <w:rPr>
          <w:rFonts w:ascii="Arial" w:cs="Arial" w:eastAsia="Arial" w:hAnsi="Arial"/>
          <w:sz w:val="18"/>
          <w:szCs w:val="18"/>
          <w:color w:val="auto"/>
        </w:rPr>
        <w:t xml:space="preserve">If the Charter Amendment Proposal is approved, the Thirteenth Amended and Restated Certificate of Incorporation will become effective after the closing of the Recapitalization Transactions upon its filing with the Secretary of State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stockholders approve the Required Proposals.</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The Board, acting upon the unanimous recommendation of the Finance Committee, has determined that it is fair to, and in the best interests of, the Company and its stockholders, and resolved to recommend that the stockholders vote, to amend and restate its existing Twelfth Amended and Restated Certificate of Incorporation. In connection with the Exchange Agreement, all of the Proxy Stockholders executed and delivered Conversion Notices, pursuant to which each Proxy Stockholder opted to convert his, her or its respective shares of Class B Common Stock into shares of Class A Common Stock effective immediately prior to (A) the effectiveness of the Thirteenth Amended and Restated Charter, or (B) if the Charter Amendment Proposal is not approved at the Special Meeting, the closing of the Recapitalization Transactions. As of the Record Date, the aggregate voting power of the outstanding Common Stock held by the Proxy Stockholders was 45.2% of the total voting power of all shares of Common Stock.</w:t>
      </w:r>
    </w:p>
    <w:p>
      <w:pPr>
        <w:spacing w:after="0" w:line="156" w:lineRule="exact"/>
        <w:rPr>
          <w:sz w:val="20"/>
          <w:szCs w:val="20"/>
          <w:color w:val="auto"/>
        </w:rPr>
      </w:pPr>
    </w:p>
    <w:p>
      <w:pPr>
        <w:jc w:val="both"/>
        <w:ind w:left="20" w:right="260"/>
        <w:spacing w:after="0" w:line="253" w:lineRule="auto"/>
        <w:rPr>
          <w:sz w:val="20"/>
          <w:szCs w:val="20"/>
          <w:color w:val="auto"/>
        </w:rPr>
      </w:pPr>
      <w:r>
        <w:rPr>
          <w:rFonts w:ascii="Arial" w:cs="Arial" w:eastAsia="Arial" w:hAnsi="Arial"/>
          <w:sz w:val="18"/>
          <w:szCs w:val="18"/>
          <w:color w:val="auto"/>
        </w:rPr>
        <w:t>The Exchange Agreement requires that we use reasonable best efforts to seek approval of the Charter Amendment Proposal. Pursuant to the Exchange Agreement, we agreed to hold a meeting of our stockholders for the purpose of obtaining such stockholder approval. The Special Meeting is intended to satisfy such obligation.</w:t>
      </w:r>
    </w:p>
    <w:p>
      <w:pPr>
        <w:spacing w:after="0" w:line="12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Approval of the Charter Amendment Proposal requires the affirmative vote of (i) a majority of the outstanding shares of Class B Common Stock voting separately as a class, and (ii) two-thirds of the voting power of all of the outstanding shares of Common Stock entitled to vote thereon, voting as a single class. Abstentions and broker non-votes (if any) will have the same effect as a vote against this proposal.</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Consequences if Stockholder Approval Is Not Obtained</w:t>
      </w:r>
    </w:p>
    <w:p>
      <w:pPr>
        <w:spacing w:after="0" w:line="224" w:lineRule="exact"/>
        <w:rPr>
          <w:sz w:val="20"/>
          <w:szCs w:val="20"/>
          <w:color w:val="auto"/>
        </w:rPr>
      </w:pPr>
    </w:p>
    <w:p>
      <w:pPr>
        <w:ind w:left="20" w:right="160"/>
        <w:spacing w:after="0" w:line="259" w:lineRule="auto"/>
        <w:rPr>
          <w:sz w:val="20"/>
          <w:szCs w:val="20"/>
          <w:color w:val="auto"/>
        </w:rPr>
      </w:pPr>
      <w:r>
        <w:rPr>
          <w:rFonts w:ascii="Arial" w:cs="Arial" w:eastAsia="Arial" w:hAnsi="Arial"/>
          <w:sz w:val="17"/>
          <w:szCs w:val="17"/>
          <w:color w:val="auto"/>
        </w:rPr>
        <w:t>While approval of the Charter Amendment Proposal by our stockholders is not a condition of the Recapitalization Transactions contemplated by the Exchange Agreement, certain of the changes contained in the proposed Thirteenth Amended and Restated Certificate of Incorporation are consistent with the terms of the Investor Rights Agreement, which takes effect upon the closing of the Recapitalization Transactions. If the Charter Amendment Proposal is not approved at the Special Meeting, the Company will intend to seek approval of the Charter Amendment Proposal at a future meeting of stockholders, which would result in additional unnecessary cost and expense to the Company.</w:t>
      </w:r>
    </w:p>
    <w:p>
      <w:pPr>
        <w:spacing w:after="0" w:line="156" w:lineRule="exact"/>
        <w:rPr>
          <w:sz w:val="20"/>
          <w:szCs w:val="20"/>
          <w:color w:val="auto"/>
        </w:rPr>
      </w:pPr>
    </w:p>
    <w:p>
      <w:pPr>
        <w:jc w:val="center"/>
        <w:ind w:right="2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4.</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Adjournment Proposal</w:t>
      </w:r>
    </w:p>
    <w:p>
      <w:pPr>
        <w:spacing w:after="0" w:line="144"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The Board, acting upon the unanimous recommendation of the Finance Committee, believes that, if the number of votes cast in favor of Proposals No. 1, 2, 3 or 4 is insufficient to approve such proposals, it is in the best interests of the Company and its stockholders to adjourn the Special Meeting to a later date or time if necessary in order to enable the Company to continue to seek to obtain a sufficient number of additional votes to approve such proposals. In addition, pursuant to Section 2.05 of Article II of our Bylaws, the chairperson of the Special Meeting will have the concurrent authority to approve an adjournment.</w:t>
      </w:r>
    </w:p>
    <w:p>
      <w:pPr>
        <w:spacing w:after="0" w:line="138"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In this Proposal No. 5, we are asking stockholders to authorize the holder of any proxy solicited by the Board to vote in favor of adjourning the Special Meeting or any adjournment or postponement thereof to enable the Board to solicit additional proxies. If our stockholders approve this proposal, we could adjourn the Special Meeting, and any adjourned session of the Special Meeting to a later date or time in order to use the additional time to solicit additional proxies in favor of Proposals No. 1, 2, 3 or 4, including the solicitation of proxies from stockholders that previously returned executed proxies voting against Proposals No. 1, 2, 3 or 4.</w:t>
      </w:r>
    </w:p>
    <w:p>
      <w:pPr>
        <w:spacing w:after="0" w:line="152"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Approval of the adjournment of the Special Meeting requires the affirmative vote of a majority of votes present and entitled to vote thereon. Abstentions will have the same effect as a vote against this proposal, and broker non-votes (if any) will have no effect on this proposal.</w:t>
      </w:r>
    </w:p>
    <w:p>
      <w:pPr>
        <w:spacing w:after="0" w:line="159"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5.</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940"/>
        <w:spacing w:after="0" w:line="261" w:lineRule="auto"/>
        <w:rPr>
          <w:sz w:val="20"/>
          <w:szCs w:val="20"/>
          <w:color w:val="auto"/>
        </w:rPr>
      </w:pPr>
      <w:r>
        <w:rPr>
          <w:rFonts w:ascii="Arial" w:cs="Arial" w:eastAsia="Arial" w:hAnsi="Arial"/>
          <w:sz w:val="65"/>
          <w:szCs w:val="65"/>
          <w:b w:val="1"/>
          <w:bCs w:val="1"/>
          <w:color w:val="auto"/>
        </w:rPr>
        <w:t>Interests of RTR’s Non-Employee Directors and Executive Officers</w:t>
      </w:r>
    </w:p>
    <w:p>
      <w:pPr>
        <w:spacing w:after="0" w:line="6"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In considering the recommendations of the Board with respect to the Recapitalization Transactions, our stockholders should be aware that our non-employee directors and executive officers have certain interests, including financial interests, in the Recapitalization Transactions that may be different from, or in addition to, the interests of our stockholders generally. The Board was aware of these interests and considered them, among other matters, in approving the Exchange Agreement. These interests are described in more detail below, and certain of them are quantified in the narrative and tables below.</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current non-employee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94615</wp:posOffset>
            </wp:positionV>
            <wp:extent cx="603504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400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4"/>
          <w:szCs w:val="14"/>
          <w:b w:val="1"/>
          <w:bCs w:val="1"/>
          <w:color w:val="auto"/>
        </w:rPr>
        <w:t xml:space="preser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-170815</wp:posOffset>
            </wp:positionV>
            <wp:extent cx="603504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40640</wp:posOffset>
            </wp:positionV>
            <wp:extent cx="6035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36"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Although the SEC disclosure rules require disclosure of any substantial interest of each non-employee director who served on the Board at any time since the beginning of fiscal year 2024, the Board is not aware of any substantial interest regarding the Recapitalization Transactions with respect to the following former non-employee directors of the Board: Emil Michael, Gwyneth Paltrow, Melanie Harris, Dan Nova and Carley Roney. Any reference to “non-employee director” in this Proxy Statement shall be a reference to our current non-employee directors set forth in the table above and shall not include any former non-employee director of the Company.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current executive officers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302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Name</w:t>
            </w:r>
          </w:p>
        </w:tc>
        <w:tc>
          <w:tcPr>
            <w:tcW w:w="6480" w:type="dxa"/>
            <w:vAlign w:val="bottom"/>
            <w:shd w:val="clear" w:color="auto" w:fill="E4C0D9"/>
          </w:tcPr>
          <w:p>
            <w:pPr>
              <w:ind w:left="1840"/>
              <w:spacing w:after="0"/>
              <w:rPr>
                <w:sz w:val="20"/>
                <w:szCs w:val="20"/>
                <w:color w:val="auto"/>
              </w:rPr>
            </w:pPr>
            <w:r>
              <w:rPr>
                <w:rFonts w:ascii="Arial" w:cs="Arial" w:eastAsia="Arial" w:hAnsi="Arial"/>
                <w:sz w:val="14"/>
                <w:szCs w:val="14"/>
                <w:b w:val="1"/>
                <w:bCs w:val="1"/>
                <w:color w:val="auto"/>
              </w:rPr>
              <w:t>Position</w:t>
            </w:r>
          </w:p>
        </w:tc>
      </w:tr>
      <w:tr>
        <w:trPr>
          <w:trHeight w:val="70"/>
        </w:trPr>
        <w:tc>
          <w:tcPr>
            <w:tcW w:w="3020" w:type="dxa"/>
            <w:vAlign w:val="bottom"/>
            <w:tcBorders>
              <w:bottom w:val="single" w:sz="8" w:color="auto"/>
            </w:tcBorders>
            <w:shd w:val="clear" w:color="auto" w:fill="E4C0D9"/>
          </w:tcPr>
          <w:p>
            <w:pPr>
              <w:spacing w:after="0"/>
              <w:rPr>
                <w:sz w:val="6"/>
                <w:szCs w:val="6"/>
                <w:color w:val="auto"/>
              </w:rPr>
            </w:pPr>
          </w:p>
        </w:tc>
        <w:tc>
          <w:tcPr>
            <w:tcW w:w="6480" w:type="dxa"/>
            <w:vAlign w:val="bottom"/>
            <w:tcBorders>
              <w:bottom w:val="single" w:sz="8" w:color="auto"/>
            </w:tcBorders>
            <w:shd w:val="clear" w:color="auto" w:fill="E4C0D9"/>
          </w:tcPr>
          <w:p>
            <w:pPr>
              <w:spacing w:after="0"/>
              <w:rPr>
                <w:sz w:val="6"/>
                <w:szCs w:val="6"/>
                <w:color w:val="auto"/>
              </w:rPr>
            </w:pPr>
          </w:p>
        </w:tc>
      </w:tr>
      <w:tr>
        <w:trPr>
          <w:trHeight w:val="269"/>
        </w:trPr>
        <w:tc>
          <w:tcPr>
            <w:tcW w:w="3020" w:type="dxa"/>
            <w:vAlign w:val="bottom"/>
          </w:tcPr>
          <w:p>
            <w:pPr>
              <w:ind w:left="160"/>
              <w:spacing w:after="0"/>
              <w:rPr>
                <w:sz w:val="20"/>
                <w:szCs w:val="20"/>
                <w:color w:val="auto"/>
              </w:rPr>
            </w:pPr>
            <w:r>
              <w:rPr>
                <w:rFonts w:ascii="Arial" w:cs="Arial" w:eastAsia="Arial" w:hAnsi="Arial"/>
                <w:sz w:val="14"/>
                <w:szCs w:val="14"/>
                <w:color w:val="auto"/>
              </w:rPr>
              <w:t>Jennifer Hyman</w:t>
            </w:r>
          </w:p>
        </w:tc>
        <w:tc>
          <w:tcPr>
            <w:tcW w:w="6480" w:type="dxa"/>
            <w:vAlign w:val="bottom"/>
          </w:tcPr>
          <w:p>
            <w:pPr>
              <w:ind w:left="1840"/>
              <w:spacing w:after="0"/>
              <w:rPr>
                <w:sz w:val="20"/>
                <w:szCs w:val="20"/>
                <w:color w:val="auto"/>
              </w:rPr>
            </w:pPr>
            <w:r>
              <w:rPr>
                <w:rFonts w:ascii="Arial" w:cs="Arial" w:eastAsia="Arial" w:hAnsi="Arial"/>
                <w:sz w:val="14"/>
                <w:szCs w:val="14"/>
                <w:color w:val="auto"/>
              </w:rPr>
              <w:t>Co-Founder, Chief Executive Officer &amp; President, Chair</w:t>
            </w:r>
          </w:p>
        </w:tc>
      </w:tr>
      <w:tr>
        <w:trPr>
          <w:trHeight w:val="76"/>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Sid Thacker</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Financial Officer</w:t>
            </w:r>
          </w:p>
        </w:tc>
      </w:tr>
      <w:tr>
        <w:trPr>
          <w:trHeight w:val="76"/>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Drew Rau</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Supply Chain Officer</w:t>
            </w:r>
          </w:p>
        </w:tc>
      </w:tr>
      <w:tr>
        <w:trPr>
          <w:trHeight w:val="75"/>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Cara Schembri</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Legal &amp; Administrative Officer, Secretary</w:t>
            </w:r>
          </w:p>
        </w:tc>
      </w:tr>
      <w:tr>
        <w:trPr>
          <w:trHeight w:val="76"/>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Sarah Tam</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Merchant Officer</w:t>
            </w:r>
          </w:p>
        </w:tc>
      </w:tr>
      <w:tr>
        <w:trPr>
          <w:trHeight w:val="35"/>
        </w:trPr>
        <w:tc>
          <w:tcPr>
            <w:tcW w:w="302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Although the SEC disclosure rules require disclosure of any substantial interest of each individual who was an executive officer of the Company at any time since the beginning of fiscal year 2024, the Board is not aware of any substantial interest regarding the Recapitalization Transactions with respect to the following former executive officers of the Company: Becky Case, Anushka Salinas, Bradford Shellhammer, Natalie McGrath and Zach Phillips.</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Any reference to “executive officer” in this Proxy Statement shall be a reference to our current executive officers set forth in the table above and shall not include any of our former executive officers. Our current named executive officers (“NEOs”) are Ms. Hyman, Mr. Thacker and Ms. Tam.</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Certain Assumptions</w:t>
      </w:r>
    </w:p>
    <w:p>
      <w:pPr>
        <w:spacing w:after="0" w:line="212"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Except as otherwise specifically noted, for purposes of quantifying the potential payments and benefits described in this section, the following assumptions were used:</w:t>
      </w:r>
    </w:p>
    <w:p>
      <w:pPr>
        <w:spacing w:after="0" w:line="113" w:lineRule="exact"/>
        <w:rPr>
          <w:sz w:val="20"/>
          <w:szCs w:val="20"/>
          <w:color w:val="auto"/>
        </w:rPr>
      </w:pPr>
    </w:p>
    <w:p>
      <w:pPr>
        <w:ind w:left="740" w:hanging="359"/>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closing of the Recapitalization Transactions occurs during fiscal year 2025;</w:t>
      </w:r>
    </w:p>
    <w:p>
      <w:pPr>
        <w:spacing w:after="0" w:line="13" w:lineRule="exact"/>
        <w:rPr>
          <w:rFonts w:ascii="Arial" w:cs="Arial" w:eastAsia="Arial" w:hAnsi="Arial"/>
          <w:sz w:val="18"/>
          <w:szCs w:val="18"/>
          <w:color w:val="auto"/>
        </w:rPr>
      </w:pPr>
    </w:p>
    <w:p>
      <w:pPr>
        <w:ind w:left="740" w:right="220" w:hanging="359"/>
        <w:spacing w:after="0" w:line="23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executive officer experiences a termination without “cause” or a resignation for “good reason” (each as defined in the applicable plan or agreement) immediately following the closing of the Recapitalization Transactions;</w:t>
      </w:r>
    </w:p>
    <w:p>
      <w:pPr>
        <w:spacing w:after="0" w:line="2" w:lineRule="exact"/>
        <w:rPr>
          <w:rFonts w:ascii="Arial" w:cs="Arial" w:eastAsia="Arial" w:hAnsi="Arial"/>
          <w:sz w:val="18"/>
          <w:szCs w:val="18"/>
          <w:color w:val="auto"/>
        </w:rPr>
      </w:pPr>
    </w:p>
    <w:p>
      <w:pPr>
        <w:ind w:left="740" w:right="280" w:hanging="359"/>
        <w:spacing w:after="0" w:line="23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equity value for each of our non-employee directors is based on the individual’s outstanding equity awards as of September 5, 2025, and a price per share of $8.48, which represents the implied conversion price in connection with the Recapitalization Transactions;</w:t>
      </w:r>
    </w:p>
    <w:p>
      <w:pPr>
        <w:spacing w:after="0" w:line="2" w:lineRule="exact"/>
        <w:rPr>
          <w:rFonts w:ascii="Arial" w:cs="Arial" w:eastAsia="Arial" w:hAnsi="Arial"/>
          <w:sz w:val="18"/>
          <w:szCs w:val="18"/>
          <w:color w:val="auto"/>
        </w:rPr>
      </w:pPr>
    </w:p>
    <w:p>
      <w:pPr>
        <w:ind w:left="740" w:right="260" w:hanging="359"/>
        <w:spacing w:after="0" w:line="23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base salary and annual target bonus of each of our executive officers remains unchanged from those in place as of September 5, 2025;</w:t>
      </w:r>
    </w:p>
    <w:p>
      <w:pPr>
        <w:spacing w:after="0" w:line="1" w:lineRule="exact"/>
        <w:rPr>
          <w:rFonts w:ascii="Arial" w:cs="Arial" w:eastAsia="Arial" w:hAnsi="Arial"/>
          <w:sz w:val="18"/>
          <w:szCs w:val="18"/>
          <w:color w:val="auto"/>
        </w:rPr>
      </w:pPr>
    </w:p>
    <w:p>
      <w:pPr>
        <w:ind w:left="740" w:right="400" w:hanging="359"/>
        <w:spacing w:after="0" w:line="23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calculations in this section do not include amounts to which the non-employee directors and executive officers were already entitled to receive or that were vested as of September 5, 2025; and</w:t>
      </w:r>
    </w:p>
    <w:p>
      <w:pPr>
        <w:spacing w:after="0" w:line="1" w:lineRule="exact"/>
        <w:rPr>
          <w:rFonts w:ascii="Arial" w:cs="Arial" w:eastAsia="Arial" w:hAnsi="Arial"/>
          <w:sz w:val="18"/>
          <w:szCs w:val="18"/>
          <w:color w:val="auto"/>
        </w:rPr>
      </w:pPr>
    </w:p>
    <w:p>
      <w:pPr>
        <w:ind w:left="740" w:right="120" w:hanging="359"/>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amounts do not forecast any additional equity award grants, issuances, vestings or forfeitures that may occur prior to the completion of the Recapitalization Transactions.</w:t>
      </w:r>
    </w:p>
    <w:p>
      <w:pPr>
        <w:spacing w:after="0" w:line="131" w:lineRule="exact"/>
        <w:rPr>
          <w:sz w:val="20"/>
          <w:szCs w:val="20"/>
          <w:color w:val="auto"/>
        </w:rPr>
      </w:pPr>
    </w:p>
    <w:p>
      <w:pPr>
        <w:jc w:val="both"/>
        <w:ind w:left="20" w:right="360"/>
        <w:spacing w:after="0" w:line="253" w:lineRule="auto"/>
        <w:rPr>
          <w:sz w:val="20"/>
          <w:szCs w:val="20"/>
          <w:color w:val="auto"/>
        </w:rPr>
      </w:pPr>
      <w:r>
        <w:rPr>
          <w:rFonts w:ascii="Arial" w:cs="Arial" w:eastAsia="Arial" w:hAnsi="Arial"/>
          <w:sz w:val="18"/>
          <w:szCs w:val="18"/>
          <w:color w:val="auto"/>
        </w:rPr>
        <w:t>As a result of the foregoing assumptions, which may or may not actually occur or be accurate on the relevant date, including the assumptions described in this section, the actual amounts, if any, to be received by our non-employee directors and executive officers may materially differ from the amounts set forth below.</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Initial Grants under the Amended Plan</w:t>
      </w:r>
    </w:p>
    <w:p>
      <w:pPr>
        <w:spacing w:after="0" w:line="212"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Pursuant to the Exchange Agreement, Ms. Hyman will be eligible to receive an Initial Grant pursuant to the terms and conditions of the Amended Plan. Ms. Hyman’s Initial Grant will be equal to 5% of the fully diluted Class A Common Stock immediately following the closing of the Recapitalization Transactions (assuming “good” level of performance is achieved, and up to 7.5% if maximum level of performance is achieved). Pursuant to the terms of the Exchange Agreement, the Company is required to issue the Initial Grant to Ms. Hyman no later than 30 days following the closing of the Recapitalization Transactions. In addition, following the closing of the Recapitalization Transactions, Ms. Hyman will recommend that the Board issue an Initial Grant to our other executive officers and employees. The total number of shares of Common Stock available to be issued to employees at or above the level of vice president who are not members of the Board following the Recapitalization Transactions, including our executive officers but excluding</w:t>
      </w:r>
    </w:p>
    <w:p>
      <w:pPr>
        <w:spacing w:after="0" w:line="1" w:lineRule="exact"/>
        <w:rPr>
          <w:sz w:val="20"/>
          <w:szCs w:val="20"/>
          <w:color w:val="auto"/>
        </w:rPr>
      </w:pPr>
    </w:p>
    <w:p>
      <w:pPr>
        <w:ind w:left="20" w:right="380"/>
        <w:spacing w:after="0" w:line="242" w:lineRule="auto"/>
        <w:rPr>
          <w:sz w:val="20"/>
          <w:szCs w:val="20"/>
          <w:color w:val="auto"/>
        </w:rPr>
      </w:pPr>
      <w:r>
        <w:rPr>
          <w:rFonts w:ascii="Arial" w:cs="Arial" w:eastAsia="Arial" w:hAnsi="Arial"/>
          <w:sz w:val="18"/>
          <w:szCs w:val="18"/>
          <w:color w:val="auto"/>
        </w:rPr>
        <w:t>Ms. Hyman, will be equal to 6% of the fully diluted Class A Common Stock immediately following closing of the Recapitalization Transactions (assuming “good” level of performance is achieved and up to 9% if maximum level of performance is achieved).</w:t>
      </w:r>
    </w:p>
    <w:p>
      <w:pPr>
        <w:spacing w:after="0" w:line="139"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In order to receive an Initial Grant, our executive officers, including Ms. Hyman, must agree to forfeit any equity awards outstanding as of immediately following the closing of the Recapitalization Transactions.</w:t>
      </w:r>
    </w:p>
    <w:p>
      <w:pPr>
        <w:spacing w:after="0" w:line="11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Each Initial Grant will be made in the form of RSUs with the remaining 50% of the Class A Common Stock subject to each Initial Grant being made in the form of PSUs. The RSUs subject to each Initial Grant will vest 25% on the first anniversary of the grant date and 75% on a quarterly basis thereafter through the fourth anniversary of the grant date, in each case, subject to the executive officer’s continued employment over the four-year period following the grant date. The PSUs subject to each Initial Grant will vest based on the satisfaction of performance metrics established for each performance period, with the first performance period comprising the Company’s fiscal year 2027, the second performance period comprising the Company’s fiscal year 2028, and the third performance period comprising the Company’s fiscal year 2029, subject to the executive officer’s continued employment through the last day of the third performance period.</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0"/>
        <w:spacing w:after="0" w:line="256" w:lineRule="auto"/>
        <w:rPr>
          <w:sz w:val="20"/>
          <w:szCs w:val="20"/>
          <w:color w:val="auto"/>
        </w:rPr>
      </w:pPr>
      <w:r>
        <w:rPr>
          <w:rFonts w:ascii="Arial" w:cs="Arial" w:eastAsia="Arial" w:hAnsi="Arial"/>
          <w:sz w:val="17"/>
          <w:szCs w:val="17"/>
          <w:color w:val="auto"/>
        </w:rPr>
        <w:t>If any of our executive officers experience a termination of employment without “cause” or a resignation for “good reason” (each as defined in the applicable plan or arrangement) at the closing of the Recapitalization Transactions, the first tranche of RSUs subject to the Initial Grant will vest as of the executive officer’s employment termination date, with the remaining RSUs and PSUs subject to the Initial Grant being cancelled. In addition, if the Company does not issue Ms. Hyman her Initial grant within 60 days of the closing of the Recapitalization Transactions, then Ms. Hyman will be entitled to resign from employment and receive one or more cash payments from the Company equal to the value of the shares of Class A Common Stock she would have received if the Company had granted the RSUs and PSUs in accordance with the Exchange Agreement and then terminated her employment without cause immediately thereafter.</w:t>
      </w:r>
    </w:p>
    <w:p>
      <w:pPr>
        <w:spacing w:after="0" w:line="141" w:lineRule="exact"/>
        <w:rPr>
          <w:sz w:val="20"/>
          <w:szCs w:val="20"/>
          <w:color w:val="auto"/>
        </w:rPr>
      </w:pPr>
    </w:p>
    <w:p>
      <w:pPr>
        <w:ind w:left="20" w:right="140"/>
        <w:spacing w:after="0" w:line="259" w:lineRule="auto"/>
        <w:rPr>
          <w:sz w:val="20"/>
          <w:szCs w:val="20"/>
          <w:color w:val="auto"/>
        </w:rPr>
      </w:pPr>
      <w:r>
        <w:rPr>
          <w:rFonts w:ascii="Arial" w:cs="Arial" w:eastAsia="Arial" w:hAnsi="Arial"/>
          <w:sz w:val="17"/>
          <w:szCs w:val="17"/>
          <w:color w:val="auto"/>
        </w:rPr>
        <w:t>Because the fully diluted Class A Common Stock outstanding immediately following the closing of the Recapitalization Transactions cannot be determined as of the date of this Proxy Statement, we have not quantified the value of</w:t>
      </w:r>
    </w:p>
    <w:p>
      <w:pPr>
        <w:spacing w:after="0" w:line="1" w:lineRule="exact"/>
        <w:rPr>
          <w:sz w:val="20"/>
          <w:szCs w:val="20"/>
          <w:color w:val="auto"/>
        </w:rPr>
      </w:pPr>
    </w:p>
    <w:p>
      <w:pPr>
        <w:ind w:left="20" w:right="460"/>
        <w:spacing w:after="0" w:line="242" w:lineRule="auto"/>
        <w:rPr>
          <w:sz w:val="20"/>
          <w:szCs w:val="20"/>
          <w:color w:val="auto"/>
        </w:rPr>
      </w:pPr>
      <w:r>
        <w:rPr>
          <w:rFonts w:ascii="Arial" w:cs="Arial" w:eastAsia="Arial" w:hAnsi="Arial"/>
          <w:sz w:val="18"/>
          <w:szCs w:val="18"/>
          <w:color w:val="auto"/>
        </w:rPr>
        <w:t>Ms. Hyman’s Initial Grant. In addition, because the Board has not approved Initial Grants to be issued to our other executive officers, we have not quantified the value of any Initial Grant that could be made to our other executive officers.</w:t>
      </w:r>
    </w:p>
    <w:p>
      <w:pPr>
        <w:spacing w:after="0" w:line="296" w:lineRule="exact"/>
        <w:rPr>
          <w:sz w:val="20"/>
          <w:szCs w:val="20"/>
          <w:color w:val="auto"/>
        </w:rPr>
      </w:pPr>
    </w:p>
    <w:p>
      <w:pPr>
        <w:ind w:left="20" w:right="740"/>
        <w:spacing w:after="0" w:line="287" w:lineRule="auto"/>
        <w:rPr>
          <w:sz w:val="20"/>
          <w:szCs w:val="20"/>
          <w:color w:val="auto"/>
        </w:rPr>
      </w:pPr>
      <w:r>
        <w:rPr>
          <w:rFonts w:ascii="Arial" w:cs="Arial" w:eastAsia="Arial" w:hAnsi="Arial"/>
          <w:sz w:val="36"/>
          <w:szCs w:val="36"/>
          <w:b w:val="1"/>
          <w:bCs w:val="1"/>
          <w:color w:val="auto"/>
        </w:rPr>
        <w:t>Treatment of RTR Restricted Stock Units and Stock Options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Treatment of Restricted Stock Units held by the RTR’s Non-Employee Directors</w:t>
      </w:r>
    </w:p>
    <w:p>
      <w:pPr>
        <w:spacing w:after="0" w:line="183" w:lineRule="exact"/>
        <w:rPr>
          <w:sz w:val="20"/>
          <w:szCs w:val="20"/>
          <w:color w:val="auto"/>
        </w:rPr>
      </w:pPr>
    </w:p>
    <w:p>
      <w:pPr>
        <w:ind w:left="20" w:right="700"/>
        <w:spacing w:after="0" w:line="266" w:lineRule="auto"/>
        <w:rPr>
          <w:sz w:val="20"/>
          <w:szCs w:val="20"/>
          <w:color w:val="auto"/>
        </w:rPr>
      </w:pPr>
      <w:r>
        <w:rPr>
          <w:rFonts w:ascii="Arial" w:cs="Arial" w:eastAsia="Arial" w:hAnsi="Arial"/>
          <w:sz w:val="17"/>
          <w:szCs w:val="17"/>
          <w:color w:val="auto"/>
        </w:rPr>
        <w:t>Pursuant to the Company’s Non-Employee Director Compensation Program (the “Non-Employee Director Compensation Program”), upon a “change in control” (as defined in the Non-Employee Director Compensation Program and which includes the Recapitalization Transactions), all outstanding RSUs that are held by our non-employee directors as of immediately prior to the closing of the Recapitalization Transactions will fully vest.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Treatment of Restricted Stock Units and Stock Options held by the RTR’s Executive Officers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more fully described in the section entitled “Initial Grants under the Amended Plan”, Ms. Hyman and each of our other executive officers who becomes eligible to receive an Initial Grant must agree to forfeit all of their outstanding equity awards as of immediately prior to the closing of the Recapitalization Transactions in order to receive their Initial Grant. Although Initial Grants for executive officers other than Ms. Hyman have not been finalized, this Proxy Statement assumes that each executive officer will receive an Initial Grant and that they will each agree to forfeit all of their equity awards outstanding as of immediately prior to the Recapitalization Transactions, including any RSUs and options to acquire shares of the Company’s Common Stock (“Stock Options”).</w:t>
      </w:r>
    </w:p>
    <w:p>
      <w:pPr>
        <w:spacing w:after="0" w:line="144"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Based on the assumptions described above under “—Certain Assumptions” and those described in the footnotes to the table below, the following table sets forth the number of unvested RSUs held by our non-employee directors as of September 5, 2025, and the estimated value our non-employee directors would receive for their unvested RSUs in connection with the Recapitalization Transactions based on a price per share of $8.48, which represents the implied conversion price in connection with the Recapitalization Transactions. As noted above, this Proxy Statement assumes that each executive officer will be eligible for an Initial Grant and that they will each agree to forfeit any RSUs and Stock Options held by them as of immediately prior to the closing of the Recapitalization Transactions. Accordingly, the table below does not reflect any unvested RSUs and unvested Stock Options held by our executive officers as of September 5, 2025. In addition, as noted above in the section entitled “—Certain Assumptions”, the below table does not forecast any additional equity award grants, issuances, vestings, or forfeitures that may occur prior to completion of the Recapitalization Transactions, and does not reflect the number of RSUs or PSUs that may be granted to our executive officers as Initial Grants.</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7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28"/>
        </w:trPr>
        <w:tc>
          <w:tcPr>
            <w:tcW w:w="20" w:type="dxa"/>
            <w:vAlign w:val="bottom"/>
            <w:tcBorders>
              <w:top w:val="single" w:sz="8" w:color="0000EE"/>
            </w:tcBorders>
          </w:tcPr>
          <w:p>
            <w:pPr>
              <w:spacing w:after="0"/>
              <w:rPr>
                <w:sz w:val="11"/>
                <w:szCs w:val="11"/>
                <w:color w:val="auto"/>
              </w:rPr>
            </w:pPr>
          </w:p>
        </w:tc>
        <w:tc>
          <w:tcPr>
            <w:tcW w:w="1520" w:type="dxa"/>
            <w:vAlign w:val="bottom"/>
            <w:tcBorders>
              <w:top w:val="single" w:sz="8" w:color="0000EE"/>
            </w:tcBorders>
          </w:tcPr>
          <w:p>
            <w:pPr>
              <w:spacing w:after="0"/>
              <w:rPr>
                <w:sz w:val="11"/>
                <w:szCs w:val="11"/>
                <w:color w:val="auto"/>
              </w:rPr>
            </w:pPr>
          </w:p>
        </w:tc>
        <w:tc>
          <w:tcPr>
            <w:tcW w:w="12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392"/>
        </w:trPr>
        <w:tc>
          <w:tcPr>
            <w:tcW w:w="20" w:type="dxa"/>
            <w:vAlign w:val="bottom"/>
          </w:tcPr>
          <w:p>
            <w:pPr>
              <w:spacing w:after="0"/>
              <w:rPr>
                <w:sz w:val="24"/>
                <w:szCs w:val="24"/>
                <w:color w:val="auto"/>
              </w:rPr>
            </w:pPr>
          </w:p>
        </w:tc>
        <w:tc>
          <w:tcPr>
            <w:tcW w:w="2760" w:type="dxa"/>
            <w:vAlign w:val="bottom"/>
            <w:tcBorders>
              <w:bottom w:val="single" w:sz="8" w:color="auto"/>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2700" w:type="dxa"/>
            <w:vAlign w:val="bottom"/>
            <w:tcBorders>
              <w:bottom w:val="single" w:sz="8" w:color="auto"/>
            </w:tcBorders>
            <w:shd w:val="clear" w:color="auto" w:fill="E4C0D9"/>
          </w:tcPr>
          <w:p>
            <w:pPr>
              <w:jc w:val="right"/>
              <w:ind w:right="788"/>
              <w:spacing w:after="0"/>
              <w:rPr>
                <w:sz w:val="20"/>
                <w:szCs w:val="20"/>
                <w:color w:val="auto"/>
              </w:rPr>
            </w:pPr>
            <w:r>
              <w:rPr>
                <w:rFonts w:ascii="Arial" w:cs="Arial" w:eastAsia="Arial" w:hAnsi="Arial"/>
                <w:sz w:val="14"/>
                <w:szCs w:val="14"/>
                <w:b w:val="1"/>
                <w:bCs w:val="1"/>
                <w:color w:val="auto"/>
              </w:rPr>
              <w:t>RSUs (#)</w:t>
            </w:r>
          </w:p>
        </w:tc>
        <w:tc>
          <w:tcPr>
            <w:tcW w:w="2500" w:type="dxa"/>
            <w:vAlign w:val="bottom"/>
            <w:tcBorders>
              <w:bottom w:val="single" w:sz="8" w:color="auto"/>
            </w:tcBorders>
            <w:shd w:val="clear" w:color="auto" w:fill="E4C0D9"/>
          </w:tcPr>
          <w:p>
            <w:pPr>
              <w:jc w:val="right"/>
              <w:ind w:right="808"/>
              <w:spacing w:after="0"/>
              <w:rPr>
                <w:sz w:val="20"/>
                <w:szCs w:val="20"/>
                <w:color w:val="auto"/>
              </w:rPr>
            </w:pPr>
            <w:r>
              <w:rPr>
                <w:rFonts w:ascii="Arial" w:cs="Arial" w:eastAsia="Arial" w:hAnsi="Arial"/>
                <w:sz w:val="14"/>
                <w:szCs w:val="14"/>
                <w:b w:val="1"/>
                <w:bCs w:val="1"/>
                <w:color w:val="auto"/>
              </w:rPr>
              <w:t>RSUs ($)</w:t>
            </w:r>
            <w:r>
              <w:rPr>
                <w:rFonts w:ascii="Arial" w:cs="Arial" w:eastAsia="Arial" w:hAnsi="Arial"/>
                <w:sz w:val="23"/>
                <w:szCs w:val="23"/>
                <w:b w:val="1"/>
                <w:bCs w:val="1"/>
                <w:color w:val="auto"/>
                <w:vertAlign w:val="superscript"/>
              </w:rPr>
              <w:t>(2)</w:t>
            </w:r>
          </w:p>
        </w:tc>
        <w:tc>
          <w:tcPr>
            <w:tcW w:w="1540" w:type="dxa"/>
            <w:vAlign w:val="bottom"/>
            <w:tcBorders>
              <w:bottom w:val="single" w:sz="8" w:color="auto"/>
            </w:tcBorders>
            <w:shd w:val="clear" w:color="auto" w:fill="E4C0D9"/>
          </w:tcPr>
          <w:p>
            <w:pPr>
              <w:jc w:val="right"/>
              <w:ind w:right="68"/>
              <w:spacing w:after="0"/>
              <w:rPr>
                <w:sz w:val="20"/>
                <w:szCs w:val="20"/>
                <w:color w:val="auto"/>
              </w:rPr>
            </w:pPr>
            <w:r>
              <w:rPr>
                <w:rFonts w:ascii="Arial" w:cs="Arial" w:eastAsia="Arial" w:hAnsi="Arial"/>
                <w:sz w:val="14"/>
                <w:szCs w:val="14"/>
                <w:b w:val="1"/>
                <w:bCs w:val="1"/>
                <w:color w:val="auto"/>
              </w:rPr>
              <w:t>Total ($)</w:t>
            </w:r>
          </w:p>
        </w:tc>
      </w:tr>
      <w:tr>
        <w:trPr>
          <w:trHeight w:val="269"/>
        </w:trPr>
        <w:tc>
          <w:tcPr>
            <w:tcW w:w="20" w:type="dxa"/>
            <w:vAlign w:val="bottom"/>
          </w:tcPr>
          <w:p>
            <w:pPr>
              <w:spacing w:after="0"/>
              <w:rPr>
                <w:sz w:val="23"/>
                <w:szCs w:val="23"/>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Tim Bixby</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14,289​</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14,289​</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5"/>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Jennifer Fleiss</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14,289​</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14,289​</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6"/>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Scott Friend</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75"/>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6"/>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Beth Kaplan</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14,289​</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14,289​</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5"/>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Mike Roth</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14,289​</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14,289​</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5"/>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Daniel Rosensweig</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14,289​</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14,289​</w:t>
            </w:r>
          </w:p>
        </w:tc>
      </w:tr>
      <w:tr>
        <w:trPr>
          <w:trHeight w:val="35"/>
        </w:trPr>
        <w:tc>
          <w:tcPr>
            <w:tcW w:w="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ind w:left="380" w:right="40" w:hanging="359"/>
        <w:spacing w:after="0" w:line="281"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noted above, this Proxy Statement assumes that each executive officer will be eligible to receive an Initial Grant and will agree to forfeit their respective equity awards in consideration for their Initial Grant. As such, the executive officers have not been included in this table.</w:t>
      </w:r>
    </w:p>
    <w:p>
      <w:pPr>
        <w:spacing w:after="0" w:line="1"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in this column reflect the aggregate value of each non-employee director’s outstanding RSUs as of September 5, 2025, which is equal to the product obtained by multiplying the number of shares of Common Stock subject to the RSU by $8.48, which represents the implied conversion price in connection with the Recapitalization Transactions.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Severance Benefits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Ms. Hyman Amended Employment Agreement</w:t>
      </w:r>
    </w:p>
    <w:p>
      <w:pPr>
        <w:spacing w:after="0" w:line="183" w:lineRule="exact"/>
        <w:rPr>
          <w:sz w:val="20"/>
          <w:szCs w:val="20"/>
          <w:color w:val="auto"/>
        </w:rPr>
      </w:pPr>
    </w:p>
    <w:p>
      <w:pPr>
        <w:ind w:left="20" w:right="120"/>
        <w:spacing w:after="0"/>
        <w:rPr>
          <w:sz w:val="20"/>
          <w:szCs w:val="20"/>
          <w:color w:val="auto"/>
        </w:rPr>
      </w:pPr>
      <w:r>
        <w:rPr>
          <w:rFonts w:ascii="Arial" w:cs="Arial" w:eastAsia="Arial" w:hAnsi="Arial"/>
          <w:sz w:val="18"/>
          <w:szCs w:val="18"/>
          <w:color w:val="auto"/>
        </w:rPr>
        <w:t>In connection with the Recapitalization Transactions, Ms. Hyman and the Company entered into an amendment to her employment agreement (the “Amended Employment Agreement”) providing for a reduction in the amount of cash severance Ms. Hyman is eligible for upon a termination of her employment without cause, or due to death or disability, or a resignation for good reason. Pursuant to the terms of the Amended Employment Agreement, if Ms. Hyman’s employment is terminated without cause or, in specified cases, if she resigns for good reason during the one-year period following the closing of the Recapitalization Transactions, then she will be eligible for the following severance payments and benefits (subject to her execution of a release of claims):</w:t>
      </w:r>
    </w:p>
    <w:p>
      <w:pPr>
        <w:spacing w:after="0" w:line="144" w:lineRule="exact"/>
        <w:rPr>
          <w:sz w:val="20"/>
          <w:szCs w:val="20"/>
          <w:color w:val="auto"/>
        </w:rPr>
      </w:pPr>
    </w:p>
    <w:p>
      <w:pPr>
        <w:ind w:left="740" w:right="400" w:hanging="359"/>
        <w:spacing w:after="0" w:line="245"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severance in an amount equal to 1.5x her then-current annual base salary plus annual target bonus opportunity, payable in ratable installments over an 18-month period; and</w:t>
      </w:r>
    </w:p>
    <w:p>
      <w:pPr>
        <w:ind w:left="740" w:right="80" w:hanging="359"/>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Company-paid premiums under the Consolidated Omnibus Budget Reconciliation Act (“Benefit Continuation”) for up to 18 months.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Amended and Restated Severance Plan</w:t>
      </w:r>
    </w:p>
    <w:p>
      <w:pPr>
        <w:spacing w:after="0" w:line="169" w:lineRule="exact"/>
        <w:rPr>
          <w:sz w:val="20"/>
          <w:szCs w:val="20"/>
          <w:color w:val="auto"/>
        </w:rPr>
      </w:pPr>
    </w:p>
    <w:p>
      <w:pPr>
        <w:ind w:left="20" w:right="20"/>
        <w:spacing w:after="0" w:line="242" w:lineRule="auto"/>
        <w:rPr>
          <w:sz w:val="20"/>
          <w:szCs w:val="20"/>
          <w:color w:val="auto"/>
        </w:rPr>
      </w:pPr>
      <w:r>
        <w:rPr>
          <w:rFonts w:ascii="Arial" w:cs="Arial" w:eastAsia="Arial" w:hAnsi="Arial"/>
          <w:sz w:val="18"/>
          <w:szCs w:val="18"/>
          <w:color w:val="auto"/>
        </w:rPr>
        <w:t>Each of our executive officers other than Ms. Hyman is a participant in the Company’s Amended and Restated Executive Severance Plan (the “Severance Plan”). In the event that any of our executive officers who participates in the Severance Plan experiences a termination of employment without cause or resigns for good reason, in each case, during the period commencing 3 months prior to the closing of the Recapitalization Transactions and ending 12 months after the closing of the Recapitalization Transactions, then the executive officer will be eligible for the following severance payments and benefits (subject to their execution of a release of claims):</w:t>
      </w:r>
    </w:p>
    <w:p>
      <w:pPr>
        <w:spacing w:after="0" w:line="152" w:lineRule="exact"/>
        <w:rPr>
          <w:sz w:val="20"/>
          <w:szCs w:val="20"/>
          <w:color w:val="auto"/>
        </w:rPr>
      </w:pPr>
    </w:p>
    <w:p>
      <w:pPr>
        <w:ind w:left="740" w:right="100" w:hanging="359"/>
        <w:spacing w:after="0" w:line="259"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severance in an amount equal to either 0.5x or 1.0x their then-current annual base salary and annual bonus opportunity (based on the greater of target or actual level of performance), payable in a lump sum; and</w:t>
      </w:r>
    </w:p>
    <w:p>
      <w:pPr>
        <w:spacing w:after="0" w:line="1" w:lineRule="exact"/>
        <w:rPr>
          <w:rFonts w:ascii="Arial" w:cs="Arial" w:eastAsia="Arial" w:hAnsi="Arial"/>
          <w:sz w:val="17"/>
          <w:szCs w:val="17"/>
          <w:color w:val="auto"/>
        </w:rPr>
      </w:pPr>
    </w:p>
    <w:p>
      <w:pPr>
        <w:ind w:left="740" w:hanging="359"/>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 Continuation for up to either 6 months or 12 months.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2" w:right="11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80"/>
        <w:spacing w:after="0" w:line="242" w:lineRule="auto"/>
        <w:rPr>
          <w:sz w:val="20"/>
          <w:szCs w:val="20"/>
          <w:color w:val="auto"/>
        </w:rPr>
      </w:pPr>
      <w:r>
        <w:rPr>
          <w:rFonts w:ascii="Arial" w:cs="Arial" w:eastAsia="Arial" w:hAnsi="Arial"/>
          <w:sz w:val="18"/>
          <w:szCs w:val="18"/>
          <w:color w:val="auto"/>
        </w:rPr>
        <w:t>An estimate of the value of the severance payments and benefits described above that would become payable or provided to each of our executive officers under the Amended Employment Agreement, or the Severance Plan (as applicable) upon a termination of employment without cause or a resignation for good reason at the closing of the Recapitalization Transactions assuming that the Recapitalization Transaction closes in fiscal year 2025, is set forth in the table that follows. The amounts displayed in the following table for our non-NEO executive officers are provided in the aggregate.</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2760" w:type="dxa"/>
            <w:vAlign w:val="bottom"/>
            <w:shd w:val="clear" w:color="auto" w:fill="E4C0D9"/>
          </w:tcPr>
          <w:p>
            <w:pPr>
              <w:ind w:left="140"/>
              <w:spacing w:after="0"/>
              <w:rPr>
                <w:sz w:val="20"/>
                <w:szCs w:val="20"/>
                <w:color w:val="auto"/>
              </w:rPr>
            </w:pPr>
            <w:r>
              <w:rPr>
                <w:rFonts w:ascii="Arial" w:cs="Arial" w:eastAsia="Arial" w:hAnsi="Arial"/>
                <w:sz w:val="14"/>
                <w:szCs w:val="14"/>
                <w:b w:val="1"/>
                <w:bCs w:val="1"/>
                <w:color w:val="auto"/>
              </w:rPr>
              <w:t>Name</w:t>
            </w:r>
          </w:p>
        </w:tc>
        <w:tc>
          <w:tcPr>
            <w:tcW w:w="2580" w:type="dxa"/>
            <w:vAlign w:val="bottom"/>
            <w:shd w:val="clear" w:color="auto" w:fill="E4C0D9"/>
          </w:tcPr>
          <w:p>
            <w:pPr>
              <w:jc w:val="right"/>
              <w:ind w:right="528"/>
              <w:spacing w:after="0"/>
              <w:rPr>
                <w:sz w:val="20"/>
                <w:szCs w:val="20"/>
                <w:color w:val="auto"/>
              </w:rPr>
            </w:pPr>
            <w:r>
              <w:rPr>
                <w:rFonts w:ascii="Arial" w:cs="Arial" w:eastAsia="Arial" w:hAnsi="Arial"/>
                <w:sz w:val="14"/>
                <w:szCs w:val="14"/>
                <w:b w:val="1"/>
                <w:bCs w:val="1"/>
                <w:color w:val="auto"/>
              </w:rPr>
              <w:t>Cash Severance ($)</w:t>
            </w:r>
          </w:p>
        </w:tc>
        <w:tc>
          <w:tcPr>
            <w:tcW w:w="2820" w:type="dxa"/>
            <w:vAlign w:val="bottom"/>
            <w:shd w:val="clear" w:color="auto" w:fill="E4C0D9"/>
          </w:tcPr>
          <w:p>
            <w:pPr>
              <w:jc w:val="right"/>
              <w:ind w:right="508"/>
              <w:spacing w:after="0"/>
              <w:rPr>
                <w:sz w:val="20"/>
                <w:szCs w:val="20"/>
                <w:color w:val="auto"/>
              </w:rPr>
            </w:pPr>
            <w:r>
              <w:rPr>
                <w:rFonts w:ascii="Arial" w:cs="Arial" w:eastAsia="Arial" w:hAnsi="Arial"/>
                <w:sz w:val="14"/>
                <w:szCs w:val="14"/>
                <w:b w:val="1"/>
                <w:bCs w:val="1"/>
                <w:color w:val="auto"/>
              </w:rPr>
              <w:t>Benefit Continuation ($)</w:t>
            </w:r>
          </w:p>
        </w:tc>
        <w:tc>
          <w:tcPr>
            <w:tcW w:w="134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Total ($)</w:t>
            </w:r>
          </w:p>
        </w:tc>
      </w:tr>
      <w:tr>
        <w:trPr>
          <w:trHeight w:val="69"/>
        </w:trPr>
        <w:tc>
          <w:tcPr>
            <w:tcW w:w="2760" w:type="dxa"/>
            <w:vAlign w:val="bottom"/>
            <w:tcBorders>
              <w:bottom w:val="single" w:sz="8" w:color="auto"/>
            </w:tcBorders>
            <w:shd w:val="clear" w:color="auto" w:fill="E4C0D9"/>
          </w:tcPr>
          <w:p>
            <w:pPr>
              <w:spacing w:after="0"/>
              <w:rPr>
                <w:sz w:val="6"/>
                <w:szCs w:val="6"/>
                <w:color w:val="auto"/>
              </w:rPr>
            </w:pPr>
          </w:p>
        </w:tc>
        <w:tc>
          <w:tcPr>
            <w:tcW w:w="2580" w:type="dxa"/>
            <w:vAlign w:val="bottom"/>
            <w:tcBorders>
              <w:bottom w:val="single" w:sz="8" w:color="auto"/>
            </w:tcBorders>
            <w:shd w:val="clear" w:color="auto" w:fill="E4C0D9"/>
          </w:tcPr>
          <w:p>
            <w:pPr>
              <w:spacing w:after="0"/>
              <w:rPr>
                <w:sz w:val="6"/>
                <w:szCs w:val="6"/>
                <w:color w:val="auto"/>
              </w:rPr>
            </w:pPr>
          </w:p>
        </w:tc>
        <w:tc>
          <w:tcPr>
            <w:tcW w:w="2820" w:type="dxa"/>
            <w:vAlign w:val="bottom"/>
            <w:tcBorders>
              <w:bottom w:val="single" w:sz="8" w:color="auto"/>
            </w:tcBorders>
            <w:shd w:val="clear" w:color="auto" w:fill="E4C0D9"/>
          </w:tcPr>
          <w:p>
            <w:pPr>
              <w:spacing w:after="0"/>
              <w:rPr>
                <w:sz w:val="6"/>
                <w:szCs w:val="6"/>
                <w:color w:val="auto"/>
              </w:rPr>
            </w:pPr>
          </w:p>
        </w:tc>
        <w:tc>
          <w:tcPr>
            <w:tcW w:w="1340" w:type="dxa"/>
            <w:vAlign w:val="bottom"/>
            <w:tcBorders>
              <w:bottom w:val="single" w:sz="8" w:color="auto"/>
            </w:tcBorders>
            <w:shd w:val="clear" w:color="auto" w:fill="E4C0D9"/>
          </w:tcPr>
          <w:p>
            <w:pPr>
              <w:spacing w:after="0"/>
              <w:rPr>
                <w:sz w:val="6"/>
                <w:szCs w:val="6"/>
                <w:color w:val="auto"/>
              </w:rPr>
            </w:pPr>
          </w:p>
        </w:tc>
      </w:tr>
      <w:tr>
        <w:trPr>
          <w:trHeight w:val="269"/>
        </w:trPr>
        <w:tc>
          <w:tcPr>
            <w:tcW w:w="2760" w:type="dxa"/>
            <w:vAlign w:val="bottom"/>
          </w:tcPr>
          <w:p>
            <w:pPr>
              <w:ind w:left="140"/>
              <w:spacing w:after="0"/>
              <w:rPr>
                <w:sz w:val="20"/>
                <w:szCs w:val="20"/>
                <w:color w:val="auto"/>
              </w:rPr>
            </w:pPr>
            <w:r>
              <w:rPr>
                <w:rFonts w:ascii="Arial" w:cs="Arial" w:eastAsia="Arial" w:hAnsi="Arial"/>
                <w:sz w:val="14"/>
                <w:szCs w:val="14"/>
                <w:color w:val="auto"/>
              </w:rPr>
              <w:t>Jennifer Hyman</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2,250,000</w:t>
            </w:r>
          </w:p>
        </w:tc>
        <w:tc>
          <w:tcPr>
            <w:tcW w:w="2820" w:type="dxa"/>
            <w:vAlign w:val="bottom"/>
          </w:tcPr>
          <w:p>
            <w:pPr>
              <w:jc w:val="right"/>
              <w:ind w:right="508"/>
              <w:spacing w:after="0"/>
              <w:rPr>
                <w:sz w:val="20"/>
                <w:szCs w:val="20"/>
                <w:color w:val="auto"/>
              </w:rPr>
            </w:pPr>
            <w:r>
              <w:rPr>
                <w:rFonts w:ascii="Arial" w:cs="Arial" w:eastAsia="Arial" w:hAnsi="Arial"/>
                <w:sz w:val="14"/>
                <w:szCs w:val="14"/>
                <w:color w:val="auto"/>
              </w:rPr>
              <w:t>61,912</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2,311,912</w:t>
            </w:r>
          </w:p>
        </w:tc>
      </w:tr>
      <w:tr>
        <w:trPr>
          <w:trHeight w:val="76"/>
        </w:trPr>
        <w:tc>
          <w:tcPr>
            <w:tcW w:w="27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55"/>
        </w:trPr>
        <w:tc>
          <w:tcPr>
            <w:tcW w:w="2760" w:type="dxa"/>
            <w:vAlign w:val="bottom"/>
          </w:tcPr>
          <w:p>
            <w:pPr>
              <w:ind w:left="140"/>
              <w:spacing w:after="0"/>
              <w:rPr>
                <w:sz w:val="20"/>
                <w:szCs w:val="20"/>
                <w:color w:val="auto"/>
              </w:rPr>
            </w:pPr>
            <w:r>
              <w:rPr>
                <w:rFonts w:ascii="Arial" w:cs="Arial" w:eastAsia="Arial" w:hAnsi="Arial"/>
                <w:sz w:val="14"/>
                <w:szCs w:val="14"/>
                <w:color w:val="auto"/>
              </w:rPr>
              <w:t>Sid Thacker</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786,500</w:t>
            </w:r>
          </w:p>
        </w:tc>
        <w:tc>
          <w:tcPr>
            <w:tcW w:w="2820" w:type="dxa"/>
            <w:vAlign w:val="bottom"/>
          </w:tcPr>
          <w:p>
            <w:pPr>
              <w:jc w:val="right"/>
              <w:ind w:right="508"/>
              <w:spacing w:after="0"/>
              <w:rPr>
                <w:sz w:val="20"/>
                <w:szCs w:val="20"/>
                <w:color w:val="auto"/>
              </w:rPr>
            </w:pPr>
            <w:r>
              <w:rPr>
                <w:rFonts w:ascii="Arial" w:cs="Arial" w:eastAsia="Arial" w:hAnsi="Arial"/>
                <w:sz w:val="14"/>
                <w:szCs w:val="14"/>
                <w:color w:val="auto"/>
              </w:rPr>
              <w:t>41,275</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827,775</w:t>
            </w:r>
          </w:p>
        </w:tc>
      </w:tr>
      <w:tr>
        <w:trPr>
          <w:trHeight w:val="76"/>
        </w:trPr>
        <w:tc>
          <w:tcPr>
            <w:tcW w:w="27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55"/>
        </w:trPr>
        <w:tc>
          <w:tcPr>
            <w:tcW w:w="2760" w:type="dxa"/>
            <w:vAlign w:val="bottom"/>
          </w:tcPr>
          <w:p>
            <w:pPr>
              <w:ind w:left="140"/>
              <w:spacing w:after="0"/>
              <w:rPr>
                <w:sz w:val="20"/>
                <w:szCs w:val="20"/>
                <w:color w:val="auto"/>
              </w:rPr>
            </w:pPr>
            <w:r>
              <w:rPr>
                <w:rFonts w:ascii="Arial" w:cs="Arial" w:eastAsia="Arial" w:hAnsi="Arial"/>
                <w:sz w:val="14"/>
                <w:szCs w:val="14"/>
                <w:color w:val="auto"/>
              </w:rPr>
              <w:t>Sarah Tam</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675,000</w:t>
            </w:r>
          </w:p>
        </w:tc>
        <w:tc>
          <w:tcPr>
            <w:tcW w:w="28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675,000</w:t>
            </w:r>
          </w:p>
        </w:tc>
      </w:tr>
      <w:tr>
        <w:trPr>
          <w:trHeight w:val="76"/>
        </w:trPr>
        <w:tc>
          <w:tcPr>
            <w:tcW w:w="27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318"/>
        </w:trPr>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Non-NEO Executive Officers</w:t>
            </w:r>
            <w:r>
              <w:rPr>
                <w:rFonts w:ascii="Arial" w:cs="Arial" w:eastAsia="Arial" w:hAnsi="Arial"/>
                <w:sz w:val="23"/>
                <w:szCs w:val="23"/>
                <w:color w:val="auto"/>
                <w:vertAlign w:val="superscript"/>
              </w:rPr>
              <w:t>(1)</w:t>
            </w:r>
          </w:p>
        </w:tc>
        <w:tc>
          <w:tcPr>
            <w:tcW w:w="25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911,250</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61,679</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972,929</w:t>
            </w:r>
          </w:p>
        </w:tc>
      </w:tr>
    </w:tbl>
    <w:p>
      <w:pPr>
        <w:spacing w:after="0" w:line="166" w:lineRule="exact"/>
        <w:rPr>
          <w:sz w:val="20"/>
          <w:szCs w:val="20"/>
          <w:color w:val="auto"/>
        </w:rPr>
      </w:pPr>
    </w:p>
    <w:p>
      <w:pPr>
        <w:ind w:left="380" w:right="520" w:hanging="359"/>
        <w:spacing w:after="0" w:line="263"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in this row reflect the aggregate amount of cash severance and benefits continuation payable to or on behalf of our non-NEO executive officers in connection with their termination of employment without cause or a resignation for good reason at the closing of the Recapitalization Transactions.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Transaction Bonus Plan</w:t>
      </w:r>
    </w:p>
    <w:p>
      <w:pPr>
        <w:spacing w:after="0" w:line="199"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Each of our executive officers is a participant in the Company’s Transaction Bonus Plan, as amended (the “Transaction Bonus Plan”), pursuant to which each executive officer will be eligible to receive a transaction bonus (each, a “Transaction Bonus”).</w:t>
      </w:r>
    </w:p>
    <w:p>
      <w:pPr>
        <w:spacing w:after="0" w:line="142"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 xml:space="preserve">Each executive officer’s Transaction Bonus will be paid 25% at the closing of the Recapitalization Transactions (the “Closing Installment”), 6.25% on the 18-month, 24-month, 30-month and 36-month anniversaries of the closing of the Recapitalization Transactions (each, a “Semi-Annual Installment”), with the final 50% (the “Final Installment”) becoming payable on the earlier of January 31, 2030, and the date of a change in control (which does not include the Recapitalization Transactions), in the case of the Final Installment, based on the satisfaction of financial or stock price-based performance measures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executive officer remains employed through the date each Transaction Bonus installment is paid. The Closing Installment and each Semi-Annual Installment are subject to repayment to the Company, net of taxes paid with respect thereto, if the executive officer terminates their employment prior to the applicable vesting date other than due to a termination of employment without cause, or due to death or disability, or a resignation for good reason. The Closing Installment will vest 25% on each of the first four anniversaries of the closing of the Recapitalization Transactions, the first Semi-Annual Installment will vest 33% on each of the second, third and fourth anniversary of the closing of the Recapitalization Transactions, the second and third Semi-Annual Installments will each vest 50% on each of the third and fourth anniversary of the closing of the Recapitalization Transactions, and the fourth Semi-Annual Installment will fully vest on the fourth anniversary of the closing of the Recapitalization Transactions.</w:t>
      </w:r>
    </w:p>
    <w:p>
      <w:pPr>
        <w:spacing w:after="0" w:line="147" w:lineRule="exact"/>
        <w:rPr>
          <w:sz w:val="20"/>
          <w:szCs w:val="20"/>
          <w:color w:val="auto"/>
        </w:rPr>
      </w:pPr>
    </w:p>
    <w:p>
      <w:pPr>
        <w:jc w:val="both"/>
        <w:ind w:left="20" w:right="100"/>
        <w:spacing w:after="0" w:line="253" w:lineRule="auto"/>
        <w:rPr>
          <w:sz w:val="20"/>
          <w:szCs w:val="20"/>
          <w:color w:val="auto"/>
        </w:rPr>
      </w:pPr>
      <w:r>
        <w:rPr>
          <w:rFonts w:ascii="Arial" w:cs="Arial" w:eastAsia="Arial" w:hAnsi="Arial"/>
          <w:sz w:val="18"/>
          <w:szCs w:val="18"/>
          <w:color w:val="auto"/>
        </w:rPr>
        <w:t>If our executive officers each experience a termination of employment without cause or they resign for good reason at the closing of the Recapitalization Transactions, each executive officer will be entitled to retain their respective Closing Installment and will forfeit each Semi-Annual Installment and the Final Installment.</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Based on the assumptions described above under “—Certain Assumptions” and those described in the footnotes to the table below, the below table sets forth the total amount of each executive officer’s Transaction Bonus and the value of their Closing Installment that will accelerate and vest if their employment is terminated without cause or they resign for good reason at the closing of the Recapitalization Transactions. The amounts displayed in the following table for our non-NEO executive officers are provided in the aggregate.</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392"/>
        </w:trPr>
        <w:tc>
          <w:tcPr>
            <w:tcW w:w="2860" w:type="dxa"/>
            <w:vAlign w:val="bottom"/>
            <w:tcBorders>
              <w:bottom w:val="single" w:sz="8" w:color="auto"/>
            </w:tcBorders>
            <w:shd w:val="clear" w:color="auto" w:fill="E4C0D9"/>
          </w:tcPr>
          <w:p>
            <w:pPr>
              <w:ind w:left="140"/>
              <w:spacing w:after="0"/>
              <w:rPr>
                <w:sz w:val="20"/>
                <w:szCs w:val="20"/>
                <w:color w:val="auto"/>
              </w:rPr>
            </w:pPr>
            <w:r>
              <w:rPr>
                <w:rFonts w:ascii="Arial" w:cs="Arial" w:eastAsia="Arial" w:hAnsi="Arial"/>
                <w:sz w:val="14"/>
                <w:szCs w:val="14"/>
                <w:b w:val="1"/>
                <w:bCs w:val="1"/>
                <w:color w:val="auto"/>
              </w:rPr>
              <w:t>Name</w:t>
            </w:r>
          </w:p>
        </w:tc>
        <w:tc>
          <w:tcPr>
            <w:tcW w:w="3420" w:type="dxa"/>
            <w:vAlign w:val="bottom"/>
            <w:tcBorders>
              <w:bottom w:val="single" w:sz="8" w:color="auto"/>
            </w:tcBorders>
            <w:shd w:val="clear" w:color="auto" w:fill="E4C0D9"/>
          </w:tcPr>
          <w:p>
            <w:pPr>
              <w:jc w:val="right"/>
              <w:ind w:right="528"/>
              <w:spacing w:after="0"/>
              <w:rPr>
                <w:sz w:val="20"/>
                <w:szCs w:val="20"/>
                <w:color w:val="auto"/>
              </w:rPr>
            </w:pPr>
            <w:r>
              <w:rPr>
                <w:rFonts w:ascii="Arial" w:cs="Arial" w:eastAsia="Arial" w:hAnsi="Arial"/>
                <w:sz w:val="14"/>
                <w:szCs w:val="14"/>
                <w:b w:val="1"/>
                <w:bCs w:val="1"/>
                <w:color w:val="auto"/>
              </w:rPr>
              <w:t>Transaction Bonus Amount ($)</w:t>
            </w:r>
          </w:p>
        </w:tc>
        <w:tc>
          <w:tcPr>
            <w:tcW w:w="3220" w:type="dxa"/>
            <w:vAlign w:val="bottom"/>
            <w:tcBorders>
              <w:bottom w:val="single" w:sz="8" w:color="auto"/>
            </w:tcBorders>
            <w:shd w:val="clear" w:color="auto" w:fill="E4C0D9"/>
          </w:tcPr>
          <w:p>
            <w:pPr>
              <w:jc w:val="right"/>
              <w:ind w:right="48"/>
              <w:spacing w:after="0"/>
              <w:rPr>
                <w:sz w:val="20"/>
                <w:szCs w:val="20"/>
                <w:color w:val="auto"/>
              </w:rPr>
            </w:pPr>
            <w:r>
              <w:rPr>
                <w:rFonts w:ascii="Arial" w:cs="Arial" w:eastAsia="Arial" w:hAnsi="Arial"/>
                <w:sz w:val="14"/>
                <w:szCs w:val="14"/>
                <w:b w:val="1"/>
                <w:bCs w:val="1"/>
                <w:color w:val="auto"/>
              </w:rPr>
              <w:t>Accelerated Transaction Bonus ($)</w:t>
            </w:r>
            <w:r>
              <w:rPr>
                <w:rFonts w:ascii="Arial" w:cs="Arial" w:eastAsia="Arial" w:hAnsi="Arial"/>
                <w:sz w:val="23"/>
                <w:szCs w:val="23"/>
                <w:b w:val="1"/>
                <w:bCs w:val="1"/>
                <w:color w:val="auto"/>
                <w:vertAlign w:val="superscript"/>
              </w:rPr>
              <w:t>(1)</w:t>
            </w:r>
          </w:p>
        </w:tc>
      </w:tr>
      <w:tr>
        <w:trPr>
          <w:trHeight w:val="269"/>
        </w:trPr>
        <w:tc>
          <w:tcPr>
            <w:tcW w:w="2860" w:type="dxa"/>
            <w:vAlign w:val="bottom"/>
          </w:tcPr>
          <w:p>
            <w:pPr>
              <w:ind w:left="140"/>
              <w:spacing w:after="0"/>
              <w:rPr>
                <w:sz w:val="20"/>
                <w:szCs w:val="20"/>
                <w:color w:val="auto"/>
              </w:rPr>
            </w:pPr>
            <w:r>
              <w:rPr>
                <w:rFonts w:ascii="Arial" w:cs="Arial" w:eastAsia="Arial" w:hAnsi="Arial"/>
                <w:sz w:val="14"/>
                <w:szCs w:val="14"/>
                <w:color w:val="auto"/>
              </w:rPr>
              <w:t>Jennifer Hyman</w:t>
            </w:r>
          </w:p>
        </w:tc>
        <w:tc>
          <w:tcPr>
            <w:tcW w:w="3420" w:type="dxa"/>
            <w:vAlign w:val="bottom"/>
          </w:tcPr>
          <w:p>
            <w:pPr>
              <w:jc w:val="right"/>
              <w:ind w:right="508"/>
              <w:spacing w:after="0"/>
              <w:rPr>
                <w:sz w:val="20"/>
                <w:szCs w:val="20"/>
                <w:color w:val="auto"/>
              </w:rPr>
            </w:pPr>
            <w:r>
              <w:rPr>
                <w:rFonts w:ascii="Arial" w:cs="Arial" w:eastAsia="Arial" w:hAnsi="Arial"/>
                <w:sz w:val="14"/>
                <w:szCs w:val="14"/>
                <w:color w:val="auto"/>
              </w:rPr>
              <w:t>6,350,000</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1,587,500</w:t>
            </w:r>
          </w:p>
        </w:tc>
      </w:tr>
      <w:tr>
        <w:trPr>
          <w:trHeight w:val="76"/>
        </w:trPr>
        <w:tc>
          <w:tcPr>
            <w:tcW w:w="286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r>
      <w:tr>
        <w:trPr>
          <w:trHeight w:val="256"/>
        </w:trPr>
        <w:tc>
          <w:tcPr>
            <w:tcW w:w="2860" w:type="dxa"/>
            <w:vAlign w:val="bottom"/>
          </w:tcPr>
          <w:p>
            <w:pPr>
              <w:ind w:left="140"/>
              <w:spacing w:after="0"/>
              <w:rPr>
                <w:sz w:val="20"/>
                <w:szCs w:val="20"/>
                <w:color w:val="auto"/>
              </w:rPr>
            </w:pPr>
            <w:r>
              <w:rPr>
                <w:rFonts w:ascii="Arial" w:cs="Arial" w:eastAsia="Arial" w:hAnsi="Arial"/>
                <w:sz w:val="14"/>
                <w:szCs w:val="14"/>
                <w:color w:val="auto"/>
              </w:rPr>
              <w:t>Sid Thacker</w:t>
            </w:r>
          </w:p>
        </w:tc>
        <w:tc>
          <w:tcPr>
            <w:tcW w:w="3420" w:type="dxa"/>
            <w:vAlign w:val="bottom"/>
          </w:tcPr>
          <w:p>
            <w:pPr>
              <w:jc w:val="right"/>
              <w:ind w:right="508"/>
              <w:spacing w:after="0"/>
              <w:rPr>
                <w:sz w:val="20"/>
                <w:szCs w:val="20"/>
                <w:color w:val="auto"/>
              </w:rPr>
            </w:pPr>
            <w:r>
              <w:rPr>
                <w:rFonts w:ascii="Arial" w:cs="Arial" w:eastAsia="Arial" w:hAnsi="Arial"/>
                <w:sz w:val="14"/>
                <w:szCs w:val="14"/>
                <w:color w:val="auto"/>
              </w:rPr>
              <w:t>1,437,500</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359,375</w:t>
            </w:r>
          </w:p>
        </w:tc>
      </w:tr>
      <w:tr>
        <w:trPr>
          <w:trHeight w:val="75"/>
        </w:trPr>
        <w:tc>
          <w:tcPr>
            <w:tcW w:w="286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r>
      <w:tr>
        <w:trPr>
          <w:trHeight w:val="256"/>
        </w:trPr>
        <w:tc>
          <w:tcPr>
            <w:tcW w:w="2860" w:type="dxa"/>
            <w:vAlign w:val="bottom"/>
          </w:tcPr>
          <w:p>
            <w:pPr>
              <w:ind w:left="140"/>
              <w:spacing w:after="0"/>
              <w:rPr>
                <w:sz w:val="20"/>
                <w:szCs w:val="20"/>
                <w:color w:val="auto"/>
              </w:rPr>
            </w:pPr>
            <w:r>
              <w:rPr>
                <w:rFonts w:ascii="Arial" w:cs="Arial" w:eastAsia="Arial" w:hAnsi="Arial"/>
                <w:sz w:val="14"/>
                <w:szCs w:val="14"/>
                <w:color w:val="auto"/>
              </w:rPr>
              <w:t>Sarah Tam</w:t>
            </w:r>
          </w:p>
        </w:tc>
        <w:tc>
          <w:tcPr>
            <w:tcW w:w="3420" w:type="dxa"/>
            <w:vAlign w:val="bottom"/>
          </w:tcPr>
          <w:p>
            <w:pPr>
              <w:jc w:val="right"/>
              <w:ind w:right="508"/>
              <w:spacing w:after="0"/>
              <w:rPr>
                <w:sz w:val="20"/>
                <w:szCs w:val="20"/>
                <w:color w:val="auto"/>
              </w:rPr>
            </w:pPr>
            <w:r>
              <w:rPr>
                <w:rFonts w:ascii="Arial" w:cs="Arial" w:eastAsia="Arial" w:hAnsi="Arial"/>
                <w:sz w:val="14"/>
                <w:szCs w:val="14"/>
                <w:color w:val="auto"/>
              </w:rPr>
              <w:t>1,262,500</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315,625</w:t>
            </w:r>
          </w:p>
        </w:tc>
      </w:tr>
      <w:tr>
        <w:trPr>
          <w:trHeight w:val="76"/>
        </w:trPr>
        <w:tc>
          <w:tcPr>
            <w:tcW w:w="286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r>
      <w:tr>
        <w:trPr>
          <w:trHeight w:val="318"/>
        </w:trPr>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Non-NEO Executive Officers</w:t>
            </w:r>
            <w:r>
              <w:rPr>
                <w:rFonts w:ascii="Arial" w:cs="Arial" w:eastAsia="Arial" w:hAnsi="Arial"/>
                <w:sz w:val="23"/>
                <w:szCs w:val="23"/>
                <w:color w:val="auto"/>
                <w:vertAlign w:val="superscript"/>
              </w:rPr>
              <w:t>(2)</w:t>
            </w:r>
          </w:p>
        </w:tc>
        <w:tc>
          <w:tcPr>
            <w:tcW w:w="3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2,137,500</w:t>
            </w:r>
          </w:p>
        </w:tc>
        <w:tc>
          <w:tcPr>
            <w:tcW w:w="3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534,375</w:t>
            </w:r>
          </w:p>
        </w:tc>
      </w:tr>
    </w:tbl>
    <w:p>
      <w:pPr>
        <w:spacing w:after="0" w:line="166" w:lineRule="exact"/>
        <w:rPr>
          <w:sz w:val="20"/>
          <w:szCs w:val="20"/>
          <w:color w:val="auto"/>
        </w:rPr>
      </w:pPr>
    </w:p>
    <w:p>
      <w:pPr>
        <w:ind w:left="380" w:right="140" w:hanging="359"/>
        <w:spacing w:after="0" w:line="252"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 this column reflect the value of the portion of each executive officer’s Transaction Bonus entitlement that will accelerate and vest if their employment terminates due to a termination of employment without cause or a resignation for good reason at the closing of the Recapitalization Transactions (</w:t>
      </w:r>
      <w:r>
        <w:rPr>
          <w:rFonts w:ascii="Arial" w:cs="Arial" w:eastAsia="Arial" w:hAnsi="Arial"/>
          <w:sz w:val="14"/>
          <w:szCs w:val="14"/>
          <w:i w:val="1"/>
          <w:iCs w:val="1"/>
          <w:color w:val="auto"/>
        </w:rPr>
        <w:t>i.e.,</w:t>
      </w:r>
      <w:r>
        <w:rPr>
          <w:rFonts w:ascii="Arial" w:cs="Arial" w:eastAsia="Arial" w:hAnsi="Arial"/>
          <w:sz w:val="14"/>
          <w:szCs w:val="14"/>
          <w:color w:val="auto"/>
        </w:rPr>
        <w:t xml:space="preserve"> each executive officer’s Closing Installment). Any portion of the Transaction Bonus that was not paid as of the executive officer’s termination of employment will be forfeited as of their employment termination date (</w:t>
      </w:r>
      <w:r>
        <w:rPr>
          <w:rFonts w:ascii="Arial" w:cs="Arial" w:eastAsia="Arial" w:hAnsi="Arial"/>
          <w:sz w:val="14"/>
          <w:szCs w:val="14"/>
          <w:i w:val="1"/>
          <w:iCs w:val="1"/>
          <w:color w:val="auto"/>
        </w:rPr>
        <w:t>i.e.,</w:t>
      </w:r>
      <w:r>
        <w:rPr>
          <w:rFonts w:ascii="Arial" w:cs="Arial" w:eastAsia="Arial" w:hAnsi="Arial"/>
          <w:sz w:val="14"/>
          <w:szCs w:val="14"/>
          <w:color w:val="auto"/>
        </w:rPr>
        <w:t xml:space="preserve"> each executive officer’s Semi-Annual Installments and Final Installment if the termination of employment occurs at the closing of the Recapitalization Transactions).</w:t>
      </w:r>
    </w:p>
    <w:p>
      <w:pPr>
        <w:spacing w:after="0" w:line="18"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 this row reflect the aggregate amount of our non-NEO executive officers’ Transaction Bonus and the portion that will accelerate and become payable to our non-NEO executive officers in connection with their termination of employment without cause or a resignation for good reason at the closing of the Recapitalization Transactions.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Retention Bonus Plan</w:t>
      </w:r>
    </w:p>
    <w:p>
      <w:pPr>
        <w:spacing w:after="0" w:line="212" w:lineRule="exact"/>
        <w:rPr>
          <w:sz w:val="20"/>
          <w:szCs w:val="20"/>
          <w:color w:val="auto"/>
        </w:rPr>
      </w:pPr>
    </w:p>
    <w:p>
      <w:pPr>
        <w:ind w:left="20" w:right="140"/>
        <w:spacing w:after="0" w:line="254" w:lineRule="auto"/>
        <w:rPr>
          <w:sz w:val="20"/>
          <w:szCs w:val="20"/>
          <w:color w:val="auto"/>
        </w:rPr>
      </w:pPr>
      <w:r>
        <w:rPr>
          <w:rFonts w:ascii="Arial" w:cs="Arial" w:eastAsia="Arial" w:hAnsi="Arial"/>
          <w:sz w:val="17"/>
          <w:szCs w:val="17"/>
          <w:color w:val="auto"/>
        </w:rPr>
        <w:t>On February 27, 2025, the Compensation Committee approved a cash retention bonus program in respect of fiscal year 2025 (the “Retention Bonus Program”). The Retention Bonus Program generally provides that each executive officer will be eligible for a cash payment based (the “Retention Bonus”) (i) 50% on pre-determined Company performance metrics set by the Compensation Committee relating to growth in the Company’s active subscribers, and</w:t>
      </w:r>
    </w:p>
    <w:p>
      <w:pPr>
        <w:ind w:left="20" w:right="20" w:firstLine="1"/>
        <w:spacing w:after="0" w:line="237"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 on the executive officer’s continued employment through the end of each applicable fiscal quarter. However, if any executive officer’s employment is terminated by the Company without cause following the occurrence of a “transaction” (as defined in the Transaction Bonus Plan and which includes the Recapitalization Transactions), then, subject to satisfaction of a release of claims requirement, the executive officer will be eligible to receive 25% of the total target amount of their Retention Bonus (the “Accelerated Retention Bonus Amount”). The Accelerated Retention Bonus Amount for our executive officers, assuming that they experience a termination of employment without cause at the closing of the Recapitalization Transactions, is as follows: for Ms. Hyman, $375,000; for Mr. Thacker, $105,000; for Ms. Tam $105,000, and for our non-NEO executive officers in the aggregate, $158,750.</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2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5, 2025, for:</w:t>
      </w:r>
    </w:p>
    <w:p>
      <w:pPr>
        <w:spacing w:after="0" w:line="153" w:lineRule="exact"/>
        <w:rPr>
          <w:sz w:val="20"/>
          <w:szCs w:val="20"/>
          <w:color w:val="auto"/>
        </w:rPr>
      </w:pPr>
    </w:p>
    <w:p>
      <w:pPr>
        <w:ind w:left="740" w:right="340" w:hanging="359"/>
        <w:spacing w:after="0" w:line="245"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ind w:left="740" w:hanging="359"/>
        <w:spacing w:after="0" w:line="234"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w:t>
      </w:r>
    </w:p>
    <w:p>
      <w:pPr>
        <w:ind w:left="740" w:hanging="359"/>
        <w:spacing w:after="0" w:line="234"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7"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in accordance with Rule 13d-3 under the Exchange Act. Under this rule, beneficial ownership includes any shares as to which the individual or entity has sole or shared voting power or investment power.</w:t>
      </w:r>
    </w:p>
    <w:p>
      <w:pPr>
        <w:spacing w:after="0" w:line="128" w:lineRule="exact"/>
        <w:rPr>
          <w:sz w:val="20"/>
          <w:szCs w:val="20"/>
          <w:color w:val="auto"/>
        </w:rPr>
      </w:pPr>
    </w:p>
    <w:p>
      <w:pPr>
        <w:ind w:left="20" w:right="60"/>
        <w:spacing w:after="0" w:line="238" w:lineRule="auto"/>
        <w:rPr>
          <w:sz w:val="20"/>
          <w:szCs w:val="20"/>
          <w:color w:val="auto"/>
        </w:rPr>
      </w:pPr>
      <w:r>
        <w:rPr>
          <w:rFonts w:ascii="Arial" w:cs="Arial" w:eastAsia="Arial" w:hAnsi="Arial"/>
          <w:sz w:val="18"/>
          <w:szCs w:val="18"/>
          <w:color w:val="auto"/>
        </w:rPr>
        <w:t>Applicable percentage ownership is based on 3,941,332 shares of Class A Common Stock and 155,699 shares of Class B Common Stock outstanding on September 5, 2025.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September 5, 2025 and shares of RSUs that are vested or will become vested within</w:t>
      </w:r>
    </w:p>
    <w:p>
      <w:pPr>
        <w:spacing w:after="0" w:line="4" w:lineRule="exact"/>
        <w:rPr>
          <w:sz w:val="20"/>
          <w:szCs w:val="20"/>
          <w:color w:val="auto"/>
        </w:rPr>
      </w:pPr>
    </w:p>
    <w:p>
      <w:pPr>
        <w:ind w:left="20" w:right="80"/>
        <w:spacing w:after="0" w:line="250" w:lineRule="auto"/>
        <w:rPr>
          <w:sz w:val="20"/>
          <w:szCs w:val="20"/>
          <w:color w:val="auto"/>
        </w:rPr>
      </w:pPr>
      <w:r>
        <w:rPr>
          <w:rFonts w:ascii="Arial" w:cs="Arial" w:eastAsia="Arial" w:hAnsi="Arial"/>
          <w:sz w:val="18"/>
          <w:szCs w:val="18"/>
          <w:color w:val="auto"/>
        </w:rPr>
        <w:t>60 days of September 5, 2025, are considered outstanding, although these shares are not considered outstanding for purposes of computing the percentage ownership of any other person.</w:t>
      </w:r>
    </w:p>
    <w:p>
      <w:pPr>
        <w:spacing w:after="0" w:line="131"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Unless otherwise indicated, the address of all listed stockholders is our principal executive offices located at 10 Jay Street, Brooklyn, New York 11201.</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color w:val="auto"/>
              </w:rPr>
              <w:t>Shares Beneficially Owned</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Class A</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Class B</w:t>
            </w:r>
          </w:p>
        </w:tc>
        <w:tc>
          <w:tcPr>
            <w:tcW w:w="4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Shares</w:t>
            </w:r>
          </w:p>
        </w:tc>
        <w:tc>
          <w:tcPr>
            <w:tcW w:w="460" w:type="dxa"/>
            <w:vAlign w:val="bottom"/>
            <w:vMerge w:val="restart"/>
          </w:tcPr>
          <w:p>
            <w:pPr>
              <w:jc w:val="right"/>
              <w:ind w:right="9"/>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520" w:type="dxa"/>
            <w:vAlign w:val="bottom"/>
          </w:tcPr>
          <w:p>
            <w:pPr>
              <w:spacing w:after="0"/>
              <w:rPr>
                <w:sz w:val="8"/>
                <w:szCs w:val="8"/>
                <w:color w:val="auto"/>
              </w:rPr>
            </w:pPr>
          </w:p>
        </w:tc>
        <w:tc>
          <w:tcPr>
            <w:tcW w:w="980" w:type="dxa"/>
            <w:vAlign w:val="bottom"/>
            <w:vMerge w:val="restart"/>
          </w:tcPr>
          <w:p>
            <w:pPr>
              <w:jc w:val="right"/>
              <w:ind w:right="448"/>
              <w:spacing w:after="0"/>
              <w:rPr>
                <w:sz w:val="20"/>
                <w:szCs w:val="20"/>
                <w:color w:val="auto"/>
              </w:rPr>
            </w:pPr>
            <w:r>
              <w:rPr>
                <w:rFonts w:ascii="Arial" w:cs="Arial" w:eastAsia="Arial" w:hAnsi="Arial"/>
                <w:sz w:val="14"/>
                <w:szCs w:val="14"/>
                <w:color w:val="auto"/>
                <w:w w:val="99"/>
              </w:rPr>
              <w:t>Shares</w:t>
            </w:r>
          </w:p>
        </w:tc>
        <w:tc>
          <w:tcPr>
            <w:tcW w:w="440" w:type="dxa"/>
            <w:vAlign w:val="bottom"/>
            <w:vMerge w:val="restart"/>
          </w:tcPr>
          <w:p>
            <w:pPr>
              <w:jc w:val="right"/>
              <w:ind w:right="9"/>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2"/>
                <w:szCs w:val="22"/>
                <w:color w:val="auto"/>
              </w:rPr>
            </w:pPr>
          </w:p>
        </w:tc>
        <w:tc>
          <w:tcPr>
            <w:tcW w:w="5000" w:type="dxa"/>
            <w:vAlign w:val="bottom"/>
            <w:tcBorders>
              <w:bottom w:val="single" w:sz="8" w:color="E4C0D9"/>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Named Executive Officers and Directors:</w:t>
            </w:r>
          </w:p>
        </w:tc>
        <w:tc>
          <w:tcPr>
            <w:tcW w:w="1020" w:type="dxa"/>
            <w:vAlign w:val="bottom"/>
            <w:tcBorders>
              <w:bottom w:val="single" w:sz="8" w:color="E4C0D9"/>
            </w:tcBorders>
            <w:shd w:val="clear" w:color="auto" w:fill="E4C0D9"/>
          </w:tcPr>
          <w:p>
            <w:pPr>
              <w:spacing w:after="0"/>
              <w:rPr>
                <w:sz w:val="22"/>
                <w:szCs w:val="22"/>
                <w:color w:val="auto"/>
              </w:rPr>
            </w:pPr>
          </w:p>
        </w:tc>
        <w:tc>
          <w:tcPr>
            <w:tcW w:w="460" w:type="dxa"/>
            <w:vAlign w:val="bottom"/>
            <w:tcBorders>
              <w:bottom w:val="single" w:sz="8" w:color="E4C0D9"/>
            </w:tcBorders>
            <w:shd w:val="clear" w:color="auto" w:fill="E4C0D9"/>
          </w:tcPr>
          <w:p>
            <w:pPr>
              <w:spacing w:after="0"/>
              <w:rPr>
                <w:sz w:val="22"/>
                <w:szCs w:val="22"/>
                <w:color w:val="auto"/>
              </w:rPr>
            </w:pPr>
          </w:p>
        </w:tc>
        <w:tc>
          <w:tcPr>
            <w:tcW w:w="520" w:type="dxa"/>
            <w:vAlign w:val="bottom"/>
            <w:tcBorders>
              <w:bottom w:val="single" w:sz="8" w:color="E4C0D9"/>
            </w:tcBorders>
            <w:shd w:val="clear" w:color="auto" w:fill="E4C0D9"/>
          </w:tcPr>
          <w:p>
            <w:pPr>
              <w:spacing w:after="0"/>
              <w:rPr>
                <w:sz w:val="22"/>
                <w:szCs w:val="22"/>
                <w:color w:val="auto"/>
              </w:rPr>
            </w:pPr>
          </w:p>
        </w:tc>
        <w:tc>
          <w:tcPr>
            <w:tcW w:w="980" w:type="dxa"/>
            <w:vAlign w:val="bottom"/>
            <w:tcBorders>
              <w:bottom w:val="single" w:sz="8" w:color="E4C0D9"/>
            </w:tcBorders>
            <w:shd w:val="clear" w:color="auto" w:fill="E4C0D9"/>
          </w:tcPr>
          <w:p>
            <w:pPr>
              <w:spacing w:after="0"/>
              <w:rPr>
                <w:sz w:val="22"/>
                <w:szCs w:val="22"/>
                <w:color w:val="auto"/>
              </w:rPr>
            </w:pPr>
          </w:p>
        </w:tc>
        <w:tc>
          <w:tcPr>
            <w:tcW w:w="440" w:type="dxa"/>
            <w:vAlign w:val="bottom"/>
            <w:tcBorders>
              <w:bottom w:val="single" w:sz="8" w:color="E4C0D9"/>
            </w:tcBorders>
            <w:shd w:val="clear" w:color="auto" w:fill="E4C0D9"/>
          </w:tcPr>
          <w:p>
            <w:pPr>
              <w:spacing w:after="0"/>
              <w:rPr>
                <w:sz w:val="22"/>
                <w:szCs w:val="22"/>
                <w:color w:val="auto"/>
              </w:rPr>
            </w:pPr>
          </w:p>
        </w:tc>
        <w:tc>
          <w:tcPr>
            <w:tcW w:w="960" w:type="dxa"/>
            <w:vAlign w:val="bottom"/>
            <w:tcBorders>
              <w:bottom w:val="single" w:sz="8" w:color="E4C0D9"/>
            </w:tcBorders>
            <w:shd w:val="clear" w:color="auto" w:fill="E4C0D9"/>
          </w:tcPr>
          <w:p>
            <w:pPr>
              <w:spacing w:after="0"/>
              <w:rPr>
                <w:sz w:val="22"/>
                <w:szCs w:val="22"/>
                <w:color w:val="auto"/>
              </w:rPr>
            </w:pPr>
          </w:p>
        </w:tc>
        <w:tc>
          <w:tcPr>
            <w:tcW w:w="120" w:type="dxa"/>
            <w:vAlign w:val="bottom"/>
            <w:tcBorders>
              <w:bottom w:val="single" w:sz="8" w:color="E4C0D9"/>
            </w:tcBorders>
            <w:shd w:val="clear" w:color="auto" w:fill="E4C0D9"/>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(3)</w:t>
            </w: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95,334​</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50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58,065</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Sid Thacker</w:t>
            </w:r>
            <w:r>
              <w:rPr>
                <w:rFonts w:ascii="Arial" w:cs="Arial" w:eastAsia="Arial" w:hAnsi="Arial"/>
                <w:sz w:val="23"/>
                <w:szCs w:val="23"/>
                <w:color w:val="auto"/>
                <w:vertAlign w:val="superscript"/>
              </w:rPr>
              <w:t>(4)</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29,410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Sarah Tam</w:t>
            </w:r>
            <w:r>
              <w:rPr>
                <w:rFonts w:ascii="Arial" w:cs="Arial" w:eastAsia="Arial" w:hAnsi="Arial"/>
                <w:sz w:val="23"/>
                <w:szCs w:val="23"/>
                <w:color w:val="auto"/>
                <w:vertAlign w:val="superscript"/>
              </w:rPr>
              <w:t>(5)</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22,618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(6)</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8,484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(7)</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3,897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31,314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(8)</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2,422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(9)</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32,499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(10)</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3,432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(11)</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10,985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gridSpan w:val="2"/>
          </w:tcPr>
          <w:p>
            <w:pPr>
              <w:ind w:left="160"/>
              <w:spacing w:after="0"/>
              <w:rPr>
                <w:sz w:val="20"/>
                <w:szCs w:val="20"/>
                <w:color w:val="auto"/>
              </w:rPr>
            </w:pPr>
            <w:r>
              <w:rPr>
                <w:rFonts w:ascii="Arial" w:cs="Arial" w:eastAsia="Arial" w:hAnsi="Arial"/>
                <w:sz w:val="14"/>
                <w:szCs w:val="14"/>
                <w:color w:val="auto"/>
              </w:rPr>
              <w:t>All current executive officers and directors as a group,</w:t>
            </w: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color w:val="auto"/>
              </w:rPr>
              <w:t>248,060</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500" w:type="dxa"/>
            <w:vAlign w:val="bottom"/>
            <w:gridSpan w:val="2"/>
            <w:vMerge w:val="restart"/>
          </w:tcPr>
          <w:p>
            <w:pPr>
              <w:jc w:val="right"/>
              <w:ind w:right="448"/>
              <w:spacing w:after="0"/>
              <w:rPr>
                <w:sz w:val="20"/>
                <w:szCs w:val="20"/>
                <w:color w:val="auto"/>
              </w:rPr>
            </w:pPr>
            <w:r>
              <w:rPr>
                <w:rFonts w:ascii="Arial" w:cs="Arial" w:eastAsia="Arial" w:hAnsi="Arial"/>
                <w:sz w:val="14"/>
                <w:szCs w:val="14"/>
                <w:color w:val="auto"/>
              </w:rPr>
              <w:t>89,379</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57.4%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000" w:type="dxa"/>
            <w:vAlign w:val="bottom"/>
            <w:gridSpan w:val="2"/>
            <w:vMerge w:val="restart"/>
          </w:tcPr>
          <w:p>
            <w:pPr>
              <w:ind w:left="340"/>
              <w:spacing w:after="0" w:line="255" w:lineRule="exact"/>
              <w:rPr>
                <w:sz w:val="20"/>
                <w:szCs w:val="20"/>
                <w:color w:val="auto"/>
              </w:rPr>
            </w:pPr>
            <w:r>
              <w:rPr>
                <w:rFonts w:ascii="Arial" w:cs="Arial" w:eastAsia="Arial" w:hAnsi="Arial"/>
                <w:sz w:val="14"/>
                <w:szCs w:val="14"/>
                <w:color w:val="auto"/>
              </w:rPr>
              <w:t>11 persons</w:t>
            </w:r>
            <w:r>
              <w:rPr>
                <w:rFonts w:ascii="Arial" w:cs="Arial" w:eastAsia="Arial" w:hAnsi="Arial"/>
                <w:sz w:val="23"/>
                <w:szCs w:val="23"/>
                <w:color w:val="auto"/>
                <w:vertAlign w:val="superscript"/>
              </w:rPr>
              <w:t>(12)</w:t>
            </w:r>
          </w:p>
        </w:tc>
        <w:tc>
          <w:tcPr>
            <w:tcW w:w="10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Borders>
              <w:bottom w:val="single" w:sz="8" w:color="auto"/>
            </w:tcBorders>
            <w:gridSpan w:val="2"/>
            <w:vMerge w:val="continue"/>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000" w:type="dxa"/>
            <w:vAlign w:val="bottom"/>
            <w:tcBorders>
              <w:bottom w:val="single" w:sz="8" w:color="E4C0D9"/>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Over 5% Stockholders:</w:t>
            </w:r>
          </w:p>
        </w:tc>
        <w:tc>
          <w:tcPr>
            <w:tcW w:w="1020" w:type="dxa"/>
            <w:vAlign w:val="bottom"/>
            <w:tcBorders>
              <w:bottom w:val="single" w:sz="8" w:color="E4C0D9"/>
            </w:tcBorders>
            <w:shd w:val="clear" w:color="auto" w:fill="E4C0D9"/>
          </w:tcPr>
          <w:p>
            <w:pPr>
              <w:spacing w:after="0"/>
              <w:rPr>
                <w:sz w:val="22"/>
                <w:szCs w:val="22"/>
                <w:color w:val="auto"/>
              </w:rPr>
            </w:pPr>
          </w:p>
        </w:tc>
        <w:tc>
          <w:tcPr>
            <w:tcW w:w="460" w:type="dxa"/>
            <w:vAlign w:val="bottom"/>
            <w:tcBorders>
              <w:bottom w:val="single" w:sz="8" w:color="E4C0D9"/>
            </w:tcBorders>
            <w:shd w:val="clear" w:color="auto" w:fill="E4C0D9"/>
          </w:tcPr>
          <w:p>
            <w:pPr>
              <w:spacing w:after="0"/>
              <w:rPr>
                <w:sz w:val="22"/>
                <w:szCs w:val="22"/>
                <w:color w:val="auto"/>
              </w:rPr>
            </w:pPr>
          </w:p>
        </w:tc>
        <w:tc>
          <w:tcPr>
            <w:tcW w:w="520" w:type="dxa"/>
            <w:vAlign w:val="bottom"/>
            <w:tcBorders>
              <w:bottom w:val="single" w:sz="8" w:color="E4C0D9"/>
            </w:tcBorders>
            <w:shd w:val="clear" w:color="auto" w:fill="E4C0D9"/>
          </w:tcPr>
          <w:p>
            <w:pPr>
              <w:spacing w:after="0"/>
              <w:rPr>
                <w:sz w:val="22"/>
                <w:szCs w:val="22"/>
                <w:color w:val="auto"/>
              </w:rPr>
            </w:pPr>
          </w:p>
        </w:tc>
        <w:tc>
          <w:tcPr>
            <w:tcW w:w="980" w:type="dxa"/>
            <w:vAlign w:val="bottom"/>
            <w:tcBorders>
              <w:bottom w:val="single" w:sz="8" w:color="E4C0D9"/>
            </w:tcBorders>
            <w:shd w:val="clear" w:color="auto" w:fill="E4C0D9"/>
          </w:tcPr>
          <w:p>
            <w:pPr>
              <w:spacing w:after="0"/>
              <w:rPr>
                <w:sz w:val="22"/>
                <w:szCs w:val="22"/>
                <w:color w:val="auto"/>
              </w:rPr>
            </w:pPr>
          </w:p>
        </w:tc>
        <w:tc>
          <w:tcPr>
            <w:tcW w:w="440" w:type="dxa"/>
            <w:vAlign w:val="bottom"/>
            <w:tcBorders>
              <w:bottom w:val="single" w:sz="8" w:color="E4C0D9"/>
            </w:tcBorders>
            <w:shd w:val="clear" w:color="auto" w:fill="E4C0D9"/>
          </w:tcPr>
          <w:p>
            <w:pPr>
              <w:spacing w:after="0"/>
              <w:rPr>
                <w:sz w:val="22"/>
                <w:szCs w:val="22"/>
                <w:color w:val="auto"/>
              </w:rPr>
            </w:pPr>
          </w:p>
        </w:tc>
        <w:tc>
          <w:tcPr>
            <w:tcW w:w="960" w:type="dxa"/>
            <w:vAlign w:val="bottom"/>
            <w:tcBorders>
              <w:bottom w:val="single" w:sz="8" w:color="E4C0D9"/>
            </w:tcBorders>
            <w:shd w:val="clear" w:color="auto" w:fill="E4C0D9"/>
          </w:tcPr>
          <w:p>
            <w:pPr>
              <w:spacing w:after="0"/>
              <w:rPr>
                <w:sz w:val="22"/>
                <w:szCs w:val="22"/>
                <w:color w:val="auto"/>
              </w:rPr>
            </w:pPr>
          </w:p>
        </w:tc>
        <w:tc>
          <w:tcPr>
            <w:tcW w:w="120" w:type="dxa"/>
            <w:vAlign w:val="bottom"/>
            <w:tcBorders>
              <w:bottom w:val="single" w:sz="8" w:color="E4C0D9"/>
            </w:tcBorders>
            <w:shd w:val="clear" w:color="auto" w:fill="E4C0D9"/>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(13)</w:t>
            </w: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408,820</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5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Yisroel Mordechai Goldstone</w:t>
            </w:r>
            <w:r>
              <w:rPr>
                <w:rFonts w:ascii="Arial" w:cs="Arial" w:eastAsia="Arial" w:hAnsi="Arial"/>
                <w:sz w:val="23"/>
                <w:szCs w:val="23"/>
                <w:color w:val="auto"/>
                <w:vertAlign w:val="superscript"/>
              </w:rPr>
              <w:t>(14)</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336,082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Highland Capital</w:t>
            </w:r>
            <w:r>
              <w:rPr>
                <w:rFonts w:ascii="Arial" w:cs="Arial" w:eastAsia="Arial" w:hAnsi="Arial"/>
                <w:sz w:val="23"/>
                <w:szCs w:val="23"/>
                <w:color w:val="auto"/>
                <w:vertAlign w:val="superscript"/>
              </w:rPr>
              <w:t>(15)</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255,218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CastleKnight Master Fund LP</w:t>
            </w:r>
            <w:r>
              <w:rPr>
                <w:rFonts w:ascii="Arial" w:cs="Arial" w:eastAsia="Arial" w:hAnsi="Arial"/>
                <w:sz w:val="23"/>
                <w:szCs w:val="23"/>
                <w:color w:val="auto"/>
                <w:vertAlign w:val="superscript"/>
              </w:rPr>
              <w:t>(16)</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242,670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 Rowe Price Investment Management, Inc.</w:t>
            </w:r>
            <w:r>
              <w:rPr>
                <w:rFonts w:ascii="Arial" w:cs="Arial" w:eastAsia="Arial" w:hAnsi="Arial"/>
                <w:sz w:val="23"/>
                <w:szCs w:val="23"/>
                <w:color w:val="auto"/>
                <w:vertAlign w:val="superscript"/>
              </w:rPr>
              <w:t>(17)</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210,637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(18)</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197,481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hanging="359"/>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right="180" w:hanging="359"/>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March 2024, following stockholder approval, we effected a 1-for-20 reverse stock split of our outstanding shares of Class A Common Stock and Class B Common Stock (the “Reverse Stock Split”). The Reverse Stock Split became effective on April 2, 2024 and our shares began trading on a post-split basis on April 3, 2024. Amounts have been adjusted to reflect the Reverse Stock Split.</w:t>
      </w:r>
    </w:p>
    <w:p>
      <w:pPr>
        <w:spacing w:after="0" w:line="10" w:lineRule="exact"/>
        <w:rPr>
          <w:rFonts w:ascii="Arial" w:cs="Arial" w:eastAsia="Arial" w:hAnsi="Arial"/>
          <w:sz w:val="14"/>
          <w:szCs w:val="14"/>
          <w:color w:val="auto"/>
        </w:rPr>
      </w:pPr>
    </w:p>
    <w:p>
      <w:pPr>
        <w:ind w:left="380" w:right="120" w:hanging="359"/>
        <w:spacing w:after="0" w:line="28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Calculated as % of Class A Common Stock or Class B Common Stock as of September 5, 2025 plus any RSUs that will vest within 60 days of September 5, 2025.</w:t>
      </w:r>
    </w:p>
    <w:p>
      <w:pPr>
        <w:spacing w:after="0" w:line="1" w:lineRule="exact"/>
        <w:rPr>
          <w:rFonts w:ascii="Arial" w:cs="Arial" w:eastAsia="Arial" w:hAnsi="Arial"/>
          <w:sz w:val="14"/>
          <w:szCs w:val="14"/>
          <w:color w:val="auto"/>
        </w:rPr>
      </w:pPr>
    </w:p>
    <w:p>
      <w:pPr>
        <w:ind w:left="380" w:right="280" w:hanging="359"/>
        <w:spacing w:after="0" w:line="256"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 78,658 shares of Class A Common Stock held by Ms. Hyman; (ii) 10,521 RSUs relating to Class A Common Stock that will vest within 60 days of September 5, 2025; (iii) 57,906 shares of Class B Common Stock held by Ms. Hyman; (iv) 159 RSUs relating to Class B Common Stock that will vest within 60 days of September 5, 2025; and (v) 6,155 shares of Class B Common Stock held by Ms. Hyman’s spouse.</w:t>
      </w:r>
    </w:p>
    <w:p>
      <w:pPr>
        <w:spacing w:after="0" w:line="15" w:lineRule="exact"/>
        <w:rPr>
          <w:rFonts w:ascii="Arial" w:cs="Arial" w:eastAsia="Arial" w:hAnsi="Arial"/>
          <w:sz w:val="14"/>
          <w:szCs w:val="14"/>
          <w:color w:val="auto"/>
        </w:rPr>
      </w:pPr>
    </w:p>
    <w:p>
      <w:pPr>
        <w:ind w:left="380" w:right="220" w:hanging="359"/>
        <w:spacing w:after="0" w:line="28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23,890 shares of Class A Common Stock held by Mr. Thacker and (ii) 5,520 RSUs relating to Class A Common Stock that will vest within 60 days of September 5, 2025.</w:t>
      </w:r>
    </w:p>
    <w:p>
      <w:pPr>
        <w:spacing w:after="0" w:line="1"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20,587 shares of Class A Common Stock held by Ms. Tam and (ii) 2,031 RSUs relating to Class A Common Stock that will vest within 60 days of September 5, 2025.</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8,484 shares of Class A Common Stock held by Mr. Bixby.</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 3,897 shares of Class A Common Stock held by Ms. Fleiss; and (ii) 31,314 shares of Class B Common Stock held by Ms. Fleiss.</w:t>
      </w:r>
    </w:p>
    <w:p>
      <w:pPr>
        <w:spacing w:after="0" w:line="55" w:lineRule="exact"/>
        <w:rPr>
          <w:rFonts w:ascii="Arial" w:cs="Arial" w:eastAsia="Arial" w:hAnsi="Arial"/>
          <w:sz w:val="14"/>
          <w:szCs w:val="14"/>
          <w:color w:val="auto"/>
        </w:rPr>
      </w:pPr>
    </w:p>
    <w:p>
      <w:pPr>
        <w:ind w:left="380" w:right="140" w:hanging="359"/>
        <w:spacing w:after="0" w:line="252"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2,422 shares of Class A Common Stock held by Mr. Friend. Does not include the shares of Class A Common Stock held by the Bain Capital Ventures Entities; however, Mr. Friend disclaims any such beneficial ownership except to the extent of his pecuniary interest therein. Mr. Friend is a Managing Director of BCVI. As a result, by virtue of the relationships described in footnote (13), Mr. Friend may be deemed to share beneficial ownership of such securities held by the Bain Capital Ventures Entities. The address of Mr. Friend is c/o Bain Capital Ventures, 200 Clarendon Street, Boston, MA 02116.</w:t>
      </w:r>
    </w:p>
    <w:p>
      <w:pPr>
        <w:spacing w:after="0" w:line="18" w:lineRule="exact"/>
        <w:rPr>
          <w:rFonts w:ascii="Arial" w:cs="Arial" w:eastAsia="Arial" w:hAnsi="Arial"/>
          <w:sz w:val="14"/>
          <w:szCs w:val="14"/>
          <w:color w:val="auto"/>
        </w:rPr>
      </w:pPr>
    </w:p>
    <w:p>
      <w:pPr>
        <w:ind w:left="380" w:right="820" w:hanging="359"/>
        <w:spacing w:after="0" w:line="28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31,876 shares of Class A Common Stock held by Ms. Kaplan; and (ii) 623 shares of Class A Common Stock held by Axcel Limited Partnership over which Ms. Kaplan may be deemed to have voting and dispositive power.</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3,271 shares of Class A Common Stock held by Mr. Rosensweig and (ii) 161 shares of Class A Common Stock held by a trust.</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10,985 shares of Class A Common Stock held by Mr. Roth.</w:t>
      </w:r>
    </w:p>
    <w:p>
      <w:pPr>
        <w:spacing w:after="0" w:line="55" w:lineRule="exact"/>
        <w:rPr>
          <w:rFonts w:ascii="Arial" w:cs="Arial" w:eastAsia="Arial" w:hAnsi="Arial"/>
          <w:sz w:val="14"/>
          <w:szCs w:val="14"/>
          <w:color w:val="auto"/>
        </w:rPr>
      </w:pPr>
    </w:p>
    <w:p>
      <w:pPr>
        <w:ind w:left="380" w:right="60" w:hanging="359"/>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226,044 shares of Class A Common Stock; (ii) 22,016 RSUs relating to Class A Common Stock that will vest within 60 days of September 5, 2025; (iii) 89,220 shares of Class B Common Stock; and (iv) 159 RSUs relating to Class B Common Stock that will vest within 60 days of September 5, 2025.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2" w:right="11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right="40" w:hanging="359"/>
        <w:spacing w:after="0" w:line="246"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382,231 shares of Class A Common Stock over which Bain Capital Venture Fund 2009, L.P. (“BCV Fund 2009”) has shared voting and dispositive power; (ii) 23,337 shares of Class A Common Stock over which BCIP Venture Associates (“BCIP Venture”) has shared voting and dispositive power; and (iii) 3,252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Massachusetts 02116.</w:t>
      </w:r>
    </w:p>
    <w:p>
      <w:pPr>
        <w:spacing w:after="0" w:line="23" w:lineRule="exact"/>
        <w:rPr>
          <w:rFonts w:ascii="Arial" w:cs="Arial" w:eastAsia="Arial" w:hAnsi="Arial"/>
          <w:sz w:val="14"/>
          <w:szCs w:val="14"/>
          <w:color w:val="auto"/>
        </w:rPr>
      </w:pPr>
    </w:p>
    <w:p>
      <w:pPr>
        <w:ind w:left="380" w:right="420" w:hanging="359"/>
        <w:spacing w:after="0" w:line="26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13D/A filed with the SEC on March 6, 2024. Consists of 336,082 shares of Class A Common Stock over which Yisroel Mordechai Goldstone (“Mr. Goldstone”) has sole voting and dispositive power. The principal business address for Mr. Goldstone is 6400 Av. Isla Verde #12A, Carolina, Puerto Rico 00979.</w:t>
      </w:r>
    </w:p>
    <w:p>
      <w:pPr>
        <w:spacing w:after="0" w:line="10" w:lineRule="exact"/>
        <w:rPr>
          <w:rFonts w:ascii="Arial" w:cs="Arial" w:eastAsia="Arial" w:hAnsi="Arial"/>
          <w:sz w:val="14"/>
          <w:szCs w:val="14"/>
          <w:color w:val="auto"/>
        </w:rPr>
      </w:pPr>
    </w:p>
    <w:p>
      <w:pPr>
        <w:ind w:left="380" w:hanging="359"/>
        <w:spacing w:after="0" w:line="24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2025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information known to the Company. Consists of (i) 154,428 shares of Class A Common Stock over which Highland VIII has shared voting and dispositive power; (ii) 2,394 shares of Class A Common Stock over which VIII-B has shared voting and dispositive power; (iii) 55,998 shares of Class A Common Stock over which Highland VIII-C has shared voting and dispositive power; and (iv) 42,398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former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former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Massachusetts 02142.</w:t>
      </w:r>
    </w:p>
    <w:p>
      <w:pPr>
        <w:spacing w:after="0" w:line="197"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March 27, 2025. CastleKnight Master Fund LP (“CastleKnight Master Fund”) has shared voting and dispositive power with respect to 242,670 shares of Class A Common Stock. The principal business address for CastleKnight Master Fund is 888 Seventh Avenue, 24th Floor, New York, New York 10019.</w:t>
      </w:r>
    </w:p>
    <w:p>
      <w:pPr>
        <w:spacing w:after="0" w:line="10" w:lineRule="exact"/>
        <w:rPr>
          <w:rFonts w:ascii="Arial" w:cs="Arial" w:eastAsia="Arial" w:hAnsi="Arial"/>
          <w:sz w:val="14"/>
          <w:szCs w:val="14"/>
          <w:color w:val="auto"/>
        </w:rPr>
      </w:pPr>
    </w:p>
    <w:p>
      <w:pPr>
        <w:ind w:left="380" w:right="520" w:hanging="359"/>
        <w:spacing w:after="0" w:line="251"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2024. T. Rowe Price Investment Management, Inc. (“Price Investment Management”) has (i) sole voting and dispositive power with respect to 65,998 shares and (ii) sole and dispositive power with respect to</w:t>
      </w:r>
    </w:p>
    <w:p>
      <w:pPr>
        <w:spacing w:after="0" w:line="1" w:lineRule="exact"/>
        <w:rPr>
          <w:rFonts w:ascii="Arial" w:cs="Arial" w:eastAsia="Arial" w:hAnsi="Arial"/>
          <w:sz w:val="14"/>
          <w:szCs w:val="14"/>
          <w:color w:val="auto"/>
        </w:rPr>
      </w:pPr>
    </w:p>
    <w:p>
      <w:pPr>
        <w:ind w:left="380" w:right="120"/>
        <w:spacing w:after="0" w:line="264" w:lineRule="auto"/>
        <w:rPr>
          <w:rFonts w:ascii="Arial" w:cs="Arial" w:eastAsia="Arial" w:hAnsi="Arial"/>
          <w:sz w:val="14"/>
          <w:szCs w:val="14"/>
          <w:color w:val="auto"/>
        </w:rPr>
      </w:pPr>
      <w:r>
        <w:rPr>
          <w:rFonts w:ascii="Arial" w:cs="Arial" w:eastAsia="Arial" w:hAnsi="Arial"/>
          <w:sz w:val="14"/>
          <w:szCs w:val="14"/>
          <w:color w:val="auto"/>
        </w:rPr>
        <w:t>210,636 shares of Class A Common Stock. The principal business address for Price Investment Management is 101 E Pratt Street, Baltimore, Maryland 21201.</w:t>
      </w:r>
    </w:p>
    <w:p>
      <w:pPr>
        <w:spacing w:after="0" w:line="9" w:lineRule="exact"/>
        <w:rPr>
          <w:rFonts w:ascii="Arial" w:cs="Arial" w:eastAsia="Arial" w:hAnsi="Arial"/>
          <w:sz w:val="14"/>
          <w:szCs w:val="14"/>
          <w:color w:val="auto"/>
        </w:rPr>
      </w:pPr>
    </w:p>
    <w:p>
      <w:pPr>
        <w:ind w:left="380" w:hanging="359"/>
        <w:spacing w:after="0" w:line="245"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November 14, 2024. Technology Crossover Management VIII, Ltd. (“Management VIII”) has sole voting and dispositive power over 197,481 shares of Class A Common Stock; Technology Crossover Management VIII, L.P. (“TCM VIII”) has sole voting and dispositive power over 187,454 shares of Class A Common Stock; TCV VIII, L.P. (“TCV VIII”) has sole voting and dispositive power with respect to 140,756 shares of Class A Common Stock; TCV VIII (A), L.P. (“TCV VIII (A)”) has sole voting and dispositive power with respect to 37,957 shares of Class A Common Stock; TCV VIII (B), L.P. (“TCV VIII (B)”) has sole voting and dispositive power with respect to 8,741 shares of Class A Common Stock; and TCV Member Fund, L.P. (“Member Fund”) has sole voting and dispositive power with respect to 10,027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California 94025.</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Solicitation of Proxies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expense of printing and mailing proxy materials and the solicitation of proxies will be borne by us. We are soliciting proxies on behalf of the Board and will pay the related costs. In addition to the solicitation of proxies by mail, solicitation may be made by our directors, officers and other employees by personal interview, e-mail or telephone. No additional compensation will be paid to our directors, officers or employees for such solicitation. Arrangements may also be made with brokers, banks, trustees and nominees for the forwarding of material to, and solicitation of proxies from, the beneficial owners of our securities held of record at the close of business on the Record Date by such persons. We will reimburse such brokers, banks, trustees and nominees and others for their reasonable expenses in forwarding solicitation materials to beneficial owners of our common stock.</w:t>
      </w:r>
    </w:p>
    <w:p>
      <w:pPr>
        <w:spacing w:after="0" w:line="153"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The Company intends to use the services of D.F. King to assist in the solicitation of proxies and expects to pay market rates for such services, with an estimated fee of approximately $12,500, including expenses. As the Special Meeting approaches, certain stockholders may receive a telephone call from a representative of D.F. King if the stockholder’s votes have not yet been received.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2026 Annual Meeting of Stockholders pursuant to Rule 14a-8 are required to submit the proposal in writing to our Secretary at Rent the Runway, Inc., 10 Jay Street, Brooklyn, New York 11201, by no later than January 22, 2026 and to otherwise comply with the SEC’s requirements for stockholder proposals.</w:t>
      </w:r>
    </w:p>
    <w:p>
      <w:pPr>
        <w:spacing w:after="0" w:line="147"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Stockholders who would like to bring a proposal before our 2026 Annual Meeting of Stockholders, or to nominate directors for election, in accordance with the advance notice provisions of our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9, 2026 nor earlier than March 10, 2026 (assuming the meeting is held not more than 30 days before or more than 60 days after July 8, 2026). The notice must comply with the requirements set forth in our Bylaws.</w:t>
      </w:r>
    </w:p>
    <w:p>
      <w:pPr>
        <w:spacing w:after="0" w:line="144"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In addition to satisfying the foregoing requirements under the Bylaws, to comply with the universal proxy rules, stockholders who intend to solicit proxies in support of director nominees other than the Company’s nominees must provide notice that sets forth the information required by Rule 14a-19 under the Exchange Act no later than May 11, 2026. We reserve the right to reject, rule out of order, or take other appropriate action with respect to any proposal that does not comply with these or other applicable requirements.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jc w:val="both"/>
        <w:ind w:left="20" w:right="300"/>
        <w:spacing w:after="0" w:line="253" w:lineRule="auto"/>
        <w:rPr>
          <w:sz w:val="20"/>
          <w:szCs w:val="20"/>
          <w:color w:val="auto"/>
        </w:rPr>
      </w:pPr>
      <w:r>
        <w:rPr>
          <w:rFonts w:ascii="Arial" w:cs="Arial" w:eastAsia="Arial" w:hAnsi="Arial"/>
          <w:sz w:val="18"/>
          <w:szCs w:val="18"/>
          <w:color w:val="auto"/>
        </w:rPr>
        <w:t>We do not know of any other business that may be presented for consideration at the Special Meeting. If any other matters are properly presented at the Special Meeting or any adjournment thereof, the persons named on the proxy card will have discretion to vote on the matters in accordance with their best judgment.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Our SEC filings are available on the SEC’s website, http://www.sec.gov, or on our website, investors.renttherunway.com. Copies of our Annual Report on Form 10-K for the fiscal year ended January 31, 2025 as filed with the SEC (exclusive of exhibits and documents incorporated by reference) may also be obtained for free by emailing investors@renttherunway.com. Copies of exhibits and basic documents filed with the Annual</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Report on Form 10-K or referenced therein will be furnished to stockholders upon written request made to Rent the Runway, Inc., 10 Jay Street, Brooklyn, New York 11201, Attention: Corporate Secretary or D.F. King, our proxy solicitor (telephone number (888) 280-6942 or email RENT@dfking.com). A reasonable fee will be charged for copies of such documents.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information on our website is incorporated by reference in or considered to be a part of this Proxy Statement.</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EXCHANGE AGREEMENT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ind w:left="3320"/>
        <w:spacing w:after="0" w:line="234" w:lineRule="auto"/>
        <w:rPr>
          <w:sz w:val="20"/>
          <w:szCs w:val="20"/>
          <w:color w:val="auto"/>
        </w:rPr>
      </w:pPr>
      <w:r>
        <w:rPr>
          <w:rFonts w:ascii="Arial" w:cs="Arial" w:eastAsia="Arial" w:hAnsi="Arial"/>
          <w:sz w:val="18"/>
          <w:szCs w:val="18"/>
          <w:color w:val="auto"/>
        </w:rPr>
        <w:t>Dated as of August 20, 2025,</w:t>
      </w:r>
    </w:p>
    <w:p>
      <w:pPr>
        <w:ind w:left="4420"/>
        <w:spacing w:after="0" w:line="235" w:lineRule="auto"/>
        <w:rPr>
          <w:sz w:val="20"/>
          <w:szCs w:val="20"/>
          <w:color w:val="auto"/>
        </w:rPr>
      </w:pPr>
      <w:r>
        <w:rPr>
          <w:rFonts w:ascii="Arial" w:cs="Arial" w:eastAsia="Arial" w:hAnsi="Arial"/>
          <w:sz w:val="18"/>
          <w:szCs w:val="18"/>
          <w:color w:val="auto"/>
        </w:rPr>
        <w:t> </w:t>
      </w:r>
    </w:p>
    <w:p>
      <w:pPr>
        <w:ind w:left="4140"/>
        <w:spacing w:after="0" w:line="235" w:lineRule="auto"/>
        <w:rPr>
          <w:sz w:val="20"/>
          <w:szCs w:val="20"/>
          <w:color w:val="auto"/>
        </w:rPr>
      </w:pPr>
      <w:r>
        <w:rPr>
          <w:rFonts w:ascii="Arial" w:cs="Arial" w:eastAsia="Arial" w:hAnsi="Arial"/>
          <w:sz w:val="18"/>
          <w:szCs w:val="18"/>
          <w:color w:val="auto"/>
        </w:rPr>
        <w:t>between</w:t>
      </w:r>
    </w:p>
    <w:p>
      <w:pPr>
        <w:ind w:left="4420"/>
        <w:spacing w:after="0" w:line="235" w:lineRule="auto"/>
        <w:rPr>
          <w:sz w:val="20"/>
          <w:szCs w:val="20"/>
          <w:color w:val="auto"/>
        </w:rPr>
      </w:pPr>
      <w:r>
        <w:rPr>
          <w:rFonts w:ascii="Arial" w:cs="Arial" w:eastAsia="Arial" w:hAnsi="Arial"/>
          <w:sz w:val="18"/>
          <w:szCs w:val="18"/>
          <w:color w:val="auto"/>
        </w:rPr>
        <w:t> </w:t>
      </w:r>
    </w:p>
    <w:p>
      <w:pPr>
        <w:ind w:left="3400"/>
        <w:spacing w:after="0" w:line="235" w:lineRule="auto"/>
        <w:rPr>
          <w:sz w:val="20"/>
          <w:szCs w:val="20"/>
          <w:color w:val="auto"/>
        </w:rPr>
      </w:pPr>
      <w:r>
        <w:rPr>
          <w:rFonts w:ascii="Arial" w:cs="Arial" w:eastAsia="Arial" w:hAnsi="Arial"/>
          <w:sz w:val="18"/>
          <w:szCs w:val="18"/>
          <w:color w:val="auto"/>
        </w:rPr>
        <w:t>RENT THE RUNWAY, INC.</w:t>
      </w:r>
    </w:p>
    <w:p>
      <w:pPr>
        <w:ind w:left="4420"/>
        <w:spacing w:after="0" w:line="234" w:lineRule="auto"/>
        <w:rPr>
          <w:sz w:val="20"/>
          <w:szCs w:val="20"/>
          <w:color w:val="auto"/>
        </w:rPr>
      </w:pPr>
      <w:r>
        <w:rPr>
          <w:rFonts w:ascii="Arial" w:cs="Arial" w:eastAsia="Arial" w:hAnsi="Arial"/>
          <w:sz w:val="18"/>
          <w:szCs w:val="18"/>
          <w:color w:val="auto"/>
        </w:rPr>
        <w:t> </w:t>
      </w:r>
    </w:p>
    <w:p>
      <w:pPr>
        <w:ind w:left="4320"/>
        <w:spacing w:after="0" w:line="235" w:lineRule="auto"/>
        <w:rPr>
          <w:sz w:val="20"/>
          <w:szCs w:val="20"/>
          <w:color w:val="auto"/>
        </w:rPr>
      </w:pPr>
      <w:r>
        <w:rPr>
          <w:rFonts w:ascii="Arial" w:cs="Arial" w:eastAsia="Arial" w:hAnsi="Arial"/>
          <w:sz w:val="18"/>
          <w:szCs w:val="18"/>
          <w:color w:val="auto"/>
        </w:rPr>
        <w:t>and</w:t>
      </w:r>
    </w:p>
    <w:p>
      <w:pPr>
        <w:ind w:left="4420"/>
        <w:spacing w:after="0" w:line="235" w:lineRule="auto"/>
        <w:rPr>
          <w:sz w:val="20"/>
          <w:szCs w:val="20"/>
          <w:color w:val="auto"/>
        </w:rPr>
      </w:pPr>
      <w:r>
        <w:rPr>
          <w:rFonts w:ascii="Arial" w:cs="Arial" w:eastAsia="Arial" w:hAnsi="Arial"/>
          <w:sz w:val="18"/>
          <w:szCs w:val="18"/>
          <w:color w:val="auto"/>
        </w:rPr>
        <w:t> </w:t>
      </w:r>
    </w:p>
    <w:p>
      <w:pPr>
        <w:jc w:val="right"/>
        <w:ind w:right="3319"/>
        <w:spacing w:after="0"/>
        <w:rPr>
          <w:sz w:val="20"/>
          <w:szCs w:val="20"/>
          <w:color w:val="auto"/>
        </w:rPr>
      </w:pPr>
      <w:r>
        <w:rPr>
          <w:rFonts w:ascii="Arial" w:cs="Arial" w:eastAsia="Arial" w:hAnsi="Arial"/>
          <w:sz w:val="18"/>
          <w:szCs w:val="18"/>
          <w:color w:val="auto"/>
        </w:rPr>
        <w:t>CHS US INVESTMENTS LLC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Page</w:t>
            </w:r>
          </w:p>
        </w:tc>
      </w:tr>
      <w:tr>
        <w:trPr>
          <w:trHeight w:val="63"/>
        </w:trPr>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r>
        <w:trPr>
          <w:trHeight w:val="223"/>
        </w:trPr>
        <w:tc>
          <w:tcPr>
            <w:tcW w:w="2100" w:type="dxa"/>
            <w:vAlign w:val="bottom"/>
            <w:gridSpan w:val="6"/>
          </w:tcPr>
          <w:p>
            <w:pPr>
              <w:ind w:left="140"/>
              <w:spacing w:after="0"/>
              <w:rPr>
                <w:sz w:val="20"/>
                <w:szCs w:val="20"/>
                <w:color w:val="auto"/>
              </w:rPr>
            </w:pPr>
            <w:r>
              <w:rPr>
                <w:rFonts w:ascii="Arial" w:cs="Arial" w:eastAsia="Arial" w:hAnsi="Arial"/>
                <w:sz w:val="14"/>
                <w:szCs w:val="14"/>
                <w:color w:val="0000EE"/>
              </w:rPr>
              <w:t>Article I Definitions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A-3</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1.01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Definitions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A-3</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1.02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Terms Defined Elsewhere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A-9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1.03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Interpretation; Disclosure Letter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A-12</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420" w:type="dxa"/>
            <w:vAlign w:val="bottom"/>
            <w:gridSpan w:val="35"/>
          </w:tcPr>
          <w:p>
            <w:pPr>
              <w:ind w:left="140"/>
              <w:spacing w:after="0"/>
              <w:rPr>
                <w:sz w:val="20"/>
                <w:szCs w:val="20"/>
                <w:color w:val="auto"/>
              </w:rPr>
            </w:pPr>
            <w:r>
              <w:rPr>
                <w:rFonts w:ascii="Arial" w:cs="Arial" w:eastAsia="Arial" w:hAnsi="Arial"/>
                <w:sz w:val="14"/>
                <w:szCs w:val="14"/>
                <w:color w:val="0000EE"/>
              </w:rPr>
              <w:t>Article II Exchange Transactions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Contribution and Exchange</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Satisfaction of Equity Exchange Obligations and Debt Exchange Obligations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560" w:type="dxa"/>
            <w:vAlign w:val="bottom"/>
            <w:tcBorders>
              <w:top w:val="single" w:sz="8" w:color="0000EE"/>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Closing</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2.04</w:t>
            </w:r>
          </w:p>
        </w:tc>
        <w:tc>
          <w:tcPr>
            <w:tcW w:w="5320" w:type="dxa"/>
            <w:vAlign w:val="bottom"/>
            <w:gridSpan w:val="29"/>
          </w:tcPr>
          <w:p>
            <w:pPr>
              <w:spacing w:after="0"/>
              <w:rPr>
                <w:sz w:val="20"/>
                <w:szCs w:val="20"/>
                <w:color w:val="auto"/>
              </w:rPr>
            </w:pPr>
            <w:r>
              <w:rPr>
                <w:rFonts w:ascii="Arial" w:cs="Arial" w:eastAsia="Arial" w:hAnsi="Arial"/>
                <w:sz w:val="14"/>
                <w:szCs w:val="14"/>
                <w:color w:val="0000EE"/>
              </w:rPr>
              <w:t>Post-Closing Officers and Directors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420" w:type="dxa"/>
            <w:vAlign w:val="bottom"/>
            <w:gridSpan w:val="35"/>
          </w:tcPr>
          <w:p>
            <w:pPr>
              <w:ind w:left="140"/>
              <w:spacing w:after="0"/>
              <w:rPr>
                <w:sz w:val="20"/>
                <w:szCs w:val="20"/>
                <w:color w:val="auto"/>
              </w:rPr>
            </w:pPr>
            <w:r>
              <w:rPr>
                <w:rFonts w:ascii="Arial" w:cs="Arial" w:eastAsia="Arial" w:hAnsi="Arial"/>
                <w:sz w:val="14"/>
                <w:szCs w:val="14"/>
                <w:color w:val="0000EE"/>
              </w:rPr>
              <w:t>Article III Representations and Warranties of the Company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Organization, Standing and Power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Capitalization</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Authority; Execution and Delivery; Enforceability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3.04</w:t>
            </w:r>
          </w:p>
        </w:tc>
        <w:tc>
          <w:tcPr>
            <w:tcW w:w="5320" w:type="dxa"/>
            <w:vAlign w:val="bottom"/>
            <w:gridSpan w:val="29"/>
          </w:tcPr>
          <w:p>
            <w:pPr>
              <w:spacing w:after="0"/>
              <w:rPr>
                <w:sz w:val="20"/>
                <w:szCs w:val="20"/>
                <w:color w:val="auto"/>
              </w:rPr>
            </w:pPr>
            <w:r>
              <w:rPr>
                <w:rFonts w:ascii="Arial" w:cs="Arial" w:eastAsia="Arial" w:hAnsi="Arial"/>
                <w:sz w:val="14"/>
                <w:szCs w:val="14"/>
                <w:color w:val="0000EE"/>
              </w:rPr>
              <w:t>No Conflicts; Consents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A-17</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3.05</w:t>
            </w:r>
          </w:p>
        </w:tc>
        <w:tc>
          <w:tcPr>
            <w:tcW w:w="5320" w:type="dxa"/>
            <w:vAlign w:val="bottom"/>
            <w:gridSpan w:val="29"/>
          </w:tcPr>
          <w:p>
            <w:pPr>
              <w:spacing w:after="0"/>
              <w:rPr>
                <w:sz w:val="20"/>
                <w:szCs w:val="20"/>
                <w:color w:val="auto"/>
              </w:rPr>
            </w:pPr>
            <w:r>
              <w:rPr>
                <w:rFonts w:ascii="Arial" w:cs="Arial" w:eastAsia="Arial" w:hAnsi="Arial"/>
                <w:sz w:val="14"/>
                <w:szCs w:val="14"/>
                <w:color w:val="0000EE"/>
              </w:rPr>
              <w:t>Subsidiaries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3.06</w:t>
            </w:r>
          </w:p>
        </w:tc>
        <w:tc>
          <w:tcPr>
            <w:tcW w:w="5320" w:type="dxa"/>
            <w:vAlign w:val="bottom"/>
            <w:gridSpan w:val="29"/>
          </w:tcPr>
          <w:p>
            <w:pPr>
              <w:spacing w:after="0"/>
              <w:rPr>
                <w:sz w:val="20"/>
                <w:szCs w:val="20"/>
                <w:color w:val="auto"/>
              </w:rPr>
            </w:pPr>
            <w:r>
              <w:rPr>
                <w:rFonts w:ascii="Arial" w:cs="Arial" w:eastAsia="Arial" w:hAnsi="Arial"/>
                <w:sz w:val="14"/>
                <w:szCs w:val="14"/>
                <w:color w:val="0000EE"/>
              </w:rPr>
              <w:t>SEC Documents; Undisclosed Liabilities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3.07</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Information Supplied</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3.08</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Absence of Certain Changes or Events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3.09</w:t>
            </w:r>
          </w:p>
        </w:tc>
        <w:tc>
          <w:tcPr>
            <w:tcW w:w="5320" w:type="dxa"/>
            <w:vAlign w:val="bottom"/>
            <w:gridSpan w:val="29"/>
          </w:tcPr>
          <w:p>
            <w:pPr>
              <w:spacing w:after="0"/>
              <w:rPr>
                <w:sz w:val="20"/>
                <w:szCs w:val="20"/>
                <w:color w:val="auto"/>
              </w:rPr>
            </w:pPr>
            <w:r>
              <w:rPr>
                <w:rFonts w:ascii="Arial" w:cs="Arial" w:eastAsia="Arial" w:hAnsi="Arial"/>
                <w:sz w:val="14"/>
                <w:szCs w:val="14"/>
                <w:color w:val="0000EE"/>
              </w:rPr>
              <w:t>Tax Matters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3.10</w:t>
            </w:r>
          </w:p>
        </w:tc>
        <w:tc>
          <w:tcPr>
            <w:tcW w:w="5320" w:type="dxa"/>
            <w:vAlign w:val="bottom"/>
            <w:gridSpan w:val="29"/>
          </w:tcPr>
          <w:p>
            <w:pPr>
              <w:spacing w:after="0"/>
              <w:rPr>
                <w:sz w:val="20"/>
                <w:szCs w:val="20"/>
                <w:color w:val="auto"/>
              </w:rPr>
            </w:pPr>
            <w:r>
              <w:rPr>
                <w:rFonts w:ascii="Arial" w:cs="Arial" w:eastAsia="Arial" w:hAnsi="Arial"/>
                <w:sz w:val="14"/>
                <w:szCs w:val="14"/>
                <w:color w:val="0000EE"/>
              </w:rPr>
              <w:t>Litigation</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Compliance with Applicable Laws; Permits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Environmental Matters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Material Contracts; Debt Instruments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A-22</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3.14</w:t>
            </w:r>
          </w:p>
        </w:tc>
        <w:tc>
          <w:tcPr>
            <w:tcW w:w="5320" w:type="dxa"/>
            <w:vAlign w:val="bottom"/>
            <w:gridSpan w:val="29"/>
          </w:tcPr>
          <w:p>
            <w:pPr>
              <w:spacing w:after="0"/>
              <w:rPr>
                <w:sz w:val="20"/>
                <w:szCs w:val="20"/>
                <w:color w:val="auto"/>
              </w:rPr>
            </w:pPr>
            <w:r>
              <w:rPr>
                <w:rFonts w:ascii="Arial" w:cs="Arial" w:eastAsia="Arial" w:hAnsi="Arial"/>
                <w:sz w:val="14"/>
                <w:szCs w:val="14"/>
                <w:color w:val="0000EE"/>
              </w:rPr>
              <w:t>Real Property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A-22</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3.15</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Intellectual Property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A-22</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3.16</w:t>
            </w:r>
          </w:p>
        </w:tc>
        <w:tc>
          <w:tcPr>
            <w:tcW w:w="5320" w:type="dxa"/>
            <w:vAlign w:val="bottom"/>
            <w:gridSpan w:val="29"/>
          </w:tcPr>
          <w:p>
            <w:pPr>
              <w:spacing w:after="0"/>
              <w:rPr>
                <w:sz w:val="20"/>
                <w:szCs w:val="20"/>
                <w:color w:val="auto"/>
              </w:rPr>
            </w:pPr>
            <w:r>
              <w:rPr>
                <w:rFonts w:ascii="Arial" w:cs="Arial" w:eastAsia="Arial" w:hAnsi="Arial"/>
                <w:sz w:val="14"/>
                <w:szCs w:val="14"/>
                <w:color w:val="0000EE"/>
              </w:rPr>
              <w:t>Labor and Employment Matters; ERISA Documents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A-23</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3.17</w:t>
            </w:r>
          </w:p>
        </w:tc>
        <w:tc>
          <w:tcPr>
            <w:tcW w:w="5320" w:type="dxa"/>
            <w:vAlign w:val="bottom"/>
            <w:gridSpan w:val="29"/>
          </w:tcPr>
          <w:p>
            <w:pPr>
              <w:spacing w:after="0"/>
              <w:rPr>
                <w:sz w:val="20"/>
                <w:szCs w:val="20"/>
                <w:color w:val="auto"/>
              </w:rPr>
            </w:pPr>
            <w:r>
              <w:rPr>
                <w:rFonts w:ascii="Arial" w:cs="Arial" w:eastAsia="Arial" w:hAnsi="Arial"/>
                <w:sz w:val="14"/>
                <w:szCs w:val="14"/>
                <w:color w:val="0000EE"/>
              </w:rPr>
              <w:t>Privacy and Data Security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3.18</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Affiliate Transactions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3.19</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Insurance</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3.20</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Anti-Takeover Statutes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3.21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Brokers and Other Advisors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3.22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Opinion of Financial Advisor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A-25</w:t>
            </w:r>
          </w:p>
        </w:tc>
      </w:tr>
      <w:tr>
        <w:trPr>
          <w:trHeight w:val="48"/>
        </w:trPr>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54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Page</w:t>
            </w:r>
          </w:p>
        </w:tc>
      </w:tr>
      <w:tr>
        <w:trPr>
          <w:trHeight w:val="63"/>
        </w:trPr>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IV Representations and Warranties of Lender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Organization, Standing and Power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Authority; Execution and Delivery; Enforceability</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4.03</w:t>
            </w:r>
          </w:p>
        </w:tc>
        <w:tc>
          <w:tcPr>
            <w:tcW w:w="4900" w:type="dxa"/>
            <w:vAlign w:val="bottom"/>
            <w:gridSpan w:val="26"/>
          </w:tcPr>
          <w:p>
            <w:pPr>
              <w:spacing w:after="0"/>
              <w:rPr>
                <w:sz w:val="20"/>
                <w:szCs w:val="20"/>
                <w:color w:val="auto"/>
              </w:rPr>
            </w:pPr>
            <w:r>
              <w:rPr>
                <w:rFonts w:ascii="Arial" w:cs="Arial" w:eastAsia="Arial" w:hAnsi="Arial"/>
                <w:sz w:val="14"/>
                <w:szCs w:val="14"/>
                <w:color w:val="0000EE"/>
              </w:rPr>
              <w:t>No Conflicts; Consents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4.04</w:t>
            </w:r>
          </w:p>
        </w:tc>
        <w:tc>
          <w:tcPr>
            <w:tcW w:w="4900" w:type="dxa"/>
            <w:vAlign w:val="bottom"/>
            <w:gridSpan w:val="26"/>
          </w:tcPr>
          <w:p>
            <w:pPr>
              <w:spacing w:after="0"/>
              <w:rPr>
                <w:sz w:val="20"/>
                <w:szCs w:val="20"/>
                <w:color w:val="auto"/>
              </w:rPr>
            </w:pPr>
            <w:r>
              <w:rPr>
                <w:rFonts w:ascii="Arial" w:cs="Arial" w:eastAsia="Arial" w:hAnsi="Arial"/>
                <w:sz w:val="14"/>
                <w:szCs w:val="14"/>
                <w:color w:val="0000EE"/>
              </w:rPr>
              <w:t>Litigation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4.05</w:t>
            </w:r>
          </w:p>
        </w:tc>
        <w:tc>
          <w:tcPr>
            <w:tcW w:w="4900" w:type="dxa"/>
            <w:vAlign w:val="bottom"/>
            <w:gridSpan w:val="26"/>
          </w:tcPr>
          <w:p>
            <w:pPr>
              <w:spacing w:after="0"/>
              <w:rPr>
                <w:sz w:val="20"/>
                <w:szCs w:val="20"/>
                <w:color w:val="auto"/>
              </w:rPr>
            </w:pPr>
            <w:r>
              <w:rPr>
                <w:rFonts w:ascii="Arial" w:cs="Arial" w:eastAsia="Arial" w:hAnsi="Arial"/>
                <w:sz w:val="14"/>
                <w:szCs w:val="14"/>
                <w:color w:val="0000EE"/>
              </w:rPr>
              <w:t>Accredited Investor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4.06</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Independent Investigation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4.07</w:t>
            </w:r>
          </w:p>
        </w:tc>
        <w:tc>
          <w:tcPr>
            <w:tcW w:w="4900" w:type="dxa"/>
            <w:vAlign w:val="bottom"/>
            <w:gridSpan w:val="26"/>
          </w:tcPr>
          <w:p>
            <w:pPr>
              <w:spacing w:after="0"/>
              <w:rPr>
                <w:sz w:val="20"/>
                <w:szCs w:val="20"/>
                <w:color w:val="auto"/>
              </w:rPr>
            </w:pPr>
            <w:r>
              <w:rPr>
                <w:rFonts w:ascii="Arial" w:cs="Arial" w:eastAsia="Arial" w:hAnsi="Arial"/>
                <w:sz w:val="14"/>
                <w:szCs w:val="14"/>
                <w:color w:val="0000EE"/>
              </w:rPr>
              <w:t>Financial Sophistication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4.08</w:t>
            </w:r>
          </w:p>
        </w:tc>
        <w:tc>
          <w:tcPr>
            <w:tcW w:w="4900" w:type="dxa"/>
            <w:vAlign w:val="bottom"/>
            <w:gridSpan w:val="26"/>
          </w:tcPr>
          <w:p>
            <w:pPr>
              <w:spacing w:after="0"/>
              <w:rPr>
                <w:sz w:val="20"/>
                <w:szCs w:val="20"/>
                <w:color w:val="auto"/>
              </w:rPr>
            </w:pPr>
            <w:r>
              <w:rPr>
                <w:rFonts w:ascii="Arial" w:cs="Arial" w:eastAsia="Arial" w:hAnsi="Arial"/>
                <w:sz w:val="14"/>
                <w:szCs w:val="14"/>
                <w:color w:val="0000EE"/>
              </w:rPr>
              <w:t>Brokers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4.09</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Information Supplied</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4.10</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Interested Stockholder; Ownership</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V Covenants Relating to Conduct of Business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5.01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Conduct of Business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5.02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No Solicitation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VI Additional Agreements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A-34</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Preparation of the Proxy Statement; Stockholders Meeting</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Rights Offering</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6.03</w:t>
            </w:r>
          </w:p>
        </w:tc>
        <w:tc>
          <w:tcPr>
            <w:tcW w:w="4900" w:type="dxa"/>
            <w:vAlign w:val="bottom"/>
            <w:gridSpan w:val="26"/>
          </w:tcPr>
          <w:p>
            <w:pPr>
              <w:spacing w:after="0"/>
              <w:rPr>
                <w:sz w:val="20"/>
                <w:szCs w:val="20"/>
                <w:color w:val="auto"/>
              </w:rPr>
            </w:pPr>
            <w:r>
              <w:rPr>
                <w:rFonts w:ascii="Arial" w:cs="Arial" w:eastAsia="Arial" w:hAnsi="Arial"/>
                <w:sz w:val="14"/>
                <w:szCs w:val="14"/>
                <w:color w:val="0000EE"/>
              </w:rPr>
              <w:t>Reasonable Best Efforts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A-37</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6.04</w:t>
            </w:r>
          </w:p>
        </w:tc>
        <w:tc>
          <w:tcPr>
            <w:tcW w:w="4900" w:type="dxa"/>
            <w:vAlign w:val="bottom"/>
            <w:gridSpan w:val="26"/>
          </w:tcPr>
          <w:p>
            <w:pPr>
              <w:spacing w:after="0"/>
              <w:rPr>
                <w:sz w:val="20"/>
                <w:szCs w:val="20"/>
                <w:color w:val="auto"/>
              </w:rPr>
            </w:pPr>
            <w:r>
              <w:rPr>
                <w:rFonts w:ascii="Arial" w:cs="Arial" w:eastAsia="Arial" w:hAnsi="Arial"/>
                <w:sz w:val="14"/>
                <w:szCs w:val="14"/>
                <w:color w:val="0000EE"/>
              </w:rPr>
              <w:t>Employee Matters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A-37</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6.05</w:t>
            </w:r>
          </w:p>
        </w:tc>
        <w:tc>
          <w:tcPr>
            <w:tcW w:w="4900" w:type="dxa"/>
            <w:vAlign w:val="bottom"/>
            <w:gridSpan w:val="26"/>
          </w:tcPr>
          <w:p>
            <w:pPr>
              <w:spacing w:after="0"/>
              <w:rPr>
                <w:sz w:val="20"/>
                <w:szCs w:val="20"/>
                <w:color w:val="auto"/>
              </w:rPr>
            </w:pPr>
            <w:r>
              <w:rPr>
                <w:rFonts w:ascii="Arial" w:cs="Arial" w:eastAsia="Arial" w:hAnsi="Arial"/>
                <w:sz w:val="14"/>
                <w:szCs w:val="14"/>
                <w:color w:val="0000EE"/>
              </w:rPr>
              <w:t>Takeover Laws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6.06</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Indemnification and Insurance</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6.07</w:t>
            </w:r>
          </w:p>
        </w:tc>
        <w:tc>
          <w:tcPr>
            <w:tcW w:w="4900" w:type="dxa"/>
            <w:vAlign w:val="bottom"/>
            <w:gridSpan w:val="26"/>
          </w:tcPr>
          <w:p>
            <w:pPr>
              <w:spacing w:after="0"/>
              <w:rPr>
                <w:sz w:val="20"/>
                <w:szCs w:val="20"/>
                <w:color w:val="auto"/>
              </w:rPr>
            </w:pPr>
            <w:r>
              <w:rPr>
                <w:rFonts w:ascii="Arial" w:cs="Arial" w:eastAsia="Arial" w:hAnsi="Arial"/>
                <w:sz w:val="14"/>
                <w:szCs w:val="14"/>
                <w:color w:val="0000EE"/>
              </w:rPr>
              <w:t>Public Announcements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6.08</w:t>
            </w:r>
          </w:p>
        </w:tc>
        <w:tc>
          <w:tcPr>
            <w:tcW w:w="4900" w:type="dxa"/>
            <w:vAlign w:val="bottom"/>
            <w:gridSpan w:val="26"/>
          </w:tcPr>
          <w:p>
            <w:pPr>
              <w:spacing w:after="0"/>
              <w:rPr>
                <w:sz w:val="20"/>
                <w:szCs w:val="20"/>
                <w:color w:val="auto"/>
              </w:rPr>
            </w:pPr>
            <w:r>
              <w:rPr>
                <w:rFonts w:ascii="Arial" w:cs="Arial" w:eastAsia="Arial" w:hAnsi="Arial"/>
                <w:sz w:val="14"/>
                <w:szCs w:val="14"/>
                <w:color w:val="0000EE"/>
              </w:rPr>
              <w:t>Transaction Litigation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6.09</w:t>
            </w:r>
          </w:p>
        </w:tc>
        <w:tc>
          <w:tcPr>
            <w:tcW w:w="4900" w:type="dxa"/>
            <w:vAlign w:val="bottom"/>
            <w:gridSpan w:val="26"/>
          </w:tcPr>
          <w:p>
            <w:pPr>
              <w:spacing w:after="0"/>
              <w:rPr>
                <w:sz w:val="20"/>
                <w:szCs w:val="20"/>
                <w:color w:val="auto"/>
              </w:rPr>
            </w:pPr>
            <w:r>
              <w:rPr>
                <w:rFonts w:ascii="Arial" w:cs="Arial" w:eastAsia="Arial" w:hAnsi="Arial"/>
                <w:sz w:val="14"/>
                <w:szCs w:val="14"/>
                <w:color w:val="0000EE"/>
              </w:rPr>
              <w:t>Percentage Ownership</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6.10</w:t>
            </w:r>
          </w:p>
        </w:tc>
        <w:tc>
          <w:tcPr>
            <w:tcW w:w="4900" w:type="dxa"/>
            <w:vAlign w:val="bottom"/>
            <w:gridSpan w:val="26"/>
          </w:tcPr>
          <w:p>
            <w:pPr>
              <w:spacing w:after="0"/>
              <w:rPr>
                <w:sz w:val="20"/>
                <w:szCs w:val="20"/>
                <w:color w:val="auto"/>
              </w:rPr>
            </w:pPr>
            <w:r>
              <w:rPr>
                <w:rFonts w:ascii="Arial" w:cs="Arial" w:eastAsia="Arial" w:hAnsi="Arial"/>
                <w:sz w:val="14"/>
                <w:szCs w:val="14"/>
                <w:color w:val="0000EE"/>
              </w:rPr>
              <w:t>Further Assurances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6.11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Amended and Restated Charter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VII Conditions Precedent</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7.01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Conditions to Each Party’s Obligation to Effect the Transactions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7.02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Conditions to Obligations of Lender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A-42</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7.03</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Conditions to Obligation of the Company</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A-42</w:t>
            </w:r>
          </w:p>
        </w:tc>
      </w:tr>
      <w:tr>
        <w:trPr>
          <w:trHeight w:val="48"/>
        </w:trPr>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gridSpan w:val="3"/>
          </w:tcPr>
          <w:p>
            <w:pPr>
              <w:ind w:left="1100"/>
              <w:spacing w:after="0"/>
              <w:rPr>
                <w:sz w:val="20"/>
                <w:szCs w:val="20"/>
                <w:color w:val="auto"/>
              </w:rPr>
            </w:pPr>
            <w:r>
              <w:rPr>
                <w:rFonts w:ascii="Arial" w:cs="Arial" w:eastAsia="Arial" w:hAnsi="Arial"/>
                <w:sz w:val="18"/>
                <w:szCs w:val="18"/>
                <w:color w:val="auto"/>
              </w:rPr>
              <w:t>Page</w:t>
            </w:r>
          </w:p>
        </w:tc>
      </w:tr>
      <w:tr>
        <w:trPr>
          <w:trHeight w:val="63"/>
        </w:trPr>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r>
        <w:trPr>
          <w:trHeight w:val="223"/>
        </w:trPr>
        <w:tc>
          <w:tcPr>
            <w:tcW w:w="6780" w:type="dxa"/>
            <w:vAlign w:val="bottom"/>
            <w:gridSpan w:val="21"/>
          </w:tcPr>
          <w:p>
            <w:pPr>
              <w:ind w:left="140"/>
              <w:spacing w:after="0"/>
              <w:rPr>
                <w:sz w:val="20"/>
                <w:szCs w:val="20"/>
                <w:color w:val="auto"/>
              </w:rPr>
            </w:pPr>
            <w:r>
              <w:rPr>
                <w:rFonts w:ascii="Arial" w:cs="Arial" w:eastAsia="Arial" w:hAnsi="Arial"/>
                <w:sz w:val="14"/>
                <w:szCs w:val="14"/>
                <w:color w:val="0000EE"/>
              </w:rPr>
              <w:t>Article VIII Termination, Amendment and Waiver</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8.01</w:t>
            </w:r>
          </w:p>
        </w:tc>
        <w:tc>
          <w:tcPr>
            <w:tcW w:w="4680" w:type="dxa"/>
            <w:vAlign w:val="bottom"/>
            <w:gridSpan w:val="15"/>
          </w:tcPr>
          <w:p>
            <w:pPr>
              <w:spacing w:after="0"/>
              <w:rPr>
                <w:sz w:val="20"/>
                <w:szCs w:val="20"/>
                <w:color w:val="auto"/>
              </w:rPr>
            </w:pPr>
            <w:r>
              <w:rPr>
                <w:rFonts w:ascii="Arial" w:cs="Arial" w:eastAsia="Arial" w:hAnsi="Arial"/>
                <w:sz w:val="14"/>
                <w:szCs w:val="14"/>
                <w:color w:val="0000EE"/>
              </w:rPr>
              <w:t>Termination</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8.02</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Effect of Termination</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8.03</w:t>
            </w:r>
          </w:p>
        </w:tc>
        <w:tc>
          <w:tcPr>
            <w:tcW w:w="4680" w:type="dxa"/>
            <w:vAlign w:val="bottom"/>
            <w:gridSpan w:val="15"/>
          </w:tcPr>
          <w:p>
            <w:pPr>
              <w:spacing w:after="0"/>
              <w:rPr>
                <w:sz w:val="20"/>
                <w:szCs w:val="20"/>
                <w:color w:val="auto"/>
              </w:rPr>
            </w:pPr>
            <w:r>
              <w:rPr>
                <w:rFonts w:ascii="Arial" w:cs="Arial" w:eastAsia="Arial" w:hAnsi="Arial"/>
                <w:sz w:val="14"/>
                <w:szCs w:val="14"/>
                <w:color w:val="0000EE"/>
              </w:rPr>
              <w:t>Amendment</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8.04</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Extension; Waiver</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2100" w:type="dxa"/>
            <w:vAlign w:val="bottom"/>
            <w:gridSpan w:val="6"/>
          </w:tcPr>
          <w:p>
            <w:pPr>
              <w:ind w:left="140"/>
              <w:spacing w:after="0"/>
              <w:rPr>
                <w:sz w:val="20"/>
                <w:szCs w:val="20"/>
                <w:color w:val="auto"/>
              </w:rPr>
            </w:pPr>
            <w:r>
              <w:rPr>
                <w:rFonts w:ascii="Arial" w:cs="Arial" w:eastAsia="Arial" w:hAnsi="Arial"/>
                <w:sz w:val="14"/>
                <w:szCs w:val="14"/>
                <w:color w:val="0000EE"/>
              </w:rPr>
              <w:t>Article IX General Provisions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9.01</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Nonsurvival of Representations and Warranties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340" w:type="dxa"/>
            <w:vAlign w:val="bottom"/>
            <w:tcBorders>
              <w:top w:val="single" w:sz="8" w:color="0000EE"/>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9.02</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Notices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9.03</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Expenses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9.04</w:t>
            </w:r>
          </w:p>
        </w:tc>
        <w:tc>
          <w:tcPr>
            <w:tcW w:w="4680" w:type="dxa"/>
            <w:vAlign w:val="bottom"/>
            <w:gridSpan w:val="15"/>
          </w:tcPr>
          <w:p>
            <w:pPr>
              <w:spacing w:after="0"/>
              <w:rPr>
                <w:sz w:val="20"/>
                <w:szCs w:val="20"/>
                <w:color w:val="auto"/>
              </w:rPr>
            </w:pPr>
            <w:r>
              <w:rPr>
                <w:rFonts w:ascii="Arial" w:cs="Arial" w:eastAsia="Arial" w:hAnsi="Arial"/>
                <w:sz w:val="14"/>
                <w:szCs w:val="14"/>
                <w:color w:val="0000EE"/>
              </w:rPr>
              <w:t>Severability</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9.05</w:t>
            </w:r>
          </w:p>
        </w:tc>
        <w:tc>
          <w:tcPr>
            <w:tcW w:w="4680" w:type="dxa"/>
            <w:vAlign w:val="bottom"/>
            <w:gridSpan w:val="15"/>
          </w:tcPr>
          <w:p>
            <w:pPr>
              <w:spacing w:after="0"/>
              <w:rPr>
                <w:sz w:val="20"/>
                <w:szCs w:val="20"/>
                <w:color w:val="auto"/>
              </w:rPr>
            </w:pPr>
            <w:r>
              <w:rPr>
                <w:rFonts w:ascii="Arial" w:cs="Arial" w:eastAsia="Arial" w:hAnsi="Arial"/>
                <w:sz w:val="14"/>
                <w:szCs w:val="14"/>
                <w:color w:val="0000EE"/>
              </w:rPr>
              <w:t>Counterparts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9.06</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Entire Agreement; No Third-Party Beneficiaries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340" w:type="dxa"/>
            <w:vAlign w:val="bottom"/>
            <w:tcBorders>
              <w:top w:val="single" w:sz="8" w:color="0000EE"/>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9.07</w:t>
            </w:r>
          </w:p>
        </w:tc>
        <w:tc>
          <w:tcPr>
            <w:tcW w:w="4680" w:type="dxa"/>
            <w:vAlign w:val="bottom"/>
            <w:gridSpan w:val="15"/>
          </w:tcPr>
          <w:p>
            <w:pPr>
              <w:spacing w:after="0"/>
              <w:rPr>
                <w:sz w:val="20"/>
                <w:szCs w:val="20"/>
                <w:color w:val="auto"/>
              </w:rPr>
            </w:pPr>
            <w:r>
              <w:rPr>
                <w:rFonts w:ascii="Arial" w:cs="Arial" w:eastAsia="Arial" w:hAnsi="Arial"/>
                <w:sz w:val="14"/>
                <w:szCs w:val="14"/>
                <w:color w:val="0000EE"/>
              </w:rPr>
              <w:t>Assignment</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9.08</w:t>
            </w:r>
          </w:p>
        </w:tc>
        <w:tc>
          <w:tcPr>
            <w:tcW w:w="4680" w:type="dxa"/>
            <w:vAlign w:val="bottom"/>
            <w:gridSpan w:val="15"/>
          </w:tcPr>
          <w:p>
            <w:pPr>
              <w:spacing w:after="0"/>
              <w:rPr>
                <w:sz w:val="20"/>
                <w:szCs w:val="20"/>
                <w:color w:val="auto"/>
              </w:rPr>
            </w:pPr>
            <w:r>
              <w:rPr>
                <w:rFonts w:ascii="Arial" w:cs="Arial" w:eastAsia="Arial" w:hAnsi="Arial"/>
                <w:sz w:val="14"/>
                <w:szCs w:val="14"/>
                <w:color w:val="0000EE"/>
              </w:rPr>
              <w:t>Governing Law</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9.09</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Enforcement; Exclusive Jurisdiction; Waiver of Jury Trial</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34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9.10</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 Impairment</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9.11</w:t>
            </w:r>
          </w:p>
        </w:tc>
        <w:tc>
          <w:tcPr>
            <w:tcW w:w="4680" w:type="dxa"/>
            <w:vAlign w:val="bottom"/>
            <w:gridSpan w:val="15"/>
          </w:tcPr>
          <w:p>
            <w:pPr>
              <w:spacing w:after="0"/>
              <w:rPr>
                <w:sz w:val="20"/>
                <w:szCs w:val="20"/>
                <w:color w:val="auto"/>
              </w:rPr>
            </w:pPr>
            <w:r>
              <w:rPr>
                <w:rFonts w:ascii="Arial" w:cs="Arial" w:eastAsia="Arial" w:hAnsi="Arial"/>
                <w:sz w:val="14"/>
                <w:szCs w:val="14"/>
                <w:color w:val="0000EE"/>
              </w:rPr>
              <w:t>Release</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A-50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9.12</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 Other Representations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A-50</w:t>
            </w:r>
          </w:p>
        </w:tc>
      </w:tr>
      <w:tr>
        <w:trPr>
          <w:trHeight w:val="48"/>
        </w:trPr>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Schedule A – Proxy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Schedule B – Post-Closing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A – Transaction Bonus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B – Form of Conversion Notice and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C – Form of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D – Form of Amended and Restated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E – Form of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F – Form of New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G – Form of Rights Offering Backstop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4864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104"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This EXCHANGE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20, 2025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between CHS US Investments LLC, a Cayman limited liability company (“</w:t>
      </w:r>
      <w:r>
        <w:rPr>
          <w:rFonts w:ascii="Arial" w:cs="Arial" w:eastAsia="Arial" w:hAnsi="Arial"/>
          <w:sz w:val="18"/>
          <w:szCs w:val="18"/>
          <w:u w:val="single" w:color="auto"/>
          <w:color w:val="auto"/>
        </w:rPr>
        <w:t>Lender</w:t>
      </w:r>
      <w:r>
        <w:rPr>
          <w:rFonts w:ascii="Arial" w:cs="Arial" w:eastAsia="Arial" w:hAnsi="Arial"/>
          <w:sz w:val="18"/>
          <w:szCs w:val="18"/>
          <w:color w:val="auto"/>
        </w:rPr>
        <w:t>”), and Rent the Runway,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Lender and the Company are each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04"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WHEREAS, the Company is party to that certain Credit Agreement, dated as of July 23, 2018, by and among the Company, as borrower, Lender, in its capacity as lender, and CHS (US) Management LLC (as successor-in-interest to Double Helix Pte Ltd.), in its capacity as administrative agent for Lender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(as amended, restated, amended and restated, supplemented or otherwise modified to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68" w:lineRule="exact"/>
        <w:rPr>
          <w:sz w:val="20"/>
          <w:szCs w:val="20"/>
          <w:color w:val="auto"/>
        </w:rPr>
      </w:pPr>
    </w:p>
    <w:p>
      <w:pPr>
        <w:ind w:left="300" w:right="539"/>
        <w:spacing w:after="0" w:line="253" w:lineRule="auto"/>
        <w:rPr>
          <w:sz w:val="20"/>
          <w:szCs w:val="20"/>
          <w:color w:val="auto"/>
        </w:rPr>
      </w:pPr>
      <w:r>
        <w:rPr>
          <w:rFonts w:ascii="Arial" w:cs="Arial" w:eastAsia="Arial" w:hAnsi="Arial"/>
          <w:sz w:val="18"/>
          <w:szCs w:val="18"/>
          <w:color w:val="auto"/>
        </w:rPr>
        <w:t>WHEREAS, Lender and the Company have agreed to consummate the Exchange Transactions (as defined herein) at the Closing (as defined herein) upon the terms and subject to the conditions set forth herein;</w:t>
      </w:r>
    </w:p>
    <w:p>
      <w:pPr>
        <w:spacing w:after="0" w:line="61" w:lineRule="exact"/>
        <w:rPr>
          <w:sz w:val="20"/>
          <w:szCs w:val="20"/>
          <w:color w:val="auto"/>
        </w:rPr>
      </w:pPr>
    </w:p>
    <w:p>
      <w:pPr>
        <w:ind w:left="300" w:right="659"/>
        <w:spacing w:after="0" w:line="253"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previously established a Finance Committee of the Company Board (the “</w:t>
      </w:r>
      <w:r>
        <w:rPr>
          <w:rFonts w:ascii="Arial" w:cs="Arial" w:eastAsia="Arial" w:hAnsi="Arial"/>
          <w:sz w:val="18"/>
          <w:szCs w:val="18"/>
          <w:u w:val="single" w:color="auto"/>
          <w:color w:val="auto"/>
        </w:rPr>
        <w:t>Finance Committee</w:t>
      </w:r>
      <w:r>
        <w:rPr>
          <w:rFonts w:ascii="Arial" w:cs="Arial" w:eastAsia="Arial" w:hAnsi="Arial"/>
          <w:sz w:val="18"/>
          <w:szCs w:val="18"/>
          <w:color w:val="auto"/>
        </w:rPr>
        <w:t>”) to, among other things, review, direct and oversee potential financing and strategic transactions;</w:t>
      </w:r>
    </w:p>
    <w:p>
      <w:pPr>
        <w:spacing w:after="0" w:line="61"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WHEREAS, the Finance Committee has (i) determined that the terms of this Agreement and the other Principal Transaction Documents (as defined herein) and the Transactions (as defined herein), including the Exchange Transactions (as defined herein), are fair to, and in the best interests of, the Company and its stockholders (the “</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xml:space="preserve">”), (ii) determined that it is in the best interests of the Company and the Company Stockholders and declared it advisable that the Company enter into this Agreement and the other Principal Transaction Documents, and (iii) resolved to recommend that the Company Board (a) adopt resolutions approving the execution and delivery by the Company of this Agreement and the other Principal Transaction Documents, the performance by the Company of its covenants and agreements contained herein and therein and the consummation of the Exchange Transactions and the other Transactions upon the terms and subject to the conditions contained herein and in the other Principal Transaction Documents, (b) adopt resolutions recommending that the Company Stockholders vote to approve (1) the issuance of the Exchange Stock (as defined herein) and shares of Class A Common Stock (as defined herein) issuable pursuant to the Rights Offering Backstop Agreement (as defined herein), (2) the MIP (as defined herein) and (3) the Amended and Restated Charter (as defined herein), in each case, pursuant to the terms of this Agreement, and (c) direct that the matters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 submitted for approval by the Company Stockholders at the Company Stockholders Meeting (as defined herein) (this </w:t>
      </w:r>
      <w:r>
        <w:rPr>
          <w:rFonts w:ascii="Arial" w:cs="Arial" w:eastAsia="Arial" w:hAnsi="Arial"/>
          <w:sz w:val="18"/>
          <w:szCs w:val="18"/>
          <w:u w:val="single" w:color="auto"/>
          <w:color w:val="auto"/>
        </w:rPr>
        <w:t>clause (iii)</w:t>
      </w:r>
      <w:r>
        <w:rPr>
          <w:rFonts w:ascii="Arial" w:cs="Arial" w:eastAsia="Arial" w:hAnsi="Arial"/>
          <w:sz w:val="18"/>
          <w:szCs w:val="18"/>
          <w:color w:val="auto"/>
        </w:rPr>
        <w:t>, the “</w:t>
      </w:r>
      <w:r>
        <w:rPr>
          <w:rFonts w:ascii="Arial" w:cs="Arial" w:eastAsia="Arial" w:hAnsi="Arial"/>
          <w:sz w:val="18"/>
          <w:szCs w:val="18"/>
          <w:u w:val="single" w:color="auto"/>
          <w:color w:val="auto"/>
        </w:rPr>
        <w:t>Finance Committee Recommendation</w:t>
      </w:r>
      <w:r>
        <w:rPr>
          <w:rFonts w:ascii="Arial" w:cs="Arial" w:eastAsia="Arial" w:hAnsi="Arial"/>
          <w:sz w:val="18"/>
          <w:szCs w:val="18"/>
          <w:color w:val="auto"/>
        </w:rPr>
        <w: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WHEREAS, the Company Board, acting upon the Finance Committee Recommendation, has (i)</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determined that the terms of this Agreement and the other Principal Transaction Documents and the</w:t>
      </w:r>
    </w:p>
    <w:p>
      <w:pPr>
        <w:ind w:left="300"/>
        <w:spacing w:after="0" w:line="234" w:lineRule="auto"/>
        <w:rPr>
          <w:sz w:val="20"/>
          <w:szCs w:val="20"/>
          <w:color w:val="auto"/>
        </w:rPr>
      </w:pPr>
      <w:r>
        <w:rPr>
          <w:rFonts w:ascii="Arial" w:cs="Arial" w:eastAsia="Arial" w:hAnsi="Arial"/>
          <w:sz w:val="18"/>
          <w:szCs w:val="18"/>
          <w:color w:val="auto"/>
        </w:rPr>
        <w:t>Transactions, including the Exchange Transactions, are fair to, and in the best interests of, the Company</w:t>
      </w:r>
    </w:p>
    <w:p>
      <w:pPr>
        <w:ind w:left="300"/>
        <w:spacing w:after="0" w:line="235" w:lineRule="auto"/>
        <w:rPr>
          <w:sz w:val="20"/>
          <w:szCs w:val="20"/>
          <w:color w:val="auto"/>
        </w:rPr>
      </w:pPr>
      <w:r>
        <w:rPr>
          <w:rFonts w:ascii="Arial" w:cs="Arial" w:eastAsia="Arial" w:hAnsi="Arial"/>
          <w:sz w:val="18"/>
          <w:szCs w:val="18"/>
          <w:color w:val="auto"/>
        </w:rPr>
        <w:t>and the Company Stockholders, (ii) determined that it is in the best interests of the Company and the</w:t>
      </w:r>
    </w:p>
    <w:p>
      <w:pPr>
        <w:ind w:left="300"/>
        <w:spacing w:after="0" w:line="235" w:lineRule="auto"/>
        <w:rPr>
          <w:sz w:val="20"/>
          <w:szCs w:val="20"/>
          <w:color w:val="auto"/>
        </w:rPr>
      </w:pPr>
      <w:r>
        <w:rPr>
          <w:rFonts w:ascii="Arial" w:cs="Arial" w:eastAsia="Arial" w:hAnsi="Arial"/>
          <w:sz w:val="18"/>
          <w:szCs w:val="18"/>
          <w:color w:val="auto"/>
        </w:rPr>
        <w:t>Company Stockholders and declared it advisable that the Company enter into this Agreement and the</w:t>
      </w:r>
    </w:p>
    <w:p>
      <w:pPr>
        <w:ind w:left="300"/>
        <w:spacing w:after="0" w:line="235" w:lineRule="auto"/>
        <w:rPr>
          <w:sz w:val="20"/>
          <w:szCs w:val="20"/>
          <w:color w:val="auto"/>
        </w:rPr>
      </w:pPr>
      <w:r>
        <w:rPr>
          <w:rFonts w:ascii="Arial" w:cs="Arial" w:eastAsia="Arial" w:hAnsi="Arial"/>
          <w:sz w:val="18"/>
          <w:szCs w:val="18"/>
          <w:color w:val="auto"/>
        </w:rPr>
        <w:t>other Principal Transaction Documents, (iii) approved the execution and delivery by the Company of this</w:t>
      </w:r>
    </w:p>
    <w:p>
      <w:pPr>
        <w:ind w:left="300"/>
        <w:spacing w:after="0" w:line="235" w:lineRule="auto"/>
        <w:rPr>
          <w:sz w:val="20"/>
          <w:szCs w:val="20"/>
          <w:color w:val="auto"/>
        </w:rPr>
      </w:pPr>
      <w:r>
        <w:rPr>
          <w:rFonts w:ascii="Arial" w:cs="Arial" w:eastAsia="Arial" w:hAnsi="Arial"/>
          <w:sz w:val="18"/>
          <w:szCs w:val="18"/>
          <w:color w:val="auto"/>
        </w:rPr>
        <w:t>Agreement and the other Principal Transaction Documents, the performance by the Company of its</w:t>
      </w:r>
    </w:p>
    <w:p>
      <w:pPr>
        <w:ind w:left="300"/>
        <w:spacing w:after="0" w:line="234" w:lineRule="auto"/>
        <w:rPr>
          <w:sz w:val="20"/>
          <w:szCs w:val="20"/>
          <w:color w:val="auto"/>
        </w:rPr>
      </w:pPr>
      <w:r>
        <w:rPr>
          <w:rFonts w:ascii="Arial" w:cs="Arial" w:eastAsia="Arial" w:hAnsi="Arial"/>
          <w:sz w:val="18"/>
          <w:szCs w:val="18"/>
          <w:color w:val="auto"/>
        </w:rPr>
        <w:t>covenants and agreements contained herein and therein and the consummation of the Exchange</w:t>
      </w:r>
    </w:p>
    <w:p>
      <w:pPr>
        <w:ind w:left="300"/>
        <w:spacing w:after="0" w:line="235" w:lineRule="auto"/>
        <w:rPr>
          <w:sz w:val="20"/>
          <w:szCs w:val="20"/>
          <w:color w:val="auto"/>
        </w:rPr>
      </w:pPr>
      <w:r>
        <w:rPr>
          <w:rFonts w:ascii="Arial" w:cs="Arial" w:eastAsia="Arial" w:hAnsi="Arial"/>
          <w:sz w:val="18"/>
          <w:szCs w:val="18"/>
          <w:color w:val="auto"/>
        </w:rPr>
        <w:t>Transactions and the other Transactions upon the terms and subject to the conditions contained herein</w:t>
      </w:r>
    </w:p>
    <w:p>
      <w:pPr>
        <w:ind w:left="300"/>
        <w:spacing w:after="0" w:line="235" w:lineRule="auto"/>
        <w:rPr>
          <w:sz w:val="20"/>
          <w:szCs w:val="20"/>
          <w:color w:val="auto"/>
        </w:rPr>
      </w:pPr>
      <w:r>
        <w:rPr>
          <w:rFonts w:ascii="Arial" w:cs="Arial" w:eastAsia="Arial" w:hAnsi="Arial"/>
          <w:sz w:val="18"/>
          <w:szCs w:val="18"/>
          <w:color w:val="auto"/>
        </w:rPr>
        <w:t>and in the other Principal Transaction Documents, (iv) resolved to recommend that the Company</w:t>
      </w:r>
    </w:p>
    <w:p>
      <w:pPr>
        <w:ind w:left="300"/>
        <w:spacing w:after="0" w:line="235" w:lineRule="auto"/>
        <w:rPr>
          <w:sz w:val="20"/>
          <w:szCs w:val="20"/>
          <w:color w:val="auto"/>
        </w:rPr>
      </w:pPr>
      <w:r>
        <w:rPr>
          <w:rFonts w:ascii="Arial" w:cs="Arial" w:eastAsia="Arial" w:hAnsi="Arial"/>
          <w:sz w:val="18"/>
          <w:szCs w:val="18"/>
          <w:color w:val="auto"/>
        </w:rPr>
        <w:t>Stockholders vote to approve (a) the issuance of the Exchange Stock and shares of Class A Common</w:t>
      </w:r>
    </w:p>
    <w:p>
      <w:pPr>
        <w:ind w:left="300"/>
        <w:spacing w:after="0" w:line="235" w:lineRule="auto"/>
        <w:rPr>
          <w:sz w:val="20"/>
          <w:szCs w:val="20"/>
          <w:color w:val="auto"/>
        </w:rPr>
      </w:pPr>
      <w:r>
        <w:rPr>
          <w:rFonts w:ascii="Arial" w:cs="Arial" w:eastAsia="Arial" w:hAnsi="Arial"/>
          <w:sz w:val="18"/>
          <w:szCs w:val="18"/>
          <w:color w:val="auto"/>
        </w:rPr>
        <w:t>Stock issuable pursuant to the Rights Offering Backstop Agreement, (b) the MIP and (c) the Amended</w:t>
      </w:r>
    </w:p>
    <w:p>
      <w:pPr>
        <w:ind w:left="300"/>
        <w:spacing w:after="0" w:line="234" w:lineRule="auto"/>
        <w:rPr>
          <w:sz w:val="20"/>
          <w:szCs w:val="20"/>
          <w:color w:val="auto"/>
        </w:rPr>
      </w:pPr>
      <w:r>
        <w:rPr>
          <w:rFonts w:ascii="Arial" w:cs="Arial" w:eastAsia="Arial" w:hAnsi="Arial"/>
          <w:sz w:val="18"/>
          <w:szCs w:val="18"/>
          <w:color w:val="auto"/>
        </w:rPr>
        <w:t xml:space="preserve">and Restated Charter, in each case, pursuant to the terms of this Agreement (this </w:t>
      </w:r>
      <w:r>
        <w:rPr>
          <w:rFonts w:ascii="Arial" w:cs="Arial" w:eastAsia="Arial" w:hAnsi="Arial"/>
          <w:sz w:val="18"/>
          <w:szCs w:val="18"/>
          <w:u w:val="single" w:color="auto"/>
          <w:color w:val="auto"/>
        </w:rPr>
        <w:t>clause (iv)</w:t>
      </w:r>
      <w:r>
        <w:rPr>
          <w:rFonts w:ascii="Arial" w:cs="Arial" w:eastAsia="Arial" w:hAnsi="Arial"/>
          <w:sz w:val="18"/>
          <w:szCs w:val="18"/>
          <w:color w:val="auto"/>
        </w:rPr>
        <w:t>, the</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xml:space="preserve">”), and (v) directed that the matters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 submitted for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approval by the Company Stockholders at the Company Stockholders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WHEREAS, the Investment Committee of Lender has (i) declared it advisable that Lender enter into this Agreement and (ii) approved the execution and delivery by Lender of this Agreement and the other Transaction Documents (as defined herein), the performance by Lender of its covenants and agreements contained herein and therein and the consummation of the Exchange Transactions and the other Transactions upon the terms and subject to the conditions contained herein and in the other Transaction Documents;</w:t>
      </w:r>
    </w:p>
    <w:p>
      <w:pPr>
        <w:spacing w:after="0" w:line="71"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WHEREAS, concurrently with the execution and delivery of this Agreement, Gateway Runway, LLC, a Delaware limited liability company (“</w:t>
      </w:r>
      <w:r>
        <w:rPr>
          <w:rFonts w:ascii="Arial" w:cs="Arial" w:eastAsia="Arial" w:hAnsi="Arial"/>
          <w:sz w:val="18"/>
          <w:szCs w:val="18"/>
          <w:u w:val="single" w:color="auto"/>
          <w:color w:val="auto"/>
        </w:rPr>
        <w:t>Nexus</w:t>
      </w:r>
      <w:r>
        <w:rPr>
          <w:rFonts w:ascii="Arial" w:cs="Arial" w:eastAsia="Arial" w:hAnsi="Arial"/>
          <w:sz w:val="18"/>
          <w:szCs w:val="18"/>
          <w:color w:val="auto"/>
        </w:rPr>
        <w:t>”), S3 RR Aggregator, LLC, a Delaware limited liability company (“</w:t>
      </w:r>
      <w:r>
        <w:rPr>
          <w:rFonts w:ascii="Arial" w:cs="Arial" w:eastAsia="Arial" w:hAnsi="Arial"/>
          <w:sz w:val="18"/>
          <w:szCs w:val="18"/>
          <w:u w:val="single" w:color="auto"/>
          <w:color w:val="auto"/>
        </w:rPr>
        <w:t>Story3</w:t>
      </w:r>
      <w:r>
        <w:rPr>
          <w:rFonts w:ascii="Arial" w:cs="Arial" w:eastAsia="Arial" w:hAnsi="Arial"/>
          <w:sz w:val="18"/>
          <w:szCs w:val="18"/>
          <w:color w:val="auto"/>
        </w:rPr>
        <w:t>” and collectively with Nexus and Lender, the “</w:t>
      </w:r>
      <w:r>
        <w:rPr>
          <w:rFonts w:ascii="Arial" w:cs="Arial" w:eastAsia="Arial" w:hAnsi="Arial"/>
          <w:sz w:val="18"/>
          <w:szCs w:val="18"/>
          <w:u w:val="single" w:color="auto"/>
          <w:color w:val="auto"/>
        </w:rPr>
        <w:t>Investor Group</w:t>
      </w:r>
      <w:r>
        <w:rPr>
          <w:rFonts w:ascii="Arial" w:cs="Arial" w:eastAsia="Arial" w:hAnsi="Arial"/>
          <w:sz w:val="18"/>
          <w:szCs w:val="18"/>
          <w:color w:val="auto"/>
        </w:rPr>
        <w:t>”), Lender and, solely with respect to certain sections thereof, the Company have executed and delivered that certain Debt and Equity Purchase Agreement, pursuant to which, among other things, (i) Nexus has agreed to purchase $15,000,000 of the New Term Loans (as defined herein) and 15% of the Exchange Stock from Lender for an aggregate purchase price of $ 15,000,000, and (ii) Story3 has agreed to purchase $15,000,000 of the New Term Loans and 15% of the Exchange Stock from Lender for an aggregate purchase price of $15,000,000 (the “</w:t>
      </w:r>
      <w:r>
        <w:rPr>
          <w:rFonts w:ascii="Arial" w:cs="Arial" w:eastAsia="Arial" w:hAnsi="Arial"/>
          <w:sz w:val="18"/>
          <w:szCs w:val="18"/>
          <w:u w:val="single" w:color="auto"/>
          <w:color w:val="auto"/>
        </w:rPr>
        <w:t>Debt and Equity Purchase Agreement</w:t>
      </w:r>
      <w:r>
        <w:rPr>
          <w:rFonts w:ascii="Arial" w:cs="Arial" w:eastAsia="Arial" w:hAnsi="Arial"/>
          <w:sz w:val="18"/>
          <w:szCs w:val="18"/>
          <w:color w:val="auto"/>
        </w:rPr>
        <w:t>”);</w:t>
      </w:r>
    </w:p>
    <w:p>
      <w:pPr>
        <w:spacing w:after="0" w:line="75"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WHEREAS, as a condition and material inducement to Lender’s willingness to enter into this Agreement and consummate the Transactions, (i) concurrently with the execution and delivery of this Agreement, the Company’s Chief Executive Officer has entered into an amendment to her amended and restated employment agreement with the Company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xml:space="preserve">”), which shall become effective upon the Closing, and (ii) prior to the execution and delivery of this Agreement, the Company entered into an amendment to the Transaction Bonus Plan,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Transaction Bonus Plan Amendment</w:t>
      </w:r>
      <w:r>
        <w:rPr>
          <w:rFonts w:ascii="Arial" w:cs="Arial" w:eastAsia="Arial" w:hAnsi="Arial"/>
          <w:sz w:val="18"/>
          <w:szCs w:val="18"/>
          <w:color w:val="auto"/>
        </w:rPr>
        <w:t>”);</w:t>
      </w:r>
    </w:p>
    <w:p>
      <w:pPr>
        <w:spacing w:after="0" w:line="77"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WHEREAS, concurrently with the execution and delivery of this Agreement, as a condition and material inducement to Lender’s willingness to enter into this Agreement and consummate the Transactions, each Company Stockholder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Proxy Stockholders</w:t>
      </w:r>
      <w:r>
        <w:rPr>
          <w:rFonts w:ascii="Arial" w:cs="Arial" w:eastAsia="Arial" w:hAnsi="Arial"/>
          <w:sz w:val="18"/>
          <w:szCs w:val="18"/>
          <w:color w:val="auto"/>
        </w:rPr>
        <w:t xml:space="preserve">”) has executed and delivered to the Company and Lender a Conversion Notice and Proxy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Conversion Notices</w:t>
      </w:r>
      <w:r>
        <w:rPr>
          <w:rFonts w:ascii="Arial" w:cs="Arial" w:eastAsia="Arial" w:hAnsi="Arial"/>
          <w:sz w:val="18"/>
          <w:szCs w:val="18"/>
          <w:color w:val="auto"/>
        </w:rPr>
        <w:t>”), pursuant to which, each such Proxy Stockholder (i) has opted to convert his, her or its respective shares of Class B Common Stock (as defined herein) into shares of Class A Common Stock pursuant to Article IV and Section 4.7(a) of the Company Charter, effective immediately prior to (A) the effectiveness of the Amended and Restated Charter, or (B) if the Amended and Restated Charter Approval (as defined herein) is not obtained at the Company Stockholders Meeting, the Closing (the “</w:t>
      </w:r>
      <w:r>
        <w:rPr>
          <w:rFonts w:ascii="Arial" w:cs="Arial" w:eastAsia="Arial" w:hAnsi="Arial"/>
          <w:sz w:val="18"/>
          <w:szCs w:val="18"/>
          <w:u w:val="single" w:color="auto"/>
          <w:color w:val="auto"/>
        </w:rPr>
        <w:t>Conversions</w:t>
      </w:r>
      <w:r>
        <w:rPr>
          <w:rFonts w:ascii="Arial" w:cs="Arial" w:eastAsia="Arial" w:hAnsi="Arial"/>
          <w:sz w:val="18"/>
          <w:szCs w:val="18"/>
          <w:color w:val="auto"/>
        </w:rPr>
        <w:t xml:space="preserve">”), and (ii) granted to certain officers of the Company, at the request of the Company Board, a proxy to vote (or cause to be voted) all shares of Company Common Stock held by them at the Company Stockholders Meeting in favor of the issuance of the Exchange Stock and the Amended and Restated Charter (the proxy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the “</w:t>
      </w:r>
      <w:r>
        <w:rPr>
          <w:rFonts w:ascii="Arial" w:cs="Arial" w:eastAsia="Arial" w:hAnsi="Arial"/>
          <w:sz w:val="18"/>
          <w:szCs w:val="18"/>
          <w:u w:val="single" w:color="auto"/>
          <w:color w:val="auto"/>
        </w:rPr>
        <w:t>Proxy</w:t>
      </w:r>
      <w:r>
        <w:rPr>
          <w:rFonts w:ascii="Arial" w:cs="Arial" w:eastAsia="Arial" w:hAnsi="Arial"/>
          <w:sz w:val="18"/>
          <w:szCs w:val="18"/>
          <w:color w:val="auto"/>
        </w:rPr>
        <w:t>”);</w:t>
      </w:r>
    </w:p>
    <w:p>
      <w:pPr>
        <w:spacing w:after="0" w:line="81"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WHEREAS, concurrently with the execution and delivery of this Agreement, in connection with the launch of the Rights Offering (as defined herein) pursuant to the terms of this Agreement, the Investor Group and the Company have entered into the Rights Offering Backstop Agreement (as defined herein); and</w:t>
      </w:r>
    </w:p>
    <w:p>
      <w:pPr>
        <w:spacing w:after="0" w:line="61"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WHEREAS, at the Closing, the Investor Group, the Agent and the Company will enter into the New Credit Agreement (as defined herein), and, concurrently with the execution and delivery of this Agreement, the Investor Group and the Company have entered into the Investor Rights Agreement (as defined herein), which Investor Rights Agreement will be effective at the Closing.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59"/>
        <w:spacing w:after="0" w:line="253"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subject to the conditions set forth herein, the Parties hereby agree as follows:</w:t>
      </w:r>
    </w:p>
    <w:p>
      <w:pPr>
        <w:spacing w:after="0" w:line="18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ARTICLE I</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Definitions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Plan</w:t>
      </w:r>
      <w:r>
        <w:rPr>
          <w:rFonts w:ascii="Arial" w:cs="Arial" w:eastAsia="Arial" w:hAnsi="Arial"/>
          <w:sz w:val="18"/>
          <w:szCs w:val="18"/>
          <w:color w:val="auto"/>
        </w:rPr>
        <w:t>” means the Rent the Runway, Inc. Amended and Restated 2021 Incentive Award Plan.</w:t>
      </w:r>
    </w:p>
    <w:p>
      <w:pPr>
        <w:spacing w:after="0" w:line="104" w:lineRule="exact"/>
        <w:rPr>
          <w:sz w:val="20"/>
          <w:szCs w:val="20"/>
          <w:color w:val="auto"/>
        </w:rPr>
      </w:pPr>
    </w:p>
    <w:p>
      <w:pPr>
        <w:ind w:left="660" w:right="119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action, suit, claim, arbitration, litigation, mediation, audit, investigation, examination or other proceeding, in each case, by or before any Governmental Authority.</w:t>
      </w:r>
    </w:p>
    <w:p>
      <w:pPr>
        <w:spacing w:after="0" w:line="23" w:lineRule="exact"/>
        <w:rPr>
          <w:sz w:val="20"/>
          <w:szCs w:val="20"/>
          <w:color w:val="auto"/>
        </w:rPr>
      </w:pPr>
    </w:p>
    <w:p>
      <w:pPr>
        <w:jc w:val="both"/>
        <w:ind w:left="660" w:right="439"/>
        <w:spacing w:after="0" w:line="301" w:lineRule="auto"/>
        <w:rPr>
          <w:sz w:val="20"/>
          <w:szCs w:val="20"/>
          <w:color w:val="auto"/>
        </w:rPr>
      </w:pPr>
      <w:r>
        <w:rPr>
          <w:rFonts w:ascii="Arial" w:cs="Arial" w:eastAsia="Arial" w:hAnsi="Arial"/>
          <w:sz w:val="17"/>
          <w:szCs w:val="17"/>
          <w:color w:val="auto"/>
        </w:rPr>
        <w:t>An “</w:t>
      </w:r>
      <w:r>
        <w:rPr>
          <w:rFonts w:ascii="Arial" w:cs="Arial" w:eastAsia="Arial" w:hAnsi="Arial"/>
          <w:sz w:val="17"/>
          <w:szCs w:val="17"/>
          <w:u w:val="single" w:color="auto"/>
          <w:color w:val="auto"/>
        </w:rPr>
        <w:t>Affiliate</w:t>
      </w:r>
      <w:r>
        <w:rPr>
          <w:rFonts w:ascii="Arial" w:cs="Arial" w:eastAsia="Arial" w:hAnsi="Arial"/>
          <w:sz w:val="17"/>
          <w:szCs w:val="17"/>
          <w:color w:val="auto"/>
        </w:rPr>
        <w:t>” or “</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another person that directly or indirectly, through one or more intermediaries, controls, is controlled by, or is under common control with, such first person.</w:t>
      </w:r>
    </w:p>
    <w:p>
      <w:pPr>
        <w:spacing w:after="0" w:line="23"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CHS (US) Management LLC, in its capacity as the administrative agent for lenders under the New Credit Agreement.</w:t>
      </w:r>
    </w:p>
    <w:p>
      <w:pPr>
        <w:spacing w:after="0" w:line="46"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xml:space="preserve">” means the Amended and Restated Bylaws of the Company to be adopted by the Company Board prior to or substantially concurrently with the Closing,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61" w:lineRule="exact"/>
        <w:rPr>
          <w:sz w:val="20"/>
          <w:szCs w:val="20"/>
          <w:color w:val="auto"/>
        </w:rPr>
      </w:pPr>
    </w:p>
    <w:p>
      <w:pPr>
        <w:ind w:left="660" w:right="9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Charter</w:t>
      </w:r>
      <w:r>
        <w:rPr>
          <w:rFonts w:ascii="Arial" w:cs="Arial" w:eastAsia="Arial" w:hAnsi="Arial"/>
          <w:sz w:val="18"/>
          <w:szCs w:val="18"/>
          <w:color w:val="auto"/>
        </w:rPr>
        <w:t xml:space="preserve">” means the Thirteenth Amended and Restated Certificate of Incorporation of the Company,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46" w:lineRule="exact"/>
        <w:rPr>
          <w:sz w:val="20"/>
          <w:szCs w:val="20"/>
          <w:color w:val="auto"/>
        </w:rPr>
      </w:pPr>
    </w:p>
    <w:p>
      <w:pPr>
        <w:ind w:left="660" w:right="65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Amended and Restated Charter Approval</w:t>
      </w:r>
      <w:r>
        <w:rPr>
          <w:rFonts w:ascii="Arial" w:cs="Arial" w:eastAsia="Arial" w:hAnsi="Arial"/>
          <w:sz w:val="17"/>
          <w:szCs w:val="17"/>
          <w:color w:val="auto"/>
        </w:rPr>
        <w:t>” means with respect to the Amended and Restated Charter, the affirmative vote of the holders of (i) a majority of the outstanding shares of Class B Common Stock voting separately as a class, and (ii) two-thirds of the voting power of all of the outstanding shares of Company Common Stock entitled to vote thereon, voting as a single class.</w:t>
      </w:r>
    </w:p>
    <w:p>
      <w:pPr>
        <w:spacing w:after="0" w:line="51"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any Laws related to the prevention of bribery and corruption, including the Foreign Corrupt Practices Act of 1977 and the UK Bribery Act 2010.</w:t>
      </w:r>
    </w:p>
    <w:p>
      <w:pPr>
        <w:spacing w:after="0" w:line="46" w:lineRule="exact"/>
        <w:rPr>
          <w:sz w:val="20"/>
          <w:szCs w:val="20"/>
          <w:color w:val="auto"/>
        </w:rPr>
      </w:pPr>
    </w:p>
    <w:p>
      <w:pPr>
        <w:ind w:left="660" w:right="47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the Sherman Antitrust Act, the Clayton Antitrust Act of 1914, the Hart-Scott-Rodino Antitrust Improvements Act of 1976, as amended, and all other federal, state, foreign or supranational statutes, rules, regulations, orders, decrees and other laws that are designed or intended to prohibit, restrict or regulate actions having the purpose or effect of monopolization or restraint of trade or competition.</w:t>
      </w:r>
    </w:p>
    <w:p>
      <w:pPr>
        <w:spacing w:after="0" w:line="68"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VWAP</w:t>
      </w:r>
      <w:r>
        <w:rPr>
          <w:rFonts w:ascii="Arial" w:cs="Arial" w:eastAsia="Arial" w:hAnsi="Arial"/>
          <w:sz w:val="18"/>
          <w:szCs w:val="18"/>
          <w:color w:val="auto"/>
        </w:rPr>
        <w:t>” per share over a certain period means the arithmetic average of the VWAP per share for each trading day in the relevant period.</w:t>
      </w:r>
    </w:p>
    <w:p>
      <w:pPr>
        <w:spacing w:after="0" w:line="46" w:lineRule="exact"/>
        <w:rPr>
          <w:sz w:val="20"/>
          <w:szCs w:val="20"/>
          <w:color w:val="auto"/>
        </w:rPr>
      </w:pPr>
    </w:p>
    <w:p>
      <w:pPr>
        <w:ind w:left="66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or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day on which banks are required or authorized by Law to close in New York, New York.</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Class A common stock of the Company, par value $0.001.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Class B common stock of the Company, par value $0.001.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104"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the Amended and Restated Bylaws of the Company, as amended and as in effect on the Effective Date.</w:t>
      </w:r>
    </w:p>
    <w:p>
      <w:pPr>
        <w:spacing w:after="0" w:line="46"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Twelfth Amended and Restated Certificate of Incorporation of the Company, as amended and as in effect on the Effective Date.</w:t>
      </w:r>
    </w:p>
    <w:p>
      <w:pPr>
        <w:spacing w:after="0" w:line="46" w:lineRule="exact"/>
        <w:rPr>
          <w:sz w:val="20"/>
          <w:szCs w:val="20"/>
          <w:color w:val="auto"/>
        </w:rPr>
      </w:pPr>
    </w:p>
    <w:p>
      <w:pPr>
        <w:ind w:left="660" w:right="10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collectively, the Class A Common Stock and the Class B Common Stock.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means (i) the Rent the Runway, Inc. 2009 Stock Incentive Plan, (ii) the Rent the Runway, Inc. 2019 Stock Incentive Plan and (iii) the 2021 Plan.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Governing Documents</w:t>
      </w:r>
      <w:r>
        <w:rPr>
          <w:rFonts w:ascii="Arial" w:cs="Arial" w:eastAsia="Arial" w:hAnsi="Arial"/>
          <w:sz w:val="18"/>
          <w:szCs w:val="18"/>
          <w:color w:val="auto"/>
        </w:rPr>
        <w:t>” means the Company Bylaws and the Company Charter.</w:t>
      </w:r>
    </w:p>
    <w:p>
      <w:pPr>
        <w:spacing w:after="0" w:line="104" w:lineRule="exact"/>
        <w:rPr>
          <w:sz w:val="20"/>
          <w:szCs w:val="20"/>
          <w:color w:val="auto"/>
        </w:rPr>
      </w:pPr>
    </w:p>
    <w:p>
      <w:pPr>
        <w:ind w:left="660" w:right="319"/>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xml:space="preserve">” means any change, effect, event, occurrence, state of facts or development that, taken alone or together with any other related or unrelated changes, effects, events, occurrences, states of facts or developments has had or would reasonably be expected to have a material adverse effect on (i) the business, financial condition or results of operations of the Company and its Subsidiaries, taken as a whole, or (ii) the ability of the Company to consummate the Exchange Transactions, except that, for purposes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in no event shall any change, effect, event, occurrence, state of facts or development arising from or related to the following be deemed to be or constitute a Company Material Adverse Effect or be taken into account when determining whether a Company Material Adverse Effect has occurred or would reasonably be expected to occur: (A) changes in economic, business or regulatory conditions, including inflation, trade wars, international trade related matters, trade agreements, anti-dumping actions and other trade actions, tariffs, executive orders and similar occurrences, any changes affecting financial, credit, foreign exchange, interest rates or capital market conditions and changes in the conditions generally of the industries, businesses, geographies or segments in which the Company and its Subsidiaries operate; (B) conditions affecting the United States economy or the global economy generally or political conditions (including results of elections) in the United States or any other jurisdiction in the world, including supply chain disruptions; (C) war (whether or not declared), acts of war, the commencement, continuation or escalation of a war, and in each case, any escalations, new participants or other changes therein, military conflicts, terrorism, insurrection, cyber attacks, cyber crimes, sabotage, earthquakes, hurricanes, tsunamis, tornadoes, nuclear disasters, wildfires, floods, mudslides, or other natural disasters or weather conditions, or any escalation or worsening of the foregoing threatened or underway as of the Effective Date; (D) disease outbreaks, epidemics or pandemics, and any material worsening thereof after the Effective Date; (E) changes in the financial, banking, capital or securities markets in the United States or any other country in the world;</w:t>
      </w:r>
    </w:p>
    <w:p>
      <w:pPr>
        <w:spacing w:after="0" w:line="14" w:lineRule="exact"/>
        <w:rPr>
          <w:sz w:val="20"/>
          <w:szCs w:val="20"/>
          <w:color w:val="auto"/>
        </w:rPr>
      </w:pPr>
    </w:p>
    <w:p>
      <w:pPr>
        <w:ind w:left="660" w:right="319" w:hanging="8"/>
        <w:spacing w:after="0" w:line="248"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GAAP or the binding interpretation thereof after the Effective Date; (G) changes in any Laws or the binding interpretation thereof after the Effective Date; (H) any failure in and of itself by the Company to meet any internal or published projections, forecasts, estimates or predictions in respect of revenues, earnings or other financial or operating metrics for any period after the Effective Date, or any change in and of itself in the market price or trading volume of the Company Common Stock (it being understood that the facts or causes underlying or contributing to any such failure or change may be considered in determining whether a Company Material Adverse Effect exists or has occurred or would reasonably be expected to exist or occur, except to the extent excluded by another clause of this definition); (I) changes in the Company’s credit rating (it being understood that the facts or causes underlying or contributing to any such failure or change may be considered in determining whether a Company Material Adverse Effect exists or has occurred or would reasonably be expected to exist or occur, except to the extent excluded by another clause of this definition); (J) the execution, delivery or consummation of this Agreement, the identity of Lender or the owners of Lender or the public announcement, pendency of the Exchange Transactions or any of the other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shall not diminish the effect of, and shall be disregarded for purposes of, the representations and warranties contained in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(K) any action taken or omitted to be taken, at the written request of, or with the written consent of, Lender; (L) the matters set forth on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of the Company Disclosure Letter; or (M) the taking of any specific action required by, or the failure to take any specific action expressly prohibited by, this Agreement (other than in accordance with provisions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660" w:right="479"/>
        <w:spacing w:after="0" w:line="279" w:lineRule="auto"/>
        <w:rPr>
          <w:rFonts w:ascii="Arial" w:cs="Arial" w:eastAsia="Arial" w:hAnsi="Arial"/>
          <w:sz w:val="17"/>
          <w:szCs w:val="17"/>
          <w:color w:val="auto"/>
        </w:rPr>
      </w:pP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to the extent disproportionately affecting the Company and its Subsidiaries relative to other comparable companies in the industries in which the Company and its Subsidiaries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operate, the incremental disproportionate adverse impact may be taken into account in determining whether a Company Material Adverse Effect has occurred or would reasonably be expected to occur, except to the extent excluded by another clause of this definition.</w:t>
      </w:r>
    </w:p>
    <w:p>
      <w:pPr>
        <w:spacing w:after="0" w:line="61" w:lineRule="exact"/>
        <w:rPr>
          <w:sz w:val="20"/>
          <w:szCs w:val="20"/>
          <w:color w:val="auto"/>
        </w:rPr>
      </w:pPr>
    </w:p>
    <w:p>
      <w:pPr>
        <w:ind w:left="660" w:right="10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by the Company under a Company Equity Plan or otherwise.</w:t>
      </w:r>
    </w:p>
    <w:p>
      <w:pPr>
        <w:spacing w:after="0" w:line="46"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means each restricted stock unit granted by the Company under a Company Equity Plan.</w:t>
      </w:r>
    </w:p>
    <w:p>
      <w:pPr>
        <w:spacing w:after="0" w:line="46" w:lineRule="exact"/>
        <w:rPr>
          <w:sz w:val="20"/>
          <w:szCs w:val="20"/>
          <w:color w:val="auto"/>
        </w:rPr>
      </w:pPr>
    </w:p>
    <w:p>
      <w:pPr>
        <w:ind w:left="660" w:right="4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means the following: (i) with respect to the issuance of the Exchange Stock pursuant to the terms of this Agreement, the affirmative vote of the holders of a majority of votes cast (excluding abstentions and broker non-votes) at a meeting at which a quorum is present; (ii) to the extent required by the requirements of Nasdaq with respect to the issuance of shares of Class A Common Stock issuable pursuant to the Rights Offering Backstop Agreement, the affirmative vote of the holders of a majority of votes cast (excluding abstentions and broker non-votes) at a meeting at which a quorum is present; and (iii) the Stockholder MIP Approval.</w:t>
      </w:r>
    </w:p>
    <w:p>
      <w:pPr>
        <w:spacing w:after="0" w:line="77"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means any contract, lease, license, indenture, note, bond, agreement, permit, concession, franchise or other instrument, whether written or oral; </w:t>
      </w:r>
      <w:r>
        <w:rPr>
          <w:rFonts w:ascii="Arial" w:cs="Arial" w:eastAsia="Arial" w:hAnsi="Arial"/>
          <w:sz w:val="18"/>
          <w:szCs w:val="18"/>
          <w:u w:val="single" w:color="auto"/>
          <w:color w:val="auto"/>
        </w:rPr>
        <w:t>provided</w:t>
      </w:r>
      <w:r>
        <w:rPr>
          <w:rFonts w:ascii="Arial" w:cs="Arial" w:eastAsia="Arial" w:hAnsi="Arial"/>
          <w:sz w:val="18"/>
          <w:szCs w:val="18"/>
          <w:color w:val="auto"/>
        </w:rPr>
        <w:t>, that no ERISA Document shall be deemed a Contract.</w:t>
      </w:r>
    </w:p>
    <w:p>
      <w:pPr>
        <w:spacing w:after="0" w:line="61" w:lineRule="exact"/>
        <w:rPr>
          <w:sz w:val="20"/>
          <w:szCs w:val="20"/>
          <w:color w:val="auto"/>
        </w:rPr>
      </w:pPr>
    </w:p>
    <w:p>
      <w:pPr>
        <w:ind w:left="660" w:right="4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by Contract or otherwise, including the ownership, directly or indirectly, of securities having the power to elect a majority of the board of directors or similar body governing the affairs of such person.</w:t>
      </w:r>
    </w:p>
    <w:p>
      <w:pPr>
        <w:spacing w:after="0" w:line="71" w:lineRule="exact"/>
        <w:rPr>
          <w:sz w:val="20"/>
          <w:szCs w:val="20"/>
          <w:color w:val="auto"/>
        </w:rPr>
      </w:pPr>
    </w:p>
    <w:p>
      <w:pPr>
        <w:ind w:left="660" w:right="11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Exchange Obligations</w:t>
      </w:r>
      <w:r>
        <w:rPr>
          <w:rFonts w:ascii="Arial" w:cs="Arial" w:eastAsia="Arial" w:hAnsi="Arial"/>
          <w:sz w:val="18"/>
          <w:szCs w:val="18"/>
          <w:color w:val="auto"/>
        </w:rPr>
        <w:t>” means Existing Obligations in an aggregate amount equal to $100,000,000.</w:t>
      </w:r>
    </w:p>
    <w:p>
      <w:pPr>
        <w:spacing w:after="0" w:line="46" w:lineRule="exact"/>
        <w:rPr>
          <w:sz w:val="20"/>
          <w:szCs w:val="20"/>
          <w:color w:val="auto"/>
        </w:rPr>
      </w:pPr>
    </w:p>
    <w:p>
      <w:pPr>
        <w:ind w:left="660" w:right="3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Affiliate</w:t>
      </w:r>
      <w:r>
        <w:rPr>
          <w:rFonts w:ascii="Arial" w:cs="Arial" w:eastAsia="Arial" w:hAnsi="Arial"/>
          <w:sz w:val="18"/>
          <w:szCs w:val="18"/>
          <w:color w:val="auto"/>
        </w:rPr>
        <w:t>” means any Affiliate of Lender designated by Lender to receive all or any portion of the Exchange Stock and/or New Term Loans on its behalf.</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w:t>
      </w:r>
    </w:p>
    <w:p>
      <w:pPr>
        <w:spacing w:after="0" w:line="104"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or Judgment relating to pollution, the protection, restoration or remediation of or prevention of harm to the environment or natural resources, or the protection of human health and safety, including any Law or Judgment relating to: (i) the exposure to, or Releases or threatened Releases of, Hazardous Substances; (ii) the generation, manufacture, processing, distribution, use, treatment, containment, disposal, storage, transport or handling of Hazardous Substances; or (iii) recordkeeping, notification, disclosure and reporting requirements respecting Hazardous Substances.</w:t>
      </w:r>
    </w:p>
    <w:p>
      <w:pPr>
        <w:spacing w:after="0" w:line="77" w:lineRule="exact"/>
        <w:rPr>
          <w:sz w:val="20"/>
          <w:szCs w:val="20"/>
          <w:color w:val="auto"/>
        </w:rPr>
      </w:pPr>
    </w:p>
    <w:p>
      <w:pPr>
        <w:ind w:left="660" w:right="12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Governmental Authorizations relating to or required by Environmental Laws.</w:t>
      </w:r>
    </w:p>
    <w:p>
      <w:pPr>
        <w:spacing w:after="0" w:line="46" w:lineRule="exact"/>
        <w:rPr>
          <w:sz w:val="20"/>
          <w:szCs w:val="20"/>
          <w:color w:val="auto"/>
        </w:rPr>
      </w:pPr>
    </w:p>
    <w:p>
      <w:pPr>
        <w:ind w:left="66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Exchange Obligations</w:t>
      </w:r>
      <w:r>
        <w:rPr>
          <w:rFonts w:ascii="Arial" w:cs="Arial" w:eastAsia="Arial" w:hAnsi="Arial"/>
          <w:sz w:val="18"/>
          <w:szCs w:val="18"/>
          <w:color w:val="auto"/>
        </w:rPr>
        <w:t>” means all Existing Obligations other than the Debt Exchange Obligations.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04" w:lineRule="exact"/>
        <w:rPr>
          <w:sz w:val="20"/>
          <w:szCs w:val="20"/>
          <w:color w:val="auto"/>
        </w:rPr>
      </w:pPr>
    </w:p>
    <w:p>
      <w:pPr>
        <w:ind w:left="660" w:right="55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Affiliates</w:t>
      </w:r>
      <w:r>
        <w:rPr>
          <w:rFonts w:ascii="Arial" w:cs="Arial" w:eastAsia="Arial" w:hAnsi="Arial"/>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68" w:lineRule="exact"/>
        <w:rPr>
          <w:sz w:val="20"/>
          <w:szCs w:val="20"/>
          <w:color w:val="auto"/>
        </w:rPr>
      </w:pPr>
    </w:p>
    <w:p>
      <w:pPr>
        <w:ind w:left="660" w:right="3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Documents</w:t>
      </w:r>
      <w:r>
        <w:rPr>
          <w:rFonts w:ascii="Arial" w:cs="Arial" w:eastAsia="Arial" w:hAnsi="Arial"/>
          <w:sz w:val="18"/>
          <w:szCs w:val="18"/>
          <w:color w:val="auto"/>
        </w:rPr>
        <w:t>” means any material “employee benefit plan” as defined in Section 3(3) of ERISA (whether or not subject to ERISA) and any other employee benefit plans, programs,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policies, agreements, or arrangements (whether qualified or nonqualified, registered or non-registered, funded or unfunded, insured or self-insured, or written or unwritten), any employment, consulting, independent contractor, severance pay, termination pay, notice of termination, salary continuation, bonus, incentive, supplemental unemployment benefit, stock appreciation, stock option, stock purchase, restricted stock unit, phantom stock, profits interest, profit participation, or other equity or equity-linked compensation, retention, stay bonus, change of control, transaction bonus, tax gross-up, employee loan, fringe benefit, vacation, paid time off, sick leave or other leave of absence, short- or long-term disability, accident, health, dental, prescription drug, retirement or retirement savings, savings, pension or supplemental pension, post-retirement medical or life insurance, health or welfare, profit sharing or deferred compensation plans, programs, policies, agreements or arrangements of any kind that are maintained or sponsored by the Company or its Subsidiaries for the benefit of their respective current or former employees and with respect to which the Company or its Subsidiaries have any current or contingent liability; </w:t>
      </w:r>
      <w:r>
        <w:rPr>
          <w:rFonts w:ascii="Arial" w:cs="Arial" w:eastAsia="Arial" w:hAnsi="Arial"/>
          <w:sz w:val="18"/>
          <w:szCs w:val="18"/>
          <w:u w:val="single" w:color="auto"/>
          <w:color w:val="auto"/>
        </w:rPr>
        <w:t>provided</w:t>
      </w:r>
      <w:r>
        <w:rPr>
          <w:rFonts w:ascii="Arial" w:cs="Arial" w:eastAsia="Arial" w:hAnsi="Arial"/>
          <w:sz w:val="18"/>
          <w:szCs w:val="18"/>
          <w:color w:val="auto"/>
        </w:rPr>
        <w:t>, that ERISA Documents shall exclude each such plan to which the Company or any of its Subsidiaries contributes pursuant to applicable Law or which is maintained by a Governmental Authority.</w:t>
      </w:r>
    </w:p>
    <w:p>
      <w:pPr>
        <w:spacing w:after="0" w:line="80" w:lineRule="exact"/>
        <w:rPr>
          <w:sz w:val="20"/>
          <w:szCs w:val="20"/>
          <w:color w:val="auto"/>
        </w:rPr>
      </w:pPr>
    </w:p>
    <w:p>
      <w:pPr>
        <w:ind w:left="660" w:right="6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Stock</w:t>
      </w:r>
      <w:r>
        <w:rPr>
          <w:rFonts w:ascii="Arial" w:cs="Arial" w:eastAsia="Arial" w:hAnsi="Arial"/>
          <w:sz w:val="18"/>
          <w:szCs w:val="18"/>
          <w:color w:val="auto"/>
        </w:rPr>
        <w:t xml:space="preserve">” means the smallest number of whole shares of newly issued shares of Class A Common Stock (with no fractions being issued), necessary to represent 86% of the shares of Company Common Stock as of the Closing (after giving effect to the Conversion and, for the avoidance of doubt the issuance of awards in accordance with </w:t>
      </w:r>
      <w:r>
        <w:rPr>
          <w:rFonts w:ascii="Arial" w:cs="Arial" w:eastAsia="Arial" w:hAnsi="Arial"/>
          <w:sz w:val="18"/>
          <w:szCs w:val="18"/>
          <w:u w:val="single" w:color="auto"/>
          <w:color w:val="auto"/>
        </w:rPr>
        <w:t>Section 5.01(a)(iv)(B)</w:t>
      </w:r>
      <w:r>
        <w:rPr>
          <w:rFonts w:ascii="Arial" w:cs="Arial" w:eastAsia="Arial" w:hAnsi="Arial"/>
          <w:sz w:val="18"/>
          <w:szCs w:val="18"/>
          <w:color w:val="auto"/>
        </w:rPr>
        <w:t>, if any, but before giving effect to the Rights Offering and the MIP) on a Fully Diluted Basis.</w:t>
      </w:r>
    </w:p>
    <w:p>
      <w:pPr>
        <w:spacing w:after="0" w:line="68" w:lineRule="exact"/>
        <w:rPr>
          <w:sz w:val="20"/>
          <w:szCs w:val="20"/>
          <w:color w:val="auto"/>
        </w:rPr>
      </w:pPr>
    </w:p>
    <w:p>
      <w:pPr>
        <w:ind w:left="660" w:right="12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means the Loan Documents (as defined in the Existing Credit Agreement).</w:t>
      </w:r>
    </w:p>
    <w:p>
      <w:pPr>
        <w:spacing w:after="0" w:line="46"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Obligations</w:t>
      </w:r>
      <w:r>
        <w:rPr>
          <w:rFonts w:ascii="Arial" w:cs="Arial" w:eastAsia="Arial" w:hAnsi="Arial"/>
          <w:sz w:val="18"/>
          <w:szCs w:val="18"/>
          <w:color w:val="auto"/>
        </w:rPr>
        <w:t>” means all Indebtedness (as defined in the Existing Credit Agreement) under the Existing Credit Agreement.</w:t>
      </w:r>
    </w:p>
    <w:p>
      <w:pPr>
        <w:spacing w:after="0" w:line="46"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xml:space="preserve">” means actual and intentional fraud under the laws of the State of Delaware with respect to the representations and warranties made by the Company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by Lender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for the avoidance of doubt, does not include equitable fraud, constructive fraud, promissory fraud, unfair dealings fraud, or any torts (including fraud) based on negligence or recklessness).</w:t>
      </w:r>
    </w:p>
    <w:p>
      <w:pPr>
        <w:spacing w:after="0" w:line="66"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Diluted Basis</w:t>
      </w:r>
      <w:r>
        <w:rPr>
          <w:rFonts w:ascii="Arial" w:cs="Arial" w:eastAsia="Arial" w:hAnsi="Arial"/>
          <w:sz w:val="18"/>
          <w:szCs w:val="18"/>
          <w:color w:val="auto"/>
        </w:rPr>
        <w:t>” means, as of any date of determination, the number of shares of Company Common Stock calculated on a pro forma basis assuming the conversion and exchange of all securities convertible into or exchangeable for shares of Company Common Stock and the exercise of all options, warrants and other rights to purchase Company Common Stock or such convertible or exchangeable securities, including all shares of Company Common Stock issuable upon the exercise or vesting of any outstanding Company Option or Company RSU as of such date, in each case, net of any applicable exercise price and whether or not such Company Option or Company RSU is vested or exercisable at such time (excluding any Company Option or Company RSU held by any Section 16 Officer which is canceled in exchange for the holder’s entitlement to receive an equity award grant following the Closing in accordance with the MIP Term Sheet).</w:t>
      </w:r>
    </w:p>
    <w:p>
      <w:pPr>
        <w:spacing w:after="0" w:line="72" w:lineRule="exact"/>
        <w:rPr>
          <w:sz w:val="20"/>
          <w:szCs w:val="20"/>
          <w:color w:val="auto"/>
        </w:rPr>
      </w:pPr>
    </w:p>
    <w:p>
      <w:pPr>
        <w:ind w:left="660" w:right="47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national, supranational, federal, state, municipal, county, city, local or other administrative, legislative, regulatory or other governmental authority, commission, agency, court of competent jurisdiction or other judicial entity, tribunal, office, principality, registry, legislative, regulatory or self-regulatory body, instrumentality, or quasi-governmental agency, commission or authority or any arbitrator or arbitral tribunal.</w:t>
      </w:r>
    </w:p>
    <w:p>
      <w:pPr>
        <w:spacing w:after="0" w:line="68"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material, substance, chemical or waste (or combination thereof) that (i) is listed, defined, designated, regulated or classified as hazardous, toxic, radioactive, dangerous, a pollutant, a contaminant, petroleum, oil, or words of similar meaning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53" w:lineRule="auto"/>
        <w:rPr>
          <w:sz w:val="20"/>
          <w:szCs w:val="20"/>
          <w:color w:val="auto"/>
        </w:rPr>
      </w:pPr>
      <w:r>
        <w:rPr>
          <w:rFonts w:ascii="Arial" w:cs="Arial" w:eastAsia="Arial" w:hAnsi="Arial"/>
          <w:sz w:val="18"/>
          <w:szCs w:val="18"/>
          <w:color w:val="auto"/>
        </w:rPr>
        <w:t>effect under any Law or Judgment relating to pollution, waste, the environment or the protection of human health and safety; or (ii) can form the basis of any liability under any Law or Judgment relating to pollution, waste, the environment or the protection of human health and safety.</w:t>
      </w:r>
    </w:p>
    <w:p>
      <w:pPr>
        <w:spacing w:after="0" w:line="61"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rights in: (i) patents, patent applications, and all related continuations, continuations-in-part, divisionals, reissues, re-examinations, substitutions and extensions thereof; (ii) trademarks, service marks, trade dress, logos, brand identifiers and other similar designations of source or origin; (iii) copyrights and works of authorship, whether or not copyrightable; (iv) trade secrets and other proprietary and confidential information; (v) domain names, URLs, websites, social media account names or identifiers, social media sites and pages, and data collected therefrom and all content thereon to the extent owned or controlled by the Company or its Subsidiaries; (vi) trade secrets, know-how, business and technical information knowhow, processes, techniques and other confidential or proprietary information and all rights therein, as well as all applications, registrations and renewals of any of the foregoing; and (vii) all other intellectual and related proprietary rights, whether protected, created, or arising by operation of Law.</w:t>
      </w:r>
    </w:p>
    <w:p>
      <w:pPr>
        <w:spacing w:after="0" w:line="75"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xml:space="preserve">” means that certain Investor Rights Agreement to be entered into concurrently with the execution and delivery of this Agreement (and effective at the Closing), by and among the Company and the Investor Group,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w:t>
      </w:r>
    </w:p>
    <w:p>
      <w:pPr>
        <w:spacing w:after="0" w:line="61" w:lineRule="exact"/>
        <w:rPr>
          <w:sz w:val="20"/>
          <w:szCs w:val="20"/>
          <w:color w:val="auto"/>
        </w:rPr>
      </w:pPr>
    </w:p>
    <w:p>
      <w:pPr>
        <w:jc w:val="both"/>
        <w:ind w:left="660" w:right="3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means any order, writ, injunction, decree, consent decree, judgment, award or settlement issued, promulgated, made, rendered or entered into by or with any Governmental Authority (in each case, whether temporary, preliminary or permanent).</w:t>
      </w:r>
    </w:p>
    <w:p>
      <w:pPr>
        <w:spacing w:after="0" w:line="61" w:lineRule="exact"/>
        <w:rPr>
          <w:sz w:val="20"/>
          <w:szCs w:val="20"/>
          <w:color w:val="auto"/>
        </w:rPr>
      </w:pPr>
    </w:p>
    <w:p>
      <w:pPr>
        <w:ind w:left="660" w:right="3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xml:space="preserve">” means, with respect to each Party, the actual knowledge, after reasonable inquiry under the circumstances, of the individuals listed on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of the Company Disclosure Letter.</w:t>
      </w:r>
    </w:p>
    <w:p>
      <w:pPr>
        <w:spacing w:after="0" w:line="23" w:lineRule="exact"/>
        <w:rPr>
          <w:sz w:val="20"/>
          <w:szCs w:val="20"/>
          <w:color w:val="auto"/>
        </w:rPr>
      </w:pPr>
    </w:p>
    <w:p>
      <w:pPr>
        <w:ind w:left="660" w:right="4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code, directive, law (including common law), ordinance, rule, constitution, treaty, convention, Judgment, regulation or other enforceability requirements imposed by a Governmental Authority.</w:t>
      </w:r>
    </w:p>
    <w:p>
      <w:pPr>
        <w:spacing w:after="0" w:line="61" w:lineRule="exact"/>
        <w:rPr>
          <w:sz w:val="20"/>
          <w:szCs w:val="20"/>
          <w:color w:val="auto"/>
        </w:rPr>
      </w:pPr>
    </w:p>
    <w:p>
      <w:pPr>
        <w:ind w:left="660" w:right="5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Material Adverse Effect</w:t>
      </w:r>
      <w:r>
        <w:rPr>
          <w:rFonts w:ascii="Arial" w:cs="Arial" w:eastAsia="Arial" w:hAnsi="Arial"/>
          <w:sz w:val="18"/>
          <w:szCs w:val="18"/>
          <w:color w:val="auto"/>
        </w:rPr>
        <w:t>” means any change, effect, event, occurrence, state of facts or development that, taken alone or together with any other related or unrelated changes, effects, events, occurrences, states of facts or developments, has had or would reasonably be expected to have a material adverse effect on the ability of Lender to consummate the Transactions on a timely basis and in any event prior to the Outside Date.</w:t>
      </w:r>
    </w:p>
    <w:p>
      <w:pPr>
        <w:spacing w:after="0" w:line="68" w:lineRule="exact"/>
        <w:rPr>
          <w:sz w:val="20"/>
          <w:szCs w:val="20"/>
          <w:color w:val="auto"/>
        </w:rPr>
      </w:pPr>
    </w:p>
    <w:p>
      <w:pPr>
        <w:ind w:left="660" w:right="53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security interest, lien (statutory or otherwise), charge, license, option, right of first refusal, right of first offer, attachment, easement or other encumbrance.</w:t>
      </w:r>
    </w:p>
    <w:p>
      <w:pPr>
        <w:spacing w:after="0" w:line="23" w:lineRule="exact"/>
        <w:rPr>
          <w:sz w:val="20"/>
          <w:szCs w:val="20"/>
          <w:color w:val="auto"/>
        </w:rPr>
      </w:pPr>
    </w:p>
    <w:p>
      <w:pPr>
        <w:ind w:left="660" w:right="5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MIP Term Sheet</w:t>
      </w:r>
      <w:r>
        <w:rPr>
          <w:rFonts w:ascii="Arial" w:cs="Arial" w:eastAsia="Arial" w:hAnsi="Arial"/>
          <w:sz w:val="18"/>
          <w:szCs w:val="18"/>
          <w:color w:val="auto"/>
        </w:rPr>
        <w:t xml:space="preserve">” means the MIP Term Sheet set forth on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of the Company Disclosure Letter.</w:t>
      </w:r>
    </w:p>
    <w:p>
      <w:pPr>
        <w:spacing w:after="0" w:line="46" w:lineRule="exact"/>
        <w:rPr>
          <w:sz w:val="20"/>
          <w:szCs w:val="20"/>
          <w:color w:val="auto"/>
        </w:rPr>
      </w:pPr>
    </w:p>
    <w:p>
      <w:pPr>
        <w:ind w:left="660" w:right="3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Credit Agreement</w:t>
      </w:r>
      <w:r>
        <w:rPr>
          <w:rFonts w:ascii="Arial" w:cs="Arial" w:eastAsia="Arial" w:hAnsi="Arial"/>
          <w:sz w:val="17"/>
          <w:szCs w:val="17"/>
          <w:color w:val="auto"/>
        </w:rPr>
        <w:t xml:space="preserve">” means that certain Amended and Restated Credit Agreement, to be entered into at the Closing, by and among the Company, as borrower, the lenders party thereto, and Agent, as administrative agent for such lenders, in substantially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Loans</w:t>
      </w:r>
      <w:r>
        <w:rPr>
          <w:rFonts w:ascii="Arial" w:cs="Arial" w:eastAsia="Arial" w:hAnsi="Arial"/>
          <w:sz w:val="18"/>
          <w:szCs w:val="18"/>
          <w:color w:val="auto"/>
        </w:rPr>
        <w:t>” means the Exchanged Term Loans (as defined in the New Credit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Treasury Department’s Office of Foreign Assets Control.</w:t>
      </w:r>
    </w:p>
    <w:p>
      <w:pPr>
        <w:spacing w:after="0" w:line="104"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(i) mechanics’, materialmen’s, carriers’, suppliers’, repairers’ and other Liens arising or incurred in the ordinary course of business for amounts that are not yet delinquent or are being contested in good faith Actions and for which adequate reserves under GAAP have been reserved on the balance sheet of the Company or an applicable Subsidiary of the Company, (ii) Liens for Taxes not yet due and payable or which are being contested in good faith Actions and for which adequate reserves under GAAP have been reserved on the balance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79"/>
        <w:spacing w:after="0"/>
        <w:rPr>
          <w:sz w:val="20"/>
          <w:szCs w:val="20"/>
          <w:color w:val="auto"/>
        </w:rPr>
      </w:pPr>
      <w:r>
        <w:rPr>
          <w:rFonts w:ascii="Arial" w:cs="Arial" w:eastAsia="Arial" w:hAnsi="Arial"/>
          <w:sz w:val="18"/>
          <w:szCs w:val="18"/>
          <w:color w:val="auto"/>
        </w:rPr>
        <w:t>sheet of the Company or an applicable Subsidiary of the Company, (iii) nonexclusive licenses to Intellectual Property granted in the ordinary course of business, (iv) Liens arising through or under any landlords of leased real property in the ordinary course of business, (v) Liens arising in connection with or permitted by the Existing Credit Agreement or the New Credit Agreement,</w:t>
      </w:r>
    </w:p>
    <w:p>
      <w:pPr>
        <w:ind w:left="660" w:right="479" w:hanging="8"/>
        <w:spacing w:after="0" w:line="242"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Liens incurred in the ordinary course of business since the date of the most recent consolidated balance sheet of the Company and not material to the Company and its Subsidiaries, taken as a whole, and (vii) Liens listed on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of the Company Disclosure Letter.</w:t>
      </w:r>
    </w:p>
    <w:p>
      <w:pPr>
        <w:spacing w:after="0" w:line="71" w:lineRule="exact"/>
        <w:rPr>
          <w:sz w:val="20"/>
          <w:szCs w:val="20"/>
          <w:color w:val="auto"/>
        </w:rPr>
      </w:pPr>
    </w:p>
    <w:p>
      <w:pPr>
        <w:ind w:left="66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company, limited liability company, trust, joint venture, association, Governmental Authority or other entity.</w:t>
      </w:r>
    </w:p>
    <w:p>
      <w:pPr>
        <w:spacing w:after="0" w:line="46" w:lineRule="exact"/>
        <w:rPr>
          <w:sz w:val="20"/>
          <w:szCs w:val="20"/>
          <w:color w:val="auto"/>
        </w:rPr>
      </w:pPr>
    </w:p>
    <w:p>
      <w:pPr>
        <w:ind w:left="660" w:right="3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has the same meaning as “personal data,” “personal information,” or other analogous terms under Privacy Requirements, including information that allows the identification of a natural person.</w:t>
      </w:r>
    </w:p>
    <w:p>
      <w:pPr>
        <w:spacing w:after="0" w:line="61" w:lineRule="exact"/>
        <w:rPr>
          <w:sz w:val="20"/>
          <w:szCs w:val="20"/>
          <w:color w:val="auto"/>
        </w:rPr>
      </w:pPr>
    </w:p>
    <w:p>
      <w:pPr>
        <w:ind w:left="660" w:right="5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Transaction Documents</w:t>
      </w:r>
      <w:r>
        <w:rPr>
          <w:rFonts w:ascii="Arial" w:cs="Arial" w:eastAsia="Arial" w:hAnsi="Arial"/>
          <w:sz w:val="18"/>
          <w:szCs w:val="18"/>
          <w:color w:val="auto"/>
        </w:rPr>
        <w:t>” means this Agreement, the Investor Rights Agreement, the Employment Agreement, the Transaction Bonus Plan Amendment, the New Credit Agreement, the Rights Offering Backstop Agreement and the Conversion Notices.</w:t>
      </w:r>
    </w:p>
    <w:p>
      <w:pPr>
        <w:spacing w:after="0" w:line="61" w:lineRule="exact"/>
        <w:rPr>
          <w:sz w:val="20"/>
          <w:szCs w:val="20"/>
          <w:color w:val="auto"/>
        </w:rPr>
      </w:pPr>
    </w:p>
    <w:p>
      <w:pPr>
        <w:ind w:left="660" w:right="45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Proxy Stockholder Proxy Revocation</w:t>
      </w:r>
      <w:r>
        <w:rPr>
          <w:rFonts w:ascii="Arial" w:cs="Arial" w:eastAsia="Arial" w:hAnsi="Arial"/>
          <w:sz w:val="17"/>
          <w:szCs w:val="17"/>
          <w:color w:val="auto"/>
        </w:rPr>
        <w:t>” means that, from the Effective Date through the earlier of the valid termination of this Agreement in accordance with its terms and the receipt of the Company Stockholder Approval, any Proxy Stockholder shall have rescinded, revoked, withdrawn, repudiated or challenged the validity or effectiveness of their respective Conversion Notices or Proxy.</w:t>
      </w:r>
    </w:p>
    <w:p>
      <w:pPr>
        <w:spacing w:after="0" w:line="51"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6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 the Runway Limited</w:t>
      </w:r>
      <w:r>
        <w:rPr>
          <w:rFonts w:ascii="Arial" w:cs="Arial" w:eastAsia="Arial" w:hAnsi="Arial"/>
          <w:sz w:val="18"/>
          <w:szCs w:val="18"/>
          <w:color w:val="auto"/>
        </w:rPr>
        <w:t>” means Rent the Runway Limited, a private limited company incorporated under the laws of Ireland.</w:t>
      </w:r>
    </w:p>
    <w:p>
      <w:pPr>
        <w:spacing w:after="0" w:line="46"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Offering Backstop Agreement</w:t>
      </w:r>
      <w:r>
        <w:rPr>
          <w:rFonts w:ascii="Arial" w:cs="Arial" w:eastAsia="Arial" w:hAnsi="Arial"/>
          <w:sz w:val="18"/>
          <w:szCs w:val="18"/>
          <w:color w:val="auto"/>
        </w:rPr>
        <w:t xml:space="preserve">” means that certain Rights Offering Backstop Agreement to be entered into concurrently with the execution and delivery of this Agreement in connection with the Rights Offering, by and among the Company and the Investor Group,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hereto.</w:t>
      </w:r>
    </w:p>
    <w:p>
      <w:pPr>
        <w:spacing w:after="0" w:line="66" w:lineRule="exact"/>
        <w:rPr>
          <w:sz w:val="20"/>
          <w:szCs w:val="20"/>
          <w:color w:val="auto"/>
        </w:rPr>
      </w:pPr>
    </w:p>
    <w:p>
      <w:pPr>
        <w:ind w:left="660" w:right="6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OFAC.</w:t>
      </w:r>
    </w:p>
    <w:p>
      <w:pPr>
        <w:spacing w:after="0" w:line="46" w:lineRule="exact"/>
        <w:rPr>
          <w:sz w:val="20"/>
          <w:szCs w:val="20"/>
          <w:color w:val="auto"/>
        </w:rPr>
      </w:pPr>
    </w:p>
    <w:p>
      <w:pPr>
        <w:jc w:val="both"/>
        <w:ind w:left="66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Documents</w:t>
      </w:r>
      <w:r>
        <w:rPr>
          <w:rFonts w:ascii="Arial" w:cs="Arial" w:eastAsia="Arial" w:hAnsi="Arial"/>
          <w:sz w:val="18"/>
          <w:szCs w:val="18"/>
          <w:color w:val="auto"/>
        </w:rPr>
        <w:t>” means all reports, schedules, registration statements, proxy statements and other documents (including all amendments, exhibits and schedules thereto) filed by the Company with the SEC since February 1, 2025.</w:t>
      </w:r>
    </w:p>
    <w:p>
      <w:pPr>
        <w:spacing w:after="0" w:line="61" w:lineRule="exact"/>
        <w:rPr>
          <w:sz w:val="20"/>
          <w:szCs w:val="20"/>
          <w:color w:val="auto"/>
        </w:rPr>
      </w:pPr>
    </w:p>
    <w:p>
      <w:pPr>
        <w:ind w:left="660" w:right="10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 Officer</w:t>
      </w:r>
      <w:r>
        <w:rPr>
          <w:rFonts w:ascii="Arial" w:cs="Arial" w:eastAsia="Arial" w:hAnsi="Arial"/>
          <w:sz w:val="18"/>
          <w:szCs w:val="18"/>
          <w:color w:val="auto"/>
        </w:rPr>
        <w:t>” means an “officer” of the Company (as defined by Rule 16a-1 under the Exchange Act).</w:t>
      </w:r>
    </w:p>
    <w:p>
      <w:pPr>
        <w:spacing w:after="0" w:line="46" w:lineRule="exact"/>
        <w:rPr>
          <w:sz w:val="20"/>
          <w:szCs w:val="20"/>
          <w:color w:val="auto"/>
        </w:rPr>
      </w:pPr>
    </w:p>
    <w:p>
      <w:pPr>
        <w:ind w:left="660" w:right="35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Business Conduct Laws</w:t>
      </w:r>
      <w:r>
        <w:rPr>
          <w:rFonts w:ascii="Arial" w:cs="Arial" w:eastAsia="Arial" w:hAnsi="Arial"/>
          <w:sz w:val="18"/>
          <w:szCs w:val="18"/>
          <w:color w:val="auto"/>
        </w:rPr>
        <w:t>” means (i) the Anti-Corruption Laws, (ii) all legal requirements imposing trade sanctions on any Person, including all legal requirements administered by OFAC, all sanctions laws or embargos imposed or administered by the U.S. Department of State, the United Nations Security Council, His Majesty’s Treasury or the European Union and all anti-boycott or anti-embargo laws, (iii) all legal requirements relating to the import, export, re-export, transfer of information, data, goods and technology, including the Export Administration Regulations administered by the U.S. Department of Commerce, the International Traffic in Arms Regulations administered by the U.S. Department of State and customs Laws administered by U.S. Customs and Border Protection, and (iv)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66"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means (i) any and all U.S. federal, state, local, provincial, or foreign income, gross receipts, license, payroll, employment, excise, severance, stamp, occupation, premium, hospital, windfall profits, environmental, customs duties, capital stock, franchise, profits, withholding, social security (or similar, including FICA), unemployment, disability, real property, personal property, ad valorem, sales, use, transfer, registration, value added, alternative or add-on minimum, estimated, or other tax of any kind or any charge of any kind in the nature of (or similar to) taxes, including any interest, penalty, or addition thereto (including, for the avoidance of doubt, any interest, penalty or addition to tax relating to the reporting or failure to report a tax of any kind on any Tax Return), in each case whether disputed or not, and (ii) liability in respect of any items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payable by reason of contract (including any tax sharing agreement), assumption, transferee, successor or similar liability, bulk sales or similar liability, operation of law (including pursuant to Treasury Regulations Section 1.1502-6 (or any predecessor or successor thereof or any analogous or similar state, local, or foreign Law)) or otherwise.</w:t>
      </w:r>
    </w:p>
    <w:p>
      <w:pPr>
        <w:spacing w:after="0" w:line="72"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all U.S. federal, state, local, provincial and foreign Tax returns, declarations, statements, reports, schedules, claims for refunds, forms and information returns, elections relating to Taxes, and any amended Tax return, filed or required to be filed, including any exhibits and attachments to any of the above.</w:t>
      </w:r>
    </w:p>
    <w:p>
      <w:pPr>
        <w:spacing w:after="0" w:line="66" w:lineRule="exact"/>
        <w:rPr>
          <w:sz w:val="20"/>
          <w:szCs w:val="20"/>
          <w:color w:val="auto"/>
        </w:rPr>
      </w:pPr>
    </w:p>
    <w:p>
      <w:pPr>
        <w:ind w:left="660" w:right="7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Consents</w:t>
      </w:r>
      <w:r>
        <w:rPr>
          <w:rFonts w:ascii="Arial" w:cs="Arial" w:eastAsia="Arial" w:hAnsi="Arial"/>
          <w:sz w:val="18"/>
          <w:szCs w:val="18"/>
          <w:color w:val="auto"/>
        </w:rPr>
        <w:t>” means each filing, notice, report, consent, registration, approval, permit, waiver or authorization required to be made with or obtained from any Person that is not a Governmental Authority in connection with the execution, delivery and performance of this Agreement and the consummation of the Transactions.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Bonus Plan</w:t>
      </w:r>
      <w:r>
        <w:rPr>
          <w:rFonts w:ascii="Arial" w:cs="Arial" w:eastAsia="Arial" w:hAnsi="Arial"/>
          <w:sz w:val="18"/>
          <w:szCs w:val="18"/>
          <w:color w:val="auto"/>
        </w:rPr>
        <w:t>” means the Company Transaction Bonus Plan.</w:t>
      </w:r>
    </w:p>
    <w:p>
      <w:pPr>
        <w:spacing w:after="0" w:line="104"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Investor Rights Agreement, the Employment Agreement, the Transaction Bonus Plan Amendment, the New Credit Agreement, the Debt and Equity Purchase Agreement, the Rights Offering Backstop Agreement, the Conversion Notices and all exhibits and schedules thereto and hereto and, as applicable, each other agreement contemplated to be entered into in connection with the Transactions.</w:t>
      </w:r>
    </w:p>
    <w:p>
      <w:pPr>
        <w:spacing w:after="0" w:line="68" w:lineRule="exact"/>
        <w:rPr>
          <w:sz w:val="20"/>
          <w:szCs w:val="20"/>
          <w:color w:val="auto"/>
        </w:rPr>
      </w:pPr>
    </w:p>
    <w:p>
      <w:pPr>
        <w:ind w:left="660" w:right="12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Exchange Transactions and the other transactions contemplated by this Agreement and the other Transaction Documents.</w:t>
      </w:r>
    </w:p>
    <w:p>
      <w:pPr>
        <w:spacing w:after="0" w:line="46" w:lineRule="exact"/>
        <w:rPr>
          <w:sz w:val="20"/>
          <w:szCs w:val="20"/>
          <w:color w:val="auto"/>
        </w:rPr>
      </w:pPr>
    </w:p>
    <w:p>
      <w:pPr>
        <w:ind w:left="660" w:right="37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per share volume-weighted average price as displayed under the heading “Bloomberg VWAP” on Bloomberg page “RENT &lt;equity&gt; AQR” (or its equivalent successor if such page is not available) in respect of the period from the scheduled open of trading until the scheduled close of trading of the primary trading session on such trading day (or, if such volume-weighted average price is not available, the market value per share of Class A Common Stock on such trading day determined in good faith, using a volume-weighted average method, by the Company).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Terms Defined Elsewhere</w:t>
      </w:r>
      <w:r>
        <w:rPr>
          <w:rFonts w:ascii="Arial" w:cs="Arial" w:eastAsia="Arial" w:hAnsi="Arial"/>
          <w:sz w:val="17"/>
          <w:szCs w:val="17"/>
          <w:color w:val="auto"/>
        </w:rPr>
        <w:t>. The following terms are defined elsewhere in this Agreement: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60" w:type="dxa"/>
            <w:vAlign w:val="bottom"/>
          </w:tcPr>
          <w:p>
            <w:pPr>
              <w:ind w:left="202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5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r>
      <w:tr>
        <w:trPr>
          <w:trHeight w:val="255"/>
        </w:trPr>
        <w:tc>
          <w:tcPr>
            <w:tcW w:w="4560" w:type="dxa"/>
            <w:vAlign w:val="bottom"/>
          </w:tcPr>
          <w:p>
            <w:pPr>
              <w:ind w:left="160"/>
              <w:spacing w:after="0"/>
              <w:rPr>
                <w:sz w:val="20"/>
                <w:szCs w:val="20"/>
                <w:color w:val="auto"/>
              </w:rPr>
            </w:pPr>
            <w:r>
              <w:rPr>
                <w:rFonts w:ascii="Arial" w:cs="Arial" w:eastAsia="Arial" w:hAnsi="Arial"/>
                <w:sz w:val="14"/>
                <w:szCs w:val="14"/>
                <w:color w:val="auto"/>
              </w:rPr>
              <w:t>Acceptable Confidentiality Agreement</w:t>
            </w:r>
          </w:p>
        </w:tc>
        <w:tc>
          <w:tcPr>
            <w:tcW w:w="3860" w:type="dxa"/>
            <w:vAlign w:val="bottom"/>
          </w:tcPr>
          <w:p>
            <w:pPr>
              <w:ind w:left="2020"/>
              <w:spacing w:after="0"/>
              <w:rPr>
                <w:sz w:val="20"/>
                <w:szCs w:val="20"/>
                <w:color w:val="auto"/>
              </w:rPr>
            </w:pPr>
            <w:r>
              <w:rPr>
                <w:rFonts w:ascii="Arial" w:cs="Arial" w:eastAsia="Arial" w:hAnsi="Arial"/>
                <w:sz w:val="14"/>
                <w:szCs w:val="14"/>
                <w:color w:val="auto"/>
              </w:rPr>
              <w:t>Section 5.02(h)</w:t>
            </w:r>
          </w:p>
        </w:tc>
      </w:tr>
      <w:tr>
        <w:trPr>
          <w:trHeight w:val="75"/>
        </w:trPr>
        <w:tc>
          <w:tcPr>
            <w:tcW w:w="45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r>
      <w:tr>
        <w:trPr>
          <w:trHeight w:val="255"/>
        </w:trPr>
        <w:tc>
          <w:tcPr>
            <w:tcW w:w="4560" w:type="dxa"/>
            <w:vAlign w:val="bottom"/>
          </w:tcPr>
          <w:p>
            <w:pPr>
              <w:ind w:left="160"/>
              <w:spacing w:after="0"/>
              <w:rPr>
                <w:sz w:val="20"/>
                <w:szCs w:val="20"/>
                <w:color w:val="auto"/>
              </w:rPr>
            </w:pPr>
            <w:r>
              <w:rPr>
                <w:rFonts w:ascii="Arial" w:cs="Arial" w:eastAsia="Arial" w:hAnsi="Arial"/>
                <w:sz w:val="14"/>
                <w:szCs w:val="14"/>
                <w:color w:val="auto"/>
              </w:rPr>
              <w:t>Acquisition Agreement</w:t>
            </w:r>
          </w:p>
        </w:tc>
        <w:tc>
          <w:tcPr>
            <w:tcW w:w="3860" w:type="dxa"/>
            <w:vAlign w:val="bottom"/>
          </w:tcPr>
          <w:p>
            <w:pPr>
              <w:ind w:left="2020"/>
              <w:spacing w:after="0"/>
              <w:rPr>
                <w:sz w:val="20"/>
                <w:szCs w:val="20"/>
                <w:color w:val="auto"/>
              </w:rPr>
            </w:pPr>
            <w:r>
              <w:rPr>
                <w:rFonts w:ascii="Arial" w:cs="Arial" w:eastAsia="Arial" w:hAnsi="Arial"/>
                <w:sz w:val="14"/>
                <w:szCs w:val="14"/>
                <w:color w:val="auto"/>
              </w:rPr>
              <w:t>Section 5.02(c)</w:t>
            </w:r>
          </w:p>
        </w:tc>
      </w:tr>
      <w:tr>
        <w:trPr>
          <w:trHeight w:val="75"/>
        </w:trPr>
        <w:tc>
          <w:tcPr>
            <w:tcW w:w="45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r>
      <w:tr>
        <w:trPr>
          <w:trHeight w:val="255"/>
        </w:trPr>
        <w:tc>
          <w:tcPr>
            <w:tcW w:w="4560" w:type="dxa"/>
            <w:vAlign w:val="bottom"/>
          </w:tcPr>
          <w:p>
            <w:pPr>
              <w:ind w:left="160"/>
              <w:spacing w:after="0"/>
              <w:rPr>
                <w:sz w:val="20"/>
                <w:szCs w:val="20"/>
                <w:color w:val="auto"/>
              </w:rPr>
            </w:pPr>
            <w:r>
              <w:rPr>
                <w:rFonts w:ascii="Arial" w:cs="Arial" w:eastAsia="Arial" w:hAnsi="Arial"/>
                <w:sz w:val="14"/>
                <w:szCs w:val="14"/>
                <w:color w:val="auto"/>
              </w:rPr>
              <w:t>Adverse Recommendation Change</w:t>
            </w:r>
          </w:p>
        </w:tc>
        <w:tc>
          <w:tcPr>
            <w:tcW w:w="3860" w:type="dxa"/>
            <w:vAlign w:val="bottom"/>
          </w:tcPr>
          <w:p>
            <w:pPr>
              <w:ind w:left="2020"/>
              <w:spacing w:after="0"/>
              <w:rPr>
                <w:sz w:val="20"/>
                <w:szCs w:val="20"/>
                <w:color w:val="auto"/>
              </w:rPr>
            </w:pPr>
            <w:r>
              <w:rPr>
                <w:rFonts w:ascii="Arial" w:cs="Arial" w:eastAsia="Arial" w:hAnsi="Arial"/>
                <w:sz w:val="14"/>
                <w:szCs w:val="14"/>
                <w:color w:val="auto"/>
              </w:rPr>
              <w:t>Section 5.02(c)</w:t>
            </w:r>
          </w:p>
        </w:tc>
      </w:tr>
      <w:tr>
        <w:trPr>
          <w:trHeight w:val="35"/>
        </w:trPr>
        <w:tc>
          <w:tcPr>
            <w:tcW w:w="456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40" w:type="dxa"/>
            <w:vAlign w:val="bottom"/>
          </w:tcPr>
          <w:p>
            <w:pPr>
              <w:ind w:left="200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Bankruptcy and Equity Exception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3.03(a)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Base Amount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6.06(c)</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Capitalization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3.02(b)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Claim</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6.06(a)</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Clearance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Closing</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2.03</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Closing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2.03</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Board</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Board Recommendation</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Capital Stock</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3.02(a)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Disclosure Letter</w:t>
            </w:r>
          </w:p>
        </w:tc>
        <w:tc>
          <w:tcPr>
            <w:tcW w:w="3840" w:type="dxa"/>
            <w:vAlign w:val="bottom"/>
          </w:tcPr>
          <w:p>
            <w:pPr>
              <w:ind w:left="2000"/>
              <w:spacing w:after="0"/>
              <w:rPr>
                <w:sz w:val="20"/>
                <w:szCs w:val="20"/>
                <w:color w:val="auto"/>
              </w:rPr>
            </w:pPr>
            <w:r>
              <w:rPr>
                <w:rFonts w:ascii="Arial" w:cs="Arial" w:eastAsia="Arial" w:hAnsi="Arial"/>
                <w:sz w:val="14"/>
                <w:szCs w:val="14"/>
                <w:color w:val="auto"/>
              </w:rPr>
              <w:t>Article III</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Financial Advisor</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3.21</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Material Contracts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3.13(a)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Permits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3.11(b)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Preferred Stock</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3.02(a)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Related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8.02(b)(vi)</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Released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Releasing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Stockholders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Stockholders Meeting</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Consent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Conversion Notices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Conversions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Debt and Equity Purchase 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Effective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Effective Time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2.03</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Employment 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Employment Laws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3.16(a)</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Exchange Act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Exchange Transactions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2.01(c)</w:t>
            </w:r>
          </w:p>
        </w:tc>
      </w:tr>
      <w:tr>
        <w:trPr>
          <w:trHeight w:val="35"/>
        </w:trPr>
        <w:tc>
          <w:tcPr>
            <w:tcW w:w="458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40" w:type="dxa"/>
            <w:vAlign w:val="bottom"/>
          </w:tcPr>
          <w:p>
            <w:pPr>
              <w:ind w:left="200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Existing Agent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Existing Credit 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Fairness Opinion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3.22</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Finance Committee</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Finance Committee Recommendation</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Financial Statements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Form Share by RTR Contracts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3.13(c)</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GAAP</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Indemnified Person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Initial Press Release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6.07</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Intervening Event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5.02(h)</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Investor Group</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Leased Real Property</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3.14</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Legal Restraints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7.01(b)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Lender Proposal</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5.02(d)</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 Released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 Releasing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9.11(a)</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 Supplied Information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Lookback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Nasdaq</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Nexus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Notice Period</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5.02(d)</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Outside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8.01(b)(i)</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Party or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Post-Closing Board</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Post-Signing Return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5.01(c)(i)</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Privacy Requirements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3.17</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Proxy</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Proxy Statement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Proxy Stockholders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Record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6.01(b)</w:t>
            </w:r>
          </w:p>
        </w:tc>
      </w:tr>
      <w:tr>
        <w:trPr>
          <w:trHeight w:val="35"/>
        </w:trPr>
        <w:tc>
          <w:tcPr>
            <w:tcW w:w="458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20" w:type="dxa"/>
            <w:vAlign w:val="bottom"/>
          </w:tcPr>
          <w:p>
            <w:pPr>
              <w:ind w:left="198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Representatives</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5.02(a)</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Rights Offering</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6.02</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Rights Offering Registration Statement</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6.02</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Sanctioned Country</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3.11(d)</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Sanctioned Person</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3.11(d)</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Sarbanes-Oxley Act</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3.06(b)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SEC</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3.04(b)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Securities Act</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3.04(b)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Stockholder MIP Approval</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6.04</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Story3</w:t>
            </w:r>
          </w:p>
        </w:tc>
        <w:tc>
          <w:tcPr>
            <w:tcW w:w="3820" w:type="dxa"/>
            <w:vAlign w:val="bottom"/>
          </w:tcPr>
          <w:p>
            <w:pPr>
              <w:ind w:left="1980"/>
              <w:spacing w:after="0"/>
              <w:rPr>
                <w:sz w:val="20"/>
                <w:szCs w:val="20"/>
                <w:color w:val="auto"/>
              </w:rPr>
            </w:pPr>
            <w:r>
              <w:rPr>
                <w:rFonts w:ascii="Arial" w:cs="Arial" w:eastAsia="Arial" w:hAnsi="Arial"/>
                <w:sz w:val="14"/>
                <w:szCs w:val="14"/>
                <w:color w:val="auto"/>
              </w:rPr>
              <w:t>Recitals</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Superior Proposal</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5.02(h)</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Takeover Laws</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3.20</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Takeover Proposal</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5.02(h)</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Termination Fee</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8.02(b)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Transaction Bonus Plan Amendment</w:t>
            </w:r>
          </w:p>
        </w:tc>
        <w:tc>
          <w:tcPr>
            <w:tcW w:w="3820" w:type="dxa"/>
            <w:vAlign w:val="bottom"/>
          </w:tcPr>
          <w:p>
            <w:pPr>
              <w:ind w:left="1980"/>
              <w:spacing w:after="0"/>
              <w:rPr>
                <w:sz w:val="20"/>
                <w:szCs w:val="20"/>
                <w:color w:val="auto"/>
              </w:rPr>
            </w:pPr>
            <w:r>
              <w:rPr>
                <w:rFonts w:ascii="Arial" w:cs="Arial" w:eastAsia="Arial" w:hAnsi="Arial"/>
                <w:sz w:val="14"/>
                <w:szCs w:val="14"/>
                <w:color w:val="auto"/>
              </w:rPr>
              <w:t>Recitals</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Transaction Litigation</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6.08</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Triggering Notice</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5.02(d)</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Withdrawal Determination</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5.02(d)</w:t>
            </w:r>
          </w:p>
        </w:tc>
      </w:tr>
      <w:tr>
        <w:trPr>
          <w:trHeight w:val="35"/>
        </w:trPr>
        <w:tc>
          <w:tcPr>
            <w:tcW w:w="460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Interpretation; Disclosure Letter</w:t>
      </w:r>
      <w:r>
        <w:rPr>
          <w:rFonts w:ascii="Arial" w:cs="Arial" w:eastAsia="Arial" w:hAnsi="Arial"/>
          <w:sz w:val="18"/>
          <w:szCs w:val="18"/>
          <w:color w:val="auto"/>
        </w:rPr>
        <w:t>. Unless the context of this Agreement otherwise requires, when a reference is made in this Agreement to an Article, Section or Exhibit, such reference shall be to an Article, Section or Exhibit to this Agreement unless otherwise indicated. The preamble and the recitals set forth at the beginning of this Agreement are incorporated by reference into and made a part of this Agreement.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 “extent” and the phrase “to the extent” shall mean the degree to which a subject or thing extends, and such word or phrase shall not simply mean “if.” The word “will” shall be construed to have the same meaning and effect as the word “shall.” The words “or,” “any,” “neither,” “nor” or “either” shall not be exclusive. References to “this Agreement” shall include the Company Disclosure Letter.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References to any statute in this Agreement or any other Transaction Document shall be deemed to refer to such statute as amended from time to time and to any rules or regulations promulgated thereunder. References to any Contract in this Agreement or any other Transaction Document are to such Contract as amended, modified or supplemented (including by waiver or consent) from time to time in accordance with the terms hereof and thereof. The phrase “date hereof” or “date of this Agreement” shall be deemed to refer to the Effective Date. References from, to or through any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mean, unless otherwise specified, from and including, to and including or through and including, respectively, and not beyond such date.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 The terms “ordinary course” and “ordinary course of business” refers to the ordinary course of business substantially consistent with past practice of the applicable person and its Subsidiaries. Unless the context otherwise requires, references to any Person include references to such Person’s successors and permitted assigns, and, in the case of any Governmental Authority, to any Person succeeding to its functions and capacities. The term “writing” means the representation or reproduction of words, symbols or other information in a visible form by any method or combination of methods, whether in electronic form or otherwise, and including writings delivered by electronic delivery, and “written” will be construed in the same manner. Each Party has participated in the drafting of this Agreement, which each Party acknowledges is the result of extensive negotiations among the Parties and their advisors, and the Parties agree that there shall not apply to this Agreement or any provision hereof any rule or presumption of interpreting this Agreement or any provision hereof against the draftsperson of this Agreement or any provision hereof.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Exchange Transactions</w:t>
      </w:r>
    </w:p>
    <w:p>
      <w:pPr>
        <w:spacing w:after="0" w:line="86" w:lineRule="exact"/>
        <w:rPr>
          <w:sz w:val="20"/>
          <w:szCs w:val="20"/>
          <w:color w:val="auto"/>
        </w:rPr>
      </w:pPr>
    </w:p>
    <w:p>
      <w:pPr>
        <w:ind w:left="300" w:right="439"/>
        <w:spacing w:after="0" w:line="301"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Contribution and Exchange</w:t>
      </w:r>
      <w:r>
        <w:rPr>
          <w:rFonts w:ascii="Arial" w:cs="Arial" w:eastAsia="Arial" w:hAnsi="Arial"/>
          <w:sz w:val="17"/>
          <w:szCs w:val="17"/>
          <w:color w:val="auto"/>
        </w:rPr>
        <w:t>. Subject to the terms and conditions hereof, and in reliance upon the mutual representations and warranties set forth herein, at and effective as of the Closing:</w:t>
      </w:r>
    </w:p>
    <w:p>
      <w:pPr>
        <w:spacing w:after="0" w:line="23" w:lineRule="exact"/>
        <w:rPr>
          <w:sz w:val="20"/>
          <w:szCs w:val="20"/>
          <w:color w:val="auto"/>
        </w:rPr>
      </w:pPr>
    </w:p>
    <w:p>
      <w:pPr>
        <w:ind w:left="660" w:right="379"/>
        <w:spacing w:after="0" w:line="242" w:lineRule="auto"/>
        <w:rPr>
          <w:sz w:val="20"/>
          <w:szCs w:val="20"/>
          <w:color w:val="auto"/>
        </w:rPr>
      </w:pPr>
      <w:r>
        <w:rPr>
          <w:rFonts w:ascii="Arial" w:cs="Arial" w:eastAsia="Arial" w:hAnsi="Arial"/>
          <w:sz w:val="18"/>
          <w:szCs w:val="18"/>
          <w:color w:val="auto"/>
        </w:rPr>
        <w:t>(a)  (i) Lender shall automatically (without a need for any further action on the part of, or notice to, Lender or any other Person) contribute, transfer, assign and convey, and shall be deemed to have contributed, transferred, assigned and conveyed, to the Company all of its rights, title and interest in, to and under its Equity Exchange Obligations in exchange for the Exchange Stock, and (ii) pursuant to the terms of the New Credit Agreement, the Debt Exchange Obligations shall be exchanged on a dollar-for-dollar cashless basis for the New Term Loans.</w:t>
      </w:r>
    </w:p>
    <w:p>
      <w:pPr>
        <w:spacing w:after="0" w:line="71" w:lineRule="exact"/>
        <w:rPr>
          <w:sz w:val="20"/>
          <w:szCs w:val="20"/>
          <w:color w:val="auto"/>
        </w:rPr>
      </w:pPr>
    </w:p>
    <w:p>
      <w:pPr>
        <w:ind w:left="660" w:right="399"/>
        <w:spacing w:after="0"/>
        <w:rPr>
          <w:sz w:val="20"/>
          <w:szCs w:val="20"/>
          <w:color w:val="auto"/>
        </w:rPr>
      </w:pPr>
      <w:r>
        <w:rPr>
          <w:rFonts w:ascii="Arial" w:cs="Arial" w:eastAsia="Arial" w:hAnsi="Arial"/>
          <w:sz w:val="18"/>
          <w:szCs w:val="18"/>
          <w:color w:val="auto"/>
        </w:rPr>
        <w:t>(b)  The Company shall automatically (without a need for any further action on the part of, or notice to, the Company or any other Person) acquire and accept the contribution of the Equity Exchange Obligations and issue the Exchange Stock to Lender (or one or more of its Designated Affiliates) in book-entry form, free and clear of all Liens (other than any restrictions on transfer arising under applicable securities Laws). In furtherance of the foregoing, the Company shall cooperate with Lender and take such actions as may be reasonably necessary to (i) instruct the Company’s transfer agent to issue the Exchange Stock to Lender effective as of the Closing, and (ii) deliver to Lender evidence thereof in a form customarily delivered by the Company’s transfer agent.</w:t>
      </w:r>
    </w:p>
    <w:p>
      <w:pPr>
        <w:spacing w:after="0" w:line="72" w:lineRule="exact"/>
        <w:rPr>
          <w:sz w:val="20"/>
          <w:szCs w:val="20"/>
          <w:color w:val="auto"/>
        </w:rPr>
      </w:pPr>
    </w:p>
    <w:p>
      <w:pPr>
        <w:ind w:left="660" w:right="459"/>
        <w:spacing w:after="0" w:line="242" w:lineRule="auto"/>
        <w:rPr>
          <w:sz w:val="20"/>
          <w:szCs w:val="20"/>
          <w:color w:val="auto"/>
        </w:rPr>
      </w:pPr>
      <w:r>
        <w:rPr>
          <w:rFonts w:ascii="Arial" w:cs="Arial" w:eastAsia="Arial" w:hAnsi="Arial"/>
          <w:sz w:val="18"/>
          <w:szCs w:val="18"/>
          <w:color w:val="auto"/>
        </w:rPr>
        <w:t>(c)  In addition, the Company shall cooperate with Lender and take such actions as may be reasonably necessary to effectuate the transfer of a portion of the Exchange Stock from Lender to Nexus and Story3 in accordance with the terms of the Debt and Equity Purchase Agreement, including by instructing the Company’s transfer agent to effectuate such transfers effective as of the Closing Date, and deliver to Lender evidence thereof in a form customarily delivered by the Company’s transfer agent.</w:t>
      </w:r>
    </w:p>
    <w:p>
      <w:pPr>
        <w:spacing w:after="0" w:line="71" w:lineRule="exact"/>
        <w:rPr>
          <w:sz w:val="20"/>
          <w:szCs w:val="20"/>
          <w:color w:val="auto"/>
        </w:rPr>
      </w:pPr>
    </w:p>
    <w:p>
      <w:pPr>
        <w:ind w:left="660" w:right="1059"/>
        <w:spacing w:after="0" w:line="271" w:lineRule="auto"/>
        <w:rPr>
          <w:sz w:val="20"/>
          <w:szCs w:val="20"/>
          <w:color w:val="auto"/>
        </w:rPr>
      </w:pPr>
      <w:r>
        <w:rPr>
          <w:rFonts w:ascii="Arial" w:cs="Arial" w:eastAsia="Arial" w:hAnsi="Arial"/>
          <w:sz w:val="18"/>
          <w:szCs w:val="18"/>
          <w:color w:val="auto"/>
        </w:rPr>
        <w:t xml:space="preserve">(d)  The transactions described in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are referred to herein as the “</w:t>
      </w:r>
      <w:r>
        <w:rPr>
          <w:rFonts w:ascii="Arial" w:cs="Arial" w:eastAsia="Arial" w:hAnsi="Arial"/>
          <w:sz w:val="18"/>
          <w:szCs w:val="18"/>
          <w:u w:val="single" w:color="auto"/>
          <w:color w:val="auto"/>
        </w:rPr>
        <w:t>Exchange Transactions</w:t>
      </w:r>
      <w:r>
        <w:rPr>
          <w:rFonts w:ascii="Arial" w:cs="Arial" w:eastAsia="Arial" w:hAnsi="Arial"/>
          <w:sz w:val="18"/>
          <w:szCs w:val="18"/>
          <w:color w:val="auto"/>
        </w:rPr>
        <w: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Satisfaction of Equity Exchange Obligations and Debt Exchange Obligations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(a)  Subject to the terms and conditions hereof, and in reliance upon the mutual representations and warranties set forth herein, at and effective as of the Closing (immediately after giving effect to the consummation of the Exchange Transactions), without a need for any further action on the part of, or notice to, Lender, the Existing Agent or any other Person, (i)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Equity Exchange Obligations shall automatically be deemed paid and satisfied in full and irrevocably discharged, extinguished, terminated and released, and (ii) pursuant to the New Credit Agreement, the Debt Exchange Obligations shall be exchanged on a dollar-for-dollar cashless basis for New Term Loans.</w:t>
      </w:r>
    </w:p>
    <w:p>
      <w:pPr>
        <w:spacing w:after="0" w:line="66" w:lineRule="exact"/>
        <w:rPr>
          <w:sz w:val="20"/>
          <w:szCs w:val="20"/>
          <w:color w:val="auto"/>
        </w:rPr>
      </w:pPr>
    </w:p>
    <w:p>
      <w:pPr>
        <w:ind w:left="660" w:right="579"/>
        <w:spacing w:after="0" w:line="247" w:lineRule="auto"/>
        <w:rPr>
          <w:sz w:val="20"/>
          <w:szCs w:val="20"/>
          <w:color w:val="auto"/>
        </w:rPr>
      </w:pPr>
      <w:r>
        <w:rPr>
          <w:rFonts w:ascii="Arial" w:cs="Arial" w:eastAsia="Arial" w:hAnsi="Arial"/>
          <w:sz w:val="18"/>
          <w:szCs w:val="18"/>
          <w:color w:val="auto"/>
        </w:rPr>
        <w:t>(b)  After giving effect to the foregoing, Lender hereby ratifies any and all actions taken (or not taken) by the Existing Agent, in its capacity as such, that such Existing Agent may determine in its sole discretion to be necessary, advisable or desirable in carrying out, effectuating or otherwise in furtherance of the Exchange Transactions.</w:t>
      </w:r>
    </w:p>
    <w:p>
      <w:pPr>
        <w:spacing w:after="0" w:line="66" w:lineRule="exact"/>
        <w:rPr>
          <w:sz w:val="20"/>
          <w:szCs w:val="20"/>
          <w:color w:val="auto"/>
        </w:rPr>
      </w:pPr>
    </w:p>
    <w:p>
      <w:pPr>
        <w:ind w:left="300" w:right="579"/>
        <w:spacing w:after="0" w:line="25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Unless this Agreement shall have been terminated pursuant to </w:t>
      </w:r>
      <w:r>
        <w:rPr>
          <w:rFonts w:ascii="Arial" w:cs="Arial" w:eastAsia="Arial" w:hAnsi="Arial"/>
          <w:sz w:val="17"/>
          <w:szCs w:val="17"/>
          <w:u w:val="single" w:color="auto"/>
          <w:color w:val="auto"/>
        </w:rPr>
        <w:t>Section 8.01</w:t>
      </w:r>
      <w:r>
        <w:rPr>
          <w:rFonts w:ascii="Arial" w:cs="Arial" w:eastAsia="Arial" w:hAnsi="Arial"/>
          <w:sz w:val="17"/>
          <w:szCs w:val="17"/>
          <w:color w:val="auto"/>
        </w:rPr>
        <w:t>,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of the Exchange Transactions shall take place by means of a virtual closing</w:t>
      </w:r>
    </w:p>
    <w:p>
      <w:pPr>
        <w:spacing w:after="0" w:line="1" w:lineRule="exact"/>
        <w:rPr>
          <w:sz w:val="20"/>
          <w:szCs w:val="20"/>
          <w:color w:val="auto"/>
        </w:rPr>
      </w:pPr>
    </w:p>
    <w:p>
      <w:pPr>
        <w:ind w:left="300" w:right="419"/>
        <w:spacing w:after="0" w:line="224" w:lineRule="auto"/>
        <w:rPr>
          <w:sz w:val="20"/>
          <w:szCs w:val="20"/>
          <w:color w:val="auto"/>
        </w:rPr>
      </w:pPr>
      <w:r>
        <w:rPr>
          <w:rFonts w:ascii="Arial" w:cs="Arial" w:eastAsia="Arial" w:hAnsi="Arial"/>
          <w:sz w:val="18"/>
          <w:szCs w:val="18"/>
          <w:color w:val="auto"/>
        </w:rPr>
        <w:t>through electronic exchange of signatures at 9:00 a.m., Eastern time, on the second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Business Day following the satisfaction or waiver (to the extent permitted herein and by applicable Law)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those conditions that by their nature are to be satisfied at the Closing, but subject to the satisfaction or waiver of those conditions at such time) or on such other date, time or at such place as agreed to in writing by Lender and the Company. The date on which the Closing occurs is referred to in this Agreement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and the time the Exchange Transactions become effective is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Post-Closing Officers and Directors</w:t>
      </w:r>
      <w:r>
        <w:rPr>
          <w:rFonts w:ascii="Arial" w:cs="Arial" w:eastAsia="Arial" w:hAnsi="Arial"/>
          <w:sz w:val="18"/>
          <w:szCs w:val="18"/>
          <w:color w:val="auto"/>
        </w:rPr>
        <w:t>.</w:t>
      </w:r>
    </w:p>
    <w:p>
      <w:pPr>
        <w:spacing w:after="0" w:line="104"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Resignations</w:t>
      </w:r>
      <w:r>
        <w:rPr>
          <w:rFonts w:ascii="Arial" w:cs="Arial" w:eastAsia="Arial" w:hAnsi="Arial"/>
          <w:sz w:val="18"/>
          <w:szCs w:val="18"/>
          <w:color w:val="auto"/>
        </w:rPr>
        <w:t xml:space="preserve">. Concurrently with the execution and delivery of this Agreement, each director of the Company other than Jennifer Y. Hyman has delivered to the Company his or her resignation from the Company Board and all applicable committees thereof, and the Company shall accept such resignations as are necessary to give effect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and the Investor Rights Agreement, with such accepted resignations to be effective automatically and without further action by or on behalf of such director or any other person, upon the consummation of the Exchange Transactions.</w:t>
      </w:r>
    </w:p>
    <w:p>
      <w:pPr>
        <w:spacing w:after="0" w:line="71" w:lineRule="exact"/>
        <w:rPr>
          <w:sz w:val="20"/>
          <w:szCs w:val="20"/>
          <w:color w:val="auto"/>
        </w:rPr>
      </w:pPr>
    </w:p>
    <w:p>
      <w:pPr>
        <w:ind w:left="660" w:right="299"/>
        <w:spacing w:after="0" w:line="24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Post-Closing Company Board</w:t>
      </w:r>
      <w:r>
        <w:rPr>
          <w:rFonts w:ascii="Arial" w:cs="Arial" w:eastAsia="Arial" w:hAnsi="Arial"/>
          <w:sz w:val="18"/>
          <w:szCs w:val="18"/>
          <w:color w:val="auto"/>
        </w:rPr>
        <w:t>. The Parties shall take all actions as may be necessary to cause, as of the Effective Time, (i) the number of directors constituting the board of directors of the Company (the “</w:t>
      </w:r>
      <w:r>
        <w:rPr>
          <w:rFonts w:ascii="Arial" w:cs="Arial" w:eastAsia="Arial" w:hAnsi="Arial"/>
          <w:sz w:val="18"/>
          <w:szCs w:val="18"/>
          <w:u w:val="single" w:color="auto"/>
          <w:color w:val="auto"/>
        </w:rPr>
        <w:t>Post-Closing Board</w:t>
      </w:r>
      <w:r>
        <w:rPr>
          <w:rFonts w:ascii="Arial" w:cs="Arial" w:eastAsia="Arial" w:hAnsi="Arial"/>
          <w:sz w:val="18"/>
          <w:szCs w:val="18"/>
          <w:color w:val="auto"/>
        </w:rPr>
        <w:t xml:space="preserve">”) to be seven, and (ii) the Post-Closing Board to be comprised of the individuals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w:t>
      </w:r>
    </w:p>
    <w:p>
      <w:pPr>
        <w:spacing w:after="0" w:line="66"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Company as of immediately prior to the Closing shall continue to be the officers of the Company as of the Effective Time, each to hold office in accordance with the Company Governing Documents, as amended, until their respective successors are duly appointed or until their earlier death, resignation or removal.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-19050</wp:posOffset>
            </wp:positionV>
            <wp:extent cx="2472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66"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The Company represents and warrants to Lender that, except (i) as set forth in the SEC Documents (other than disclosures in the “Risk Factors” or “Forward-Looking Statements” sections or similarly captioned sections of any such filings or other forward-looking disclosures that are cautionary or predictive in nature) filed with the SEC and publicly available on the Electronic Data Gathering, Analysis and Retrieval database of the SEC at least two (2) Business Days prior to the Effective Date (it being acknowledged that nothing disclosed in the SEC Documents shall be deemed to modify or qualify the representations and warranties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(ii) as set forth in the letter (with specific reference to the particular Section or subsection corresponding to the representations and warranties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to which the information set forth in such letter relates;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information disclosed in one section of such letter corresponding to the representations and warranties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deemed to be disclosed in such other sections corresponding to the representations and warranties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to which its relevance is reasonably apparent on the face of such disclosed information and without the need to examine underlying documentation), dated as of the Effective Date, from the Company to Lender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as of the Effective Date and as of the Closing: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(a)  The Company is a corporation duly incorporated, validly existing and in good standing under the Laws of the State of Delaware and 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72"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(b)  Each of the Company’s Subsidiaries that is a significant subsidiary under Regulation S-X (including, for the avoidance of doubt, Rent the Runway Limited) is a corporation, limited liability company, partnership or other entity duly incorporated, validly existing and in good standing (where such concept is recognized under applicable law) under the Laws of the jurisdiction of its incorporation or formation (as applicable). Each of the Company’s Subsidiaries that is a significant subsidiary under Regulation S-X (including, for the avoidance of doubt, Rent the Runway Limited) has all requisite corporate, limited liability company, partnership or other entity power and authority necessary to own or lease its properties and to carry on its business as presently conducted, except as has not had, and would not reasonably be expected to have, individually or in the aggregate, a Company Material Adverse Effect. Each of the Company’s Subsidiaries that is a significant subsidiary under Regulation S-X (including, for the avoidance of doubt, Rent the Runway Limited) is duly licensed or qualified to do business as a foreign corporation, limited liability company, partnership or other entity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7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(c)  A true and complete copy of each of the Company Governing Documents is included in the filed SEC Documents. The Company is not in violation of any of the Company Governing Documents in any material respect, and no Subsidiary of the Company is in violation of its organizational documents in any material respect.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(a)  As of the Effective Date, the authorized capital stock of the Company consists of 300,000,000 shares of Class A Common Stock, 50,000,000 shares of Class B Common Stock and 10,000,000 shares of preferred stock, $0.001 par value per share (“</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and, together with the Company Common Stock, the “</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As of 5:00 p.m., Eastern time, on August 20, 2025 (the “</w:t>
      </w:r>
      <w:r>
        <w:rPr>
          <w:rFonts w:ascii="Arial" w:cs="Arial" w:eastAsia="Arial" w:hAnsi="Arial"/>
          <w:sz w:val="18"/>
          <w:szCs w:val="18"/>
          <w:u w:val="single" w:color="auto"/>
          <w:color w:val="auto"/>
        </w:rPr>
        <w:t>Capitalization Date</w:t>
      </w:r>
      <w:r>
        <w:rPr>
          <w:rFonts w:ascii="Arial" w:cs="Arial" w:eastAsia="Arial" w:hAnsi="Arial"/>
          <w:sz w:val="18"/>
          <w:szCs w:val="18"/>
          <w:color w:val="auto"/>
        </w:rPr>
        <w:t>”):</w:t>
      </w:r>
    </w:p>
    <w:p>
      <w:pPr>
        <w:spacing w:after="0" w:line="14" w:lineRule="exact"/>
        <w:rPr>
          <w:sz w:val="20"/>
          <w:szCs w:val="20"/>
          <w:color w:val="auto"/>
        </w:rPr>
      </w:pPr>
    </w:p>
    <w:p>
      <w:pPr>
        <w:ind w:left="660" w:right="339" w:hanging="8"/>
        <w:spacing w:after="0" w:line="236" w:lineRule="auto"/>
        <w:tabs>
          <w:tab w:leader="none" w:pos="8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3,941,332 shares of Class A Common Stock were issued and outstanding, (B) 155,699 shares of Class B Common Stock were issued and outstanding, (C) 0 shares of Class A Common Stock and 0 shares of Class B Common Stock were held in the Company’s treasury, (D) Company Options covering 29,034 shares of Company Common Stock were outstanding under the Company Equity Plans or otherwise, with a weighted average exercise price per share of $166.29, and (E) Company RSUs covering 214,465 shares of Company Common Stock were outstanding under the Company Equity Plans; (ii) 331,622 shares of Company Common Stock (in addition to shares of Company Common Stock subject to outstanding Company Options and Company RSUs) were reserved for issuance pursuant to the Company Equity Plans; (iii) no shares of Company Preferred Stock were issued or outstanding; and (iv) there were warrants to purchase 131,574 shares of Class A Common Stock at an average exercise price of $158.88 per share. No shares of capital stock of the Company are held by any of its Subsidiaries. All the outstanding shares of Company Common Stock are, and all shares of Company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reserved for issuance as described above shall be, if issued in accordance with the respective terms thereof (to the extent permitted by this Agreement), duly authorized, validly issued, fully paid and nonassessable and free of preemptive rights.</w:t>
      </w:r>
    </w:p>
    <w:p>
      <w:pPr>
        <w:spacing w:after="0" w:line="61"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(c)  All of the issued and outstanding shares of Company Common Stock are, and when issued in accordance with the terms hereof, the Exchange Stock will be, duly authorized and validly issued and fully paid and non-assessable. When issued in accordance with the terms hereof, the shares of Exchange Stock will be free and clear of all Liens (other than any restrictions on transfer arising under applicable securities Laws or restrictions under the Transaction Documents).</w:t>
      </w:r>
    </w:p>
    <w:p>
      <w:pPr>
        <w:spacing w:after="0" w:line="68" w:lineRule="exact"/>
        <w:rPr>
          <w:sz w:val="20"/>
          <w:szCs w:val="20"/>
          <w:color w:val="auto"/>
        </w:rPr>
      </w:pPr>
    </w:p>
    <w:p>
      <w:pPr>
        <w:ind w:left="660" w:right="379"/>
        <w:spacing w:after="0" w:line="237" w:lineRule="auto"/>
        <w:rPr>
          <w:sz w:val="20"/>
          <w:szCs w:val="20"/>
          <w:color w:val="auto"/>
        </w:rPr>
      </w:pPr>
      <w:r>
        <w:rPr>
          <w:rFonts w:ascii="Arial" w:cs="Arial" w:eastAsia="Arial" w:hAnsi="Arial"/>
          <w:sz w:val="18"/>
          <w:szCs w:val="18"/>
          <w:color w:val="auto"/>
        </w:rPr>
        <w:t xml:space="preserve">(d)  Except for the Rights Offering, the Rights Offering Backstop Agreement or as otherwise expressly described in this </w:t>
      </w:r>
      <w:r>
        <w:rPr>
          <w:rFonts w:ascii="Arial" w:cs="Arial" w:eastAsia="Arial" w:hAnsi="Arial"/>
          <w:sz w:val="18"/>
          <w:szCs w:val="18"/>
          <w:u w:val="single" w:color="auto"/>
          <w:color w:val="auto"/>
        </w:rPr>
        <w:t>Section 3.02</w:t>
      </w:r>
      <w:r>
        <w:rPr>
          <w:rFonts w:ascii="Arial" w:cs="Arial" w:eastAsia="Arial" w:hAnsi="Arial"/>
          <w:sz w:val="18"/>
          <w:szCs w:val="18"/>
          <w:color w:val="auto"/>
        </w:rPr>
        <w:t>: (i) no subscription, warrant, option, convertible security or other right issued by the Company to purchase or acquire any shares of capital stock of the Company is authorized or outstanding; (ii) there is not any commitment of the Company to issue any subscription, warrant, option, convertible security or other such right or to issue or distribute to holders of any shares of its capital stock; (iii) there are no outstanding bonds, debentures, notes or other indebtedness of the Company having the right to vote (or convertible into, or exchangeable for, securities having the right to vote) on any matter on which holders of shares of Company Common Stock may vote; (iv) the Company has no obligation to purchase, redeem or otherwise acquire any shares of its capital stock or to pay any dividend or make any other distribution in respect thereof; and (v) there are no agreements between the Company and any holder of its capital stock relating to the acquisition, disposition or voting of the capital stock of the Company. No person or entity is entitled to any preemptive right granted by the Company with respect to the issuance of any capital stock of the Company.</w:t>
      </w:r>
    </w:p>
    <w:p>
      <w:pPr>
        <w:spacing w:after="0" w:line="81" w:lineRule="exact"/>
        <w:rPr>
          <w:sz w:val="20"/>
          <w:szCs w:val="20"/>
          <w:color w:val="auto"/>
        </w:rPr>
      </w:pPr>
    </w:p>
    <w:p>
      <w:pPr>
        <w:ind w:left="660" w:right="639"/>
        <w:spacing w:after="0" w:line="271" w:lineRule="auto"/>
        <w:rPr>
          <w:sz w:val="20"/>
          <w:szCs w:val="20"/>
          <w:color w:val="auto"/>
        </w:rPr>
      </w:pPr>
      <w:r>
        <w:rPr>
          <w:rFonts w:ascii="Arial" w:cs="Arial" w:eastAsia="Arial" w:hAnsi="Arial"/>
          <w:sz w:val="18"/>
          <w:szCs w:val="18"/>
          <w:color w:val="auto"/>
        </w:rPr>
        <w:t>(e)  The Company Class A Common Stock constitutes the only issued classes of shares or other securities of the Company or its Subsidiaries registered under the Exchange Act.</w:t>
      </w:r>
    </w:p>
    <w:p>
      <w:pPr>
        <w:spacing w:after="0" w:line="46"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 xml:space="preserve">(f)  From the Capitalization Date through the Effective Date, the Company has not issued or granted any shares of Company Capital Stock or any other securities of the Company or any of its Subsidiaries other than pursuant to the exercise or vesting of equity awards issued under a Company Equity Plan outstanding as of the Capitalization Date as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rPr>
          <w:sz w:val="20"/>
          <w:szCs w:val="20"/>
          <w:color w:val="auto"/>
        </w:rPr>
      </w:pPr>
      <w:r>
        <w:rPr>
          <w:rFonts w:ascii="Arial" w:cs="Arial" w:eastAsia="Arial" w:hAnsi="Arial"/>
          <w:sz w:val="18"/>
          <w:szCs w:val="18"/>
          <w:color w:val="auto"/>
        </w:rPr>
        <w:t xml:space="preserve">(a)  The Company has all requisite corporate power and authority to execute and deliver the Principal Transaction Documents to which it is a party and, subject to receipt of the Company Stockholder Approval and assuming the accuracy of the representations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to consummate the Transactions. Assuming the accuracy of the representations set forth in </w:t>
      </w:r>
      <w:r>
        <w:rPr>
          <w:rFonts w:ascii="Arial" w:cs="Arial" w:eastAsia="Arial" w:hAnsi="Arial"/>
          <w:sz w:val="18"/>
          <w:szCs w:val="18"/>
          <w:u w:val="single" w:color="auto"/>
          <w:color w:val="auto"/>
        </w:rPr>
        <w:t>Section</w:t>
      </w:r>
    </w:p>
    <w:p>
      <w:pPr>
        <w:ind w:left="660" w:right="319"/>
        <w:spacing w:after="0" w:line="236" w:lineRule="auto"/>
        <w:rPr>
          <w:sz w:val="20"/>
          <w:szCs w:val="20"/>
          <w:color w:val="auto"/>
        </w:rPr>
      </w:pPr>
      <w:r>
        <w:rPr>
          <w:rFonts w:ascii="Arial" w:cs="Arial" w:eastAsia="Arial" w:hAnsi="Arial"/>
          <w:sz w:val="18"/>
          <w:szCs w:val="18"/>
          <w:u w:val="single" w:color="auto"/>
          <w:color w:val="auto"/>
        </w:rPr>
        <w:t>4.10</w:t>
      </w:r>
      <w:r>
        <w:rPr>
          <w:rFonts w:ascii="Arial" w:cs="Arial" w:eastAsia="Arial" w:hAnsi="Arial"/>
          <w:sz w:val="18"/>
          <w:szCs w:val="18"/>
          <w:color w:val="auto"/>
        </w:rPr>
        <w:t>, execution, delivery and performance by the Company of each Principal Transaction Document to which it is a party and the consummation by the Company of the Transactions have been duly authorized by all necessary corporate action on the part of the Company and no other corporate proceedings on the part of the Company or the Company Stockholders are necessary to approve this Agreement and to consummate the Transactions, subject, in the case of the Exchange Transactions, the issuance of shares of Class A Common Stock issuable pursuant to the Rights Offering Backstop Agreement, the adoption of the MIP and the filing of the Amended and Restated Charter with the Secretary of State of Delaware, to receipt of the Company Stockholder Approval and the Amended and Restated Charter Approval, respectively. The Company has duly executed and delivered each Principal Transaction Document to which it is a party, and, assuming the due authorization, execution and delivery of such Principal Transaction Documents on behalf of the other parties hereto and thereto, each such Principal Transaction Document constitutes its legal, valid and binding obligation, enforceable against it in accordance with its terms, subject to such enforceability potentially being limited by (i) applicable bankruptcy, insolvency, reorganization, moratorium or other laws affecting the enforcement of creditors’ rights generally and (ii) general equitable principles (whether considered in a proceeding in equity or at law) (the “</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(b)  The Finance Committee has (i) determined that the terms of this Agreement and the other Principal Transaction Documents and the Transactions, including the Exchange Transactions, are fair to, and in the best interests of, the Company and the Company Stockholders, (ii) determined that it is in the best interests of the Company and the Company Stockholders and declared it advisable that the Company enter into this Agreement and the other Principal Transaction Documents, and (iii) resolved to make the Finance Committee Recommendation to the Company Board.</w:t>
      </w:r>
    </w:p>
    <w:p>
      <w:pPr>
        <w:spacing w:after="0" w:line="71"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(c)  The Company Board, acting upon the Finance Committee Recommendation, at a meeting duly called and held, has (i) determined that the terms of this Agreement and the other Principal Transaction Documents and the Transactions, including the Exchange Transactions, are fair to, and in the best interests of, the Company and the Company Stockholders, (ii) determined that it is in the best interests of the Company and the Company Stockholders and declared it advisable that the Company enter into this Agreement and the other Principal Transaction Documents, (iii) approved the execution and delivery by the Company of this Agreement and the other Principal Transaction Documents, the performance by the Company of its covenants and agreements contained herein and therein and the consummation of the Exchange Transactions and the other Transactions upon the terms and subject to the conditions contained herein and in the other Principal Transaction Documents, and (iv) resolved to make to the Company Stockholders the Company Board Recommendation, which resolutions have not been rescinded, modified or withdrawn in any way.</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50" w:lineRule="auto"/>
        <w:rPr>
          <w:sz w:val="20"/>
          <w:szCs w:val="20"/>
          <w:color w:val="auto"/>
        </w:rPr>
      </w:pPr>
      <w:r>
        <w:rPr>
          <w:rFonts w:ascii="Arial" w:cs="Arial" w:eastAsia="Arial" w:hAnsi="Arial"/>
          <w:sz w:val="17"/>
          <w:szCs w:val="17"/>
          <w:color w:val="auto"/>
        </w:rPr>
        <w:t xml:space="preserve">(a)  The execution, delivery and performance by the Company of each Transaction Document to which it is a party do not, and, except as described in </w:t>
      </w:r>
      <w:r>
        <w:rPr>
          <w:rFonts w:ascii="Arial" w:cs="Arial" w:eastAsia="Arial" w:hAnsi="Arial"/>
          <w:sz w:val="17"/>
          <w:szCs w:val="17"/>
          <w:u w:val="single" w:color="auto"/>
          <w:color w:val="auto"/>
        </w:rPr>
        <w:t>Section 3.04(b)</w:t>
      </w:r>
      <w:r>
        <w:rPr>
          <w:rFonts w:ascii="Arial" w:cs="Arial" w:eastAsia="Arial" w:hAnsi="Arial"/>
          <w:sz w:val="17"/>
          <w:szCs w:val="17"/>
          <w:color w:val="auto"/>
        </w:rPr>
        <w:t>, the consummation of the Transactions and compliance with the provisions hereof will not, (i)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(other than the Existing Credit Agreement)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(ii) conflict with or result in any violation of any provision of the Company Governing Documents or organizational documents of the Company’s Subsidiaries, or</w:t>
      </w:r>
    </w:p>
    <w:p>
      <w:pPr>
        <w:spacing w:after="0" w:line="6" w:lineRule="exact"/>
        <w:rPr>
          <w:sz w:val="20"/>
          <w:szCs w:val="20"/>
          <w:color w:val="auto"/>
        </w:rPr>
      </w:pPr>
    </w:p>
    <w:p>
      <w:pPr>
        <w:ind w:left="660" w:right="359" w:hanging="8"/>
        <w:spacing w:after="0" w:line="239" w:lineRule="auto"/>
        <w:tabs>
          <w:tab w:leader="none" w:pos="9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conflict with or violate any Laws applicable to the Company or any of the Company’s Subsidiaries or any of their respective properties, rights or assets or any Company Permits, other than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any such violation, conflict, default, termination, cancellation, acceleration, right, loss or Lien that has not been or would not reasonably be expected to be, individually or in the aggregate, material to the Company and its Subsidiaries, taken as a whole.</w:t>
      </w:r>
    </w:p>
    <w:p>
      <w:pPr>
        <w:spacing w:after="0" w:line="72"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(b)  Other than in connection with or in compliance with (i) the DGCL, (ii) the filing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of a proxy statement relating to the approval by the Company Stockholders of the Amended and Restated Charter and the issuance of the Exchange Stock by the Company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and any amendments or supplements thereto or the filing and effectiveness of the Rights Offering Registration Statement and the Rights Offering, (iii)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(iv)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(v) other applicable state or federal securities Laws, and (vi) any applicable requirements of the Nasdaq Global Market (“</w:t>
      </w:r>
      <w:r>
        <w:rPr>
          <w:rFonts w:ascii="Arial" w:cs="Arial" w:eastAsia="Arial" w:hAnsi="Arial"/>
          <w:sz w:val="18"/>
          <w:szCs w:val="18"/>
          <w:u w:val="single" w:color="auto"/>
          <w:color w:val="auto"/>
        </w:rPr>
        <w:t>Nasdaq</w:t>
      </w:r>
      <w:r>
        <w:rPr>
          <w:rFonts w:ascii="Arial" w:cs="Arial" w:eastAsia="Arial" w:hAnsi="Arial"/>
          <w:sz w:val="18"/>
          <w:szCs w:val="18"/>
          <w:color w:val="auto"/>
        </w:rPr>
        <w:t>”), no consent, approval, license, clearance, order or authorization (each, a “</w:t>
      </w:r>
      <w:r>
        <w:rPr>
          <w:rFonts w:ascii="Arial" w:cs="Arial" w:eastAsia="Arial" w:hAnsi="Arial"/>
          <w:sz w:val="18"/>
          <w:szCs w:val="18"/>
          <w:u w:val="single" w:color="auto"/>
          <w:color w:val="auto"/>
        </w:rPr>
        <w:t>Consent</w:t>
      </w:r>
      <w:r>
        <w:rPr>
          <w:rFonts w:ascii="Arial" w:cs="Arial" w:eastAsia="Arial" w:hAnsi="Arial"/>
          <w:sz w:val="18"/>
          <w:szCs w:val="18"/>
          <w:color w:val="auto"/>
        </w:rPr>
        <w:t>”) of, or registration, declaration or filing with any Governmental Authority is necessary or required, under applicable Law, to be obtained or made by or with respect to the Company or any of its Subsidiaries in connection with the execution, delivery and performance of any Transaction Document to which it is a party or the consummation of the Transactions, except for such Consents or filings that, if not obtained or made, would not reasonably be expected to be material to the Company and its Subsidiaries, taken as a whole.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Company Disclosure Letter sets forth a true and complete list of each Subsidiary of the Company. All of the issued and outstanding capital stock or equity interests of the Company’s Subsidiaries has been duly authorized and validly issued, and in the case of corporations, is fully paid and non-assessable. The Company, directly or indirectly, owns of record and beneficially, free and clear of all Liens (other than any restrictions on transfer arising under applicable securities Laws and Liens arising in connection with the Existing Credit Agreement or the New Credit Agreement), all of the issued and outstanding capital stock or equity interests of each of its Subsidiaries. There are no outstanding rights, options, warrants, preemptive rights, conversion rights, rights of first refusal or similar rights for the purchase or acquisition from any of the Company’s Subsidiaries of any securities of such Subsidiaries nor are there any commitments to issue or execute any such rights, options, warrants, preemptive rights, conversion rights or rights of first refusal.</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SEC Documents; Undisclosed Liabilities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5" w:lineRule="auto"/>
        <w:rPr>
          <w:sz w:val="20"/>
          <w:szCs w:val="20"/>
          <w:color w:val="auto"/>
        </w:rPr>
      </w:pPr>
      <w:r>
        <w:rPr>
          <w:rFonts w:ascii="Arial" w:cs="Arial" w:eastAsia="Arial" w:hAnsi="Arial"/>
          <w:sz w:val="18"/>
          <w:szCs w:val="18"/>
          <w:color w:val="auto"/>
        </w:rPr>
        <w:t>(a)  Since the date that is two years prior to the Effective Date (the “</w:t>
      </w:r>
      <w:r>
        <w:rPr>
          <w:rFonts w:ascii="Arial" w:cs="Arial" w:eastAsia="Arial" w:hAnsi="Arial"/>
          <w:sz w:val="18"/>
          <w:szCs w:val="18"/>
          <w:u w:val="single" w:color="auto"/>
          <w:color w:val="auto"/>
        </w:rPr>
        <w:t>Lookback Date</w:t>
      </w:r>
      <w:r>
        <w:rPr>
          <w:rFonts w:ascii="Arial" w:cs="Arial" w:eastAsia="Arial" w:hAnsi="Arial"/>
          <w:sz w:val="18"/>
          <w:szCs w:val="18"/>
          <w:color w:val="auto"/>
        </w:rPr>
        <w:t>”), the Company has timely filed or furnished (i) all annual and quarterly reports and proxy statements (including all amendments, exhibits and schedules thereto) and (ii) all other reports and other documents (including all amendments, exhibits and schedules thereto), in each case required to be filed or furnished by the Company with the SEC pursuant to the Exchange Act and the Securities Act. As of their respective filing dates (or, if amended or superseded by a filing prior to the Effective Date, on the date of such amended or superseding filing), such SEC Documents complied in all material respects with the requirements of the Securities Act, the Exchange Act and the rules and regulations of the SEC thereunder applicable to such SEC Documents, and as of their respective dates (or, if amended or superseded by a filing prior to the Effective Date, on the date of such amended or superseding filing) none of the SEC Documents contained any untrue statement of a material fact or omitted to state a material fact required to be stated therein or necessary in order to make the statements therein, in light of the circumstances under which they were made, not misleading. As of the Effective Date, there are no unresolved written comments issued by the staff of the SEC with respect to any of the SEC Documents. As of the Effective Date, none of the SEC Documents is the subject of any ongoing review by the SEC. The financial statements of the Company included in the SEC Documents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comply as of their respective dates in all material respects with applicable accounting requirements and the rules and regulations of the SEC with respect thereto (except as may be indicated in the notes thereto or, in the case of the unaudited statements, as permitted by Form 10-Q promulgated by the SEC), and present fairly in all material respects as of their respective dates the consolidated financial position of the Company and its Subsidiaries as at the dates thereof and the consolidated results of their operations and their consolidated cash flows for each of the respective periods, all in conformity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during the periods involved (except as may be indicated in such Financial Statements or the notes thereto and subject, in the case of the unaudited financial statements, to normal and recurring year-end and audit adjustments). There is no transaction, arrangement or other relationship between the Company and/or any of its Subsidiaries and an unconsolidated or other off-balance sheet entity that is required by applicable Law to be disclosed by the Company in its SEC Documents and is not so disclosed. The Company and its Subsidiaries do not have any liabilities or obligations of any nature, whether known or unknown, absolute, accrued, contingent or otherwise and whether due or to become due, in each case, that would be required under GAAP, as in effect on the Effective Date, to be reflected on a consolidated balance sheet of the Company (or disclosed in the notes to such balance sheet), other than liabilities or obligations (A) reflected on, reserved against, or disclosed in the notes to, the Company’s most recent consolidated balance sheet included in the SEC Documents, (B) that were incurred after the date of the Company’s most recent consolidated balance sheet included in the SEC Documents in the ordinary course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47" w:lineRule="auto"/>
        <w:rPr>
          <w:sz w:val="20"/>
          <w:szCs w:val="20"/>
          <w:color w:val="auto"/>
        </w:rPr>
      </w:pPr>
      <w:r>
        <w:rPr>
          <w:rFonts w:ascii="Arial" w:cs="Arial" w:eastAsia="Arial" w:hAnsi="Arial"/>
          <w:sz w:val="18"/>
          <w:szCs w:val="18"/>
          <w:color w:val="auto"/>
        </w:rPr>
        <w:t>business, (C) as expressly contemplated by this Agreement or otherwise incurred in connection with the transactions contemplated by this Agreement, or (D) as has not been and would not reasonably be expected to be, individually or in the aggregate, material to the Company and its Subsidiaries, taken as a whole.</w:t>
      </w:r>
    </w:p>
    <w:p>
      <w:pPr>
        <w:spacing w:after="0" w:line="66"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(b)  The Company has disclosed, based on its most recent evaluation prior to the Effective Date, to the Company’s outside auditors and the Audit Committee of the Company Board (i) any significant deficiencies and material weaknesses in the design or operation of internal control over financial reporting (as defined in Rule 13a-15(f) under the Exchange Act)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The Company is in compliance in all material respects with the applicable provisions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with the applicable provisions of the Sarbanes-Oxley Act. Neither the Company nor any of its executive officers has received since the Lookback Date written notice from any Governmental Authority challenging or questioning the accuracy, completeness, form or manner of filing of such certifications.</w:t>
      </w:r>
    </w:p>
    <w:p>
      <w:pPr>
        <w:spacing w:after="0" w:line="78"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(c)  The Company has established and maintains disclosure controls and procedures (as such term is defined in Rule 13a-15 and 15d-15 under the Exchange Act) that are designed to provide reasonable assurance that material information relating to the Company, including its Subsidiaries, that is required to be disclosed by the Company in the reports that it furnishes or files under the Exchange Act is reported within the time periods specified in the rules and forms of the SEC and that such material information is communicated to the Company’s management to allow timely decisions regarding required disclosure.</w:t>
      </w:r>
    </w:p>
    <w:p>
      <w:pPr>
        <w:spacing w:after="0" w:line="77"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None of the information supplied or to be supplied by the Company for inclusion or incorporation by reference in the Proxy Statement or the Rights Offering Registration Statement, as applicable, will, at the time it is filed with the SEC, at the date it is first mailed to the Company Stockholders, at the time of the Company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The Proxy Statement and the Rights Offering Registration Statement will comply as to form in all material respects with the requirements of the Exchange Act and the rules and regulations thereunder, except that no representation or warranty is made by the Company with respect to information or statements made or incorporated by reference in the Proxy Statement or the Rights Offering Registration Statement based on information supplied by or on behalf of Lender.</w:t>
      </w:r>
    </w:p>
    <w:p>
      <w:pPr>
        <w:spacing w:after="0" w:line="75"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From February 1, 2025, through the Effective Date, except for the execution and performance of this Agreement, the business of the Company and its Subsidiaries has been conducted in all material respects in the ordinary course of business. From February 1, 2025, through the Effective Date, there has not been:</w:t>
      </w:r>
    </w:p>
    <w:p>
      <w:pPr>
        <w:spacing w:after="0" w:line="66"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(a)  any change, effect, event, occurrence, state of facts or development that, individually or in the aggregate, would have a Company Material Adverse Effect; or</w:t>
      </w:r>
    </w:p>
    <w:p>
      <w:pPr>
        <w:spacing w:after="0" w:line="46" w:lineRule="exact"/>
        <w:rPr>
          <w:sz w:val="20"/>
          <w:szCs w:val="20"/>
          <w:color w:val="auto"/>
        </w:rPr>
      </w:pPr>
    </w:p>
    <w:p>
      <w:pPr>
        <w:ind w:left="660" w:right="659"/>
        <w:spacing w:after="0" w:line="271" w:lineRule="auto"/>
        <w:rPr>
          <w:sz w:val="20"/>
          <w:szCs w:val="20"/>
          <w:color w:val="auto"/>
        </w:rPr>
      </w:pPr>
      <w:r>
        <w:rPr>
          <w:rFonts w:ascii="Arial" w:cs="Arial" w:eastAsia="Arial" w:hAnsi="Arial"/>
          <w:sz w:val="18"/>
          <w:szCs w:val="18"/>
          <w:color w:val="auto"/>
        </w:rPr>
        <w:t xml:space="preserve">(b)  any action that, if it had been taken or occurred after the execution of this Agreement, would have required the consent of Lender pursuant to </w:t>
      </w:r>
      <w:r>
        <w:rPr>
          <w:rFonts w:ascii="Arial" w:cs="Arial" w:eastAsia="Arial" w:hAnsi="Arial"/>
          <w:sz w:val="18"/>
          <w:szCs w:val="18"/>
          <w:u w:val="single" w:color="auto"/>
          <w:color w:val="auto"/>
        </w:rPr>
        <w:t>clauses (iii)-(viii)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5.01(a)</w:t>
      </w:r>
      <w:r>
        <w:rPr>
          <w:rFonts w:ascii="Arial" w:cs="Arial" w:eastAsia="Arial" w:hAnsi="Arial"/>
          <w:sz w:val="18"/>
          <w:szCs w:val="18"/>
          <w:color w:val="auto"/>
        </w:rPr>
        <w: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04" w:lineRule="exact"/>
        <w:rPr>
          <w:sz w:val="20"/>
          <w:szCs w:val="20"/>
          <w:color w:val="auto"/>
        </w:rPr>
      </w:pPr>
    </w:p>
    <w:p>
      <w:pPr>
        <w:ind w:left="660" w:right="819"/>
        <w:spacing w:after="0" w:line="271" w:lineRule="auto"/>
        <w:rPr>
          <w:sz w:val="20"/>
          <w:szCs w:val="20"/>
          <w:color w:val="auto"/>
        </w:rPr>
      </w:pPr>
      <w:r>
        <w:rPr>
          <w:rFonts w:ascii="Arial" w:cs="Arial" w:eastAsia="Arial" w:hAnsi="Arial"/>
          <w:sz w:val="18"/>
          <w:szCs w:val="18"/>
          <w:color w:val="auto"/>
        </w:rPr>
        <w:t>(a)  The Company and its Subsidiaries have timely filed all federal, state, local and foreign Tax Returns required to be filed through the Effective Date, subject to permitted extensions,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56" w:lineRule="auto"/>
        <w:rPr>
          <w:sz w:val="20"/>
          <w:szCs w:val="20"/>
          <w:color w:val="auto"/>
        </w:rPr>
      </w:pPr>
      <w:r>
        <w:rPr>
          <w:rFonts w:ascii="Arial" w:cs="Arial" w:eastAsia="Arial" w:hAnsi="Arial"/>
          <w:sz w:val="17"/>
          <w:szCs w:val="17"/>
          <w:color w:val="auto"/>
        </w:rPr>
        <w:t>have timely paid all Taxes due by the Company and its Subsidiaries, including on their respective assets, income, businesses and franchises, whether or not shown to be payable on such Tax Returns (other than (i) with respect to which the failure to make such filing or payment would not reasonably be expected to have, individually or in the aggregate, a Company Material Adverse Effect, or (ii) any Taxes the amount or validity of which are currently being diligently contested in good faith by appropriate proceedings with adequate reserves maintained in accordance with GAAP). No Tax lien has been filed with respect to any Taxes other than liens or claims which could not reasonably be expected to have, individually or in the aggregate, a Company Material Adverse Effect.</w:t>
      </w:r>
    </w:p>
    <w:p>
      <w:pPr>
        <w:spacing w:after="0" w:line="60" w:lineRule="exact"/>
        <w:rPr>
          <w:sz w:val="20"/>
          <w:szCs w:val="20"/>
          <w:color w:val="auto"/>
        </w:rPr>
      </w:pPr>
    </w:p>
    <w:p>
      <w:pPr>
        <w:ind w:left="660" w:right="799"/>
        <w:spacing w:after="0" w:line="253" w:lineRule="auto"/>
        <w:rPr>
          <w:sz w:val="20"/>
          <w:szCs w:val="20"/>
          <w:color w:val="auto"/>
        </w:rPr>
      </w:pPr>
      <w:r>
        <w:rPr>
          <w:rFonts w:ascii="Arial" w:cs="Arial" w:eastAsia="Arial" w:hAnsi="Arial"/>
          <w:sz w:val="18"/>
          <w:szCs w:val="18"/>
          <w:color w:val="auto"/>
        </w:rPr>
        <w:t>(b)  No claim is being threatened in writing with respect to any Taxes other than liens or claims which could not reasonably be expected to have, individually or in the aggregate, a Company Material Adverse Effect.</w:t>
      </w:r>
    </w:p>
    <w:p>
      <w:pPr>
        <w:spacing w:after="0" w:line="61" w:lineRule="exact"/>
        <w:rPr>
          <w:sz w:val="20"/>
          <w:szCs w:val="20"/>
          <w:color w:val="auto"/>
        </w:rPr>
      </w:pPr>
    </w:p>
    <w:p>
      <w:pPr>
        <w:jc w:val="both"/>
        <w:ind w:left="660" w:right="479"/>
        <w:spacing w:after="0" w:line="253" w:lineRule="auto"/>
        <w:rPr>
          <w:sz w:val="20"/>
          <w:szCs w:val="20"/>
          <w:color w:val="auto"/>
        </w:rPr>
      </w:pPr>
      <w:r>
        <w:rPr>
          <w:rFonts w:ascii="Arial" w:cs="Arial" w:eastAsia="Arial" w:hAnsi="Arial"/>
          <w:sz w:val="18"/>
          <w:szCs w:val="18"/>
          <w:color w:val="auto"/>
        </w:rPr>
        <w:t>(c)  No transfer, documentary, sales, use, registration, and real property transfer, stamp tax, excise tax, stock transfer tax, or other similar taxes (excluding any income taxes) are expected to arise out of or in connection with the Transaction effected pursuant to this Agreement.</w:t>
      </w:r>
    </w:p>
    <w:p>
      <w:pPr>
        <w:spacing w:after="0" w:line="6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(d)  No examination of any Tax Return of the Company or its Subsidiaries is currently in progress by any Governmental Authority and neither the Company nor its Subsidiaries has received written notice (or, to the knowledge of the Company, oral notice) of any contemplated examination of any such Tax Return and no adjustment has been proposed in writing (or, to the knowledge of the Company, orally) with respect to any such Tax Returns by any Governmental Authority, except, in each case, as has not had, and would not reasonably be expected to have, individually or in the aggregate, a Company Material Adverse Effect.</w:t>
      </w:r>
    </w:p>
    <w:p>
      <w:pPr>
        <w:spacing w:after="0" w:line="77" w:lineRule="exact"/>
        <w:rPr>
          <w:sz w:val="20"/>
          <w:szCs w:val="20"/>
          <w:color w:val="auto"/>
        </w:rPr>
      </w:pPr>
    </w:p>
    <w:p>
      <w:pPr>
        <w:ind w:left="660" w:right="559"/>
        <w:spacing w:after="0" w:line="271" w:lineRule="auto"/>
        <w:rPr>
          <w:sz w:val="20"/>
          <w:szCs w:val="20"/>
          <w:color w:val="auto"/>
        </w:rPr>
      </w:pPr>
      <w:r>
        <w:rPr>
          <w:rFonts w:ascii="Arial" w:cs="Arial" w:eastAsia="Arial" w:hAnsi="Arial"/>
          <w:sz w:val="18"/>
          <w:szCs w:val="18"/>
          <w:color w:val="auto"/>
        </w:rPr>
        <w:t>(e)  Neither the Company nor any of its Subsidiaries has been party to any “listed transaction,” as defined in Section 6707A(c)(2) of the Code and Treasury Regulation 1.6011-4(b)(2).</w:t>
      </w:r>
    </w:p>
    <w:p>
      <w:pPr>
        <w:spacing w:after="0" w:line="46"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(f)  To the knowledge of the Company, neither the Company nor any of its Subsidiaries is a party to or bound by or has any obligation under any Tax allocation or Tax sharing agreement with any Person, other than between or among the Company and its Subsidiaries or any agreement not primarily related to Taxes and entered into in the ordinary course of business.</w:t>
      </w:r>
    </w:p>
    <w:p>
      <w:pPr>
        <w:spacing w:after="0" w:line="66"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(g)  The Company and its Subsidiaries have made adequate provision in accordance with GAAP for all material Taxes not yet due and payable. No Tax deficiency has been determined adversely to the Company or any of its Subsidiaries, which deficiency has not been either paid or is being diligently contested in good faith by appropriate proceedings with adequate reserves maintained in accordance with GAAP, except, in each case, as has not had, and would not reasonably be expected to have, individually or in the aggregate, a Company Material Adverse Effect.</w:t>
      </w:r>
    </w:p>
    <w:p>
      <w:pPr>
        <w:spacing w:after="0" w:line="7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Compliance with Applicable Laws; Permits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(a)  The Company and its Subsidiaries are and have been since the Lookback Date in compliance with and not in default under or in violation of any Laws applicable to the Company, its Subsidiaries or any of their respective properties or assets, except where such non-compliance, default or violation has not had, and would not reasonably be expected to have, individually or in the aggregate, a Company Material Adverse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(b)  The Company and its Subsidiaries possess, and have since the Lookback Date possessed, all franchises, grants, authorizations, business licenses, permits, easements, variances, exceptions, consents, certificates, approvals, registrations, clearances and orders of any Governmental Authority or pursuant to any applicable Law necessary for the Company and its Subsidiaries to own, lease and operate their properties and assets or to carry on their businesses as they are now being conducted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any of its Subsidiaries has received any written notice from any Governmental Authority threatening to suspend, revoke, withdraw or modify any such Company Permit.</w:t>
      </w:r>
    </w:p>
    <w:p>
      <w:pPr>
        <w:spacing w:after="0" w:line="72"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(c)  The Company, each of its Subsidiaries, and each of their respective Representatives acting on their behalf, has, since February 1, 2020, complied in all material respects with all applicable Specified Business Conduct Laws. Since February 1, 2020, neither the Company nor any of its Subsidiaries, nor, to the knowledge of the Company, any of their respective directors, officers or employees, has been subject to any actual, pending or threatened civil, criminal or administrative actions, suits, demands, claims, hearings, notices of violation, investigations, proceedings, demand letters, settlements or enforcement actions, or made any disclosures to any Governmental Authority, involving the Company or any of its Subsidiaries, in any way relating to any applicable Specified Business Conduct Laws.</w:t>
      </w:r>
    </w:p>
    <w:p>
      <w:pPr>
        <w:spacing w:after="0" w:line="75"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(d)  Neither the Company nor any Subsidiary of the Company, nor, to the Company’s knowledge, any director, officer, agent, employee or affiliate of the Company or such Subsidiary: (i) is a Person that is (A) listed on any Sanctions-related list of designated Persons maintained by OFAC or the U.S. Department of State, (B) located, organized, or resident in a country or territory that is itself the subject or target of any Sanctions (including, at the time of this Agreement, Cuba, Iran, North Korea, Syria, and the Crimea, so-called Donetsk People’s Republic, and so-called Luhansk People’s Republic regions of Ukraine)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(C) designated on the Consolidated List of Persons, Groups and Entities Subject to EU Financial Sanctions maintained by the European Commission or the Consolidated List of Financial Sanctions Targets maintained by the Office of Financial Sanctions Implementation within the UK’s HM Treasury, or any other equivalent lists maintained by the competent sanctions authority of any state, or (D) owned or controlled by any such Person or Persons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Sanctioned Person</w:t>
      </w:r>
      <w:r>
        <w:rPr>
          <w:rFonts w:ascii="Arial" w:cs="Arial" w:eastAsia="Arial" w:hAnsi="Arial"/>
          <w:sz w:val="18"/>
          <w:szCs w:val="18"/>
          <w:color w:val="auto"/>
        </w:rPr>
        <w:t>”) or (ii) has, since February 1, 2020, conducted any business with or engaged in any transaction or arrangement with or involving, directly or indirectly, any Sanctioned Person or Sanctioned Country in violation of applicable Sanctions, or has otherwise been in violation of any such Sanctions. Neither the Company nor any of its Subsidiaries has, since February 1, 2020, received any written notice of material deficiencies in connection with any Sanctions matter from OFAC or any other Governmental Authority in its compliance efforts nor, since February 1, 2020, made any voluntary disclosures to OFAC or any other Governmental Authority of facts that could result in any material action being taken or any material penalty being imposed by a Governmental Authority against the Company or any of its Subsidiaries.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The Company is in compliance in all material respects with the applicable rules of Nasdaq.</w:t>
      </w:r>
    </w:p>
    <w:p>
      <w:pPr>
        <w:spacing w:after="0" w:line="104"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The Company and each of its Subsidiaries is, and since the Lookback Date has been, in compliance with all applicable Environmental Laws and Environmental Permits, except where the failure to comply has not had, and would not reasonably be expected to have, individually or in the aggregate, a Company Material Adverse Effect. Since the Lookback Date, neither the Company nor any of its Subsidiaries has received any written notice from any Governmental Authority of any violation or alleged violation of any Environmental Law or Environmental Permit, except as has not had, and would not reasonably be expected to have, individually or in the aggregate, a Company Material Adverse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Material Contracts; Debt Instruments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53" w:lineRule="auto"/>
        <w:rPr>
          <w:sz w:val="20"/>
          <w:szCs w:val="20"/>
          <w:color w:val="auto"/>
        </w:rPr>
      </w:pPr>
      <w:r>
        <w:rPr>
          <w:rFonts w:ascii="Arial" w:cs="Arial" w:eastAsia="Arial" w:hAnsi="Arial"/>
          <w:sz w:val="17"/>
          <w:szCs w:val="17"/>
          <w:color w:val="auto"/>
        </w:rPr>
        <w:t>(a)  As of the Effective Date, neither the Company nor any of its Subsidiaries that is a party to a Material Contract (as defined in the Existing Credit Agreement) (each, a “</w:t>
      </w:r>
      <w:r>
        <w:rPr>
          <w:rFonts w:ascii="Arial" w:cs="Arial" w:eastAsia="Arial" w:hAnsi="Arial"/>
          <w:sz w:val="17"/>
          <w:szCs w:val="17"/>
          <w:u w:val="single" w:color="auto"/>
          <w:color w:val="auto"/>
        </w:rPr>
        <w:t>Company 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w:t>
      </w:r>
      <w:r>
        <w:rPr>
          <w:rFonts w:ascii="Arial" w:cs="Arial" w:eastAsia="Arial" w:hAnsi="Arial"/>
          <w:sz w:val="17"/>
          <w:szCs w:val="17"/>
          <w:color w:val="auto"/>
        </w:rPr>
        <w:t>”), has received any written or, to the knowledge of the Company, oral notice of cancellation or threatened cancellation relating to a Company Material Contract, except as has not had, and would not reasonably be expected to have, individually or in the aggregate, a Company Material Adverse Effect. Each Company Material Contract is a valid and binding agreement, is in full force and effect, and is enforceable by the Company or its Subsidiary that is a party thereto against each other party thereto in accordance with its terms, subject to the Bankruptcy and Equity Exception, except as has not had, and would not reasonably be expected to have, individually or in the aggregate, a Company Material Adverse Effect. None of the Company, its Subsidiaries, or, to the knowledge of the Company, any other party to a Company Material Contract is in default or in breach of any such Company Material Contract, in each case, except as has not had, and would not reasonably be expected to have, individually or in the aggregate, a Company Material Adverse Effect.</w:t>
      </w:r>
    </w:p>
    <w:p>
      <w:pPr>
        <w:spacing w:after="0" w:line="62"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(b)  As of the Effective Date, neither the Company nor any of its Subsidiaries (i) is party to a Contract related to indebtedness for borrowed money in connection with the business of the Company or its Subsidiaries, or (ii) has any liability in respect of a guarantee of any indebtedness for borrowed money of any other Person, in each case, that would not be permitted under the Existing Credit Agreement.</w:t>
      </w:r>
    </w:p>
    <w:p>
      <w:pPr>
        <w:spacing w:after="0" w:line="68"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(c)  As of the Effective Date, the Company has made available to Lender the form Contracts (since the initial public offering of the Company) that have been or are currently used by the Company or its Subsidiaries to procure rental product via “share by RTR” consignment and revenue sharing arrangements with third-party designers (“</w:t>
      </w:r>
      <w:r>
        <w:rPr>
          <w:rFonts w:ascii="Arial" w:cs="Arial" w:eastAsia="Arial" w:hAnsi="Arial"/>
          <w:sz w:val="18"/>
          <w:szCs w:val="18"/>
          <w:u w:val="single" w:color="auto"/>
          <w:color w:val="auto"/>
        </w:rPr>
        <w:t>Form Share by RTR Contracts</w:t>
      </w:r>
      <w:r>
        <w:rPr>
          <w:rFonts w:ascii="Arial" w:cs="Arial" w:eastAsia="Arial" w:hAnsi="Arial"/>
          <w:sz w:val="18"/>
          <w:szCs w:val="18"/>
          <w:color w:val="auto"/>
        </w:rPr>
        <w:t>”), and no order forms with share by RTR vendors of the Company or its Subsidiaries deviate from the applicable Form Share by RTR Contract in a manner that would be material to the business, assets or financial condition of the Company and its Subsidiaries taken as a whole.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Real Property</w:t>
      </w:r>
      <w:r>
        <w:rPr>
          <w:rFonts w:ascii="Arial" w:cs="Arial" w:eastAsia="Arial" w:hAnsi="Arial"/>
          <w:sz w:val="17"/>
          <w:szCs w:val="17"/>
          <w:color w:val="auto"/>
        </w:rPr>
        <w:t>. Neither the Company nor any of its Subsidiaries owns any real property.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and each of its Subsidiaries hold valid leasehold interests in the real property leased,</w:t>
      </w:r>
    </w:p>
    <w:p>
      <w:pPr>
        <w:ind w:left="300"/>
        <w:spacing w:after="0" w:line="234" w:lineRule="auto"/>
        <w:rPr>
          <w:sz w:val="20"/>
          <w:szCs w:val="20"/>
          <w:color w:val="auto"/>
        </w:rPr>
      </w:pPr>
      <w:r>
        <w:rPr>
          <w:rFonts w:ascii="Arial" w:cs="Arial" w:eastAsia="Arial" w:hAnsi="Arial"/>
          <w:sz w:val="18"/>
          <w:szCs w:val="18"/>
          <w:color w:val="auto"/>
        </w:rPr>
        <w:t>subleased, licensed to or otherwise occupied or utilized by the Company or any of its Subsidiaries (the</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free and clear of all Liens (other than Permitted Liens), in each case, except as</w:t>
      </w:r>
    </w:p>
    <w:p>
      <w:pPr>
        <w:ind w:left="300"/>
        <w:spacing w:after="0" w:line="235" w:lineRule="auto"/>
        <w:rPr>
          <w:sz w:val="20"/>
          <w:szCs w:val="20"/>
          <w:color w:val="auto"/>
        </w:rPr>
      </w:pPr>
      <w:r>
        <w:rPr>
          <w:rFonts w:ascii="Arial" w:cs="Arial" w:eastAsia="Arial" w:hAnsi="Arial"/>
          <w:sz w:val="18"/>
          <w:szCs w:val="18"/>
          <w:color w:val="auto"/>
        </w:rPr>
        <w:t>has not had, and would not reasonably be expected to have, individually or in the aggregate, a Company</w:t>
      </w:r>
    </w:p>
    <w:p>
      <w:pPr>
        <w:ind w:left="300"/>
        <w:spacing w:after="0" w:line="235" w:lineRule="auto"/>
        <w:rPr>
          <w:sz w:val="20"/>
          <w:szCs w:val="20"/>
          <w:color w:val="auto"/>
        </w:rPr>
      </w:pPr>
      <w:r>
        <w:rPr>
          <w:rFonts w:ascii="Arial" w:cs="Arial" w:eastAsia="Arial" w:hAnsi="Arial"/>
          <w:sz w:val="18"/>
          <w:szCs w:val="18"/>
          <w:color w:val="auto"/>
        </w:rPr>
        <w:t>Material Adverse Effect. Since the Lookback Date, neither the Company nor any Subsidiary of the</w:t>
      </w:r>
    </w:p>
    <w:p>
      <w:pPr>
        <w:ind w:left="300"/>
        <w:spacing w:after="0" w:line="235" w:lineRule="auto"/>
        <w:rPr>
          <w:sz w:val="20"/>
          <w:szCs w:val="20"/>
          <w:color w:val="auto"/>
        </w:rPr>
      </w:pPr>
      <w:r>
        <w:rPr>
          <w:rFonts w:ascii="Arial" w:cs="Arial" w:eastAsia="Arial" w:hAnsi="Arial"/>
          <w:sz w:val="18"/>
          <w:szCs w:val="18"/>
          <w:color w:val="auto"/>
        </w:rPr>
        <w:t>Company has received any written notice regarding (a) any material violation or breach or default under</w:t>
      </w:r>
    </w:p>
    <w:p>
      <w:pPr>
        <w:ind w:left="300"/>
        <w:spacing w:after="0" w:line="234" w:lineRule="auto"/>
        <w:rPr>
          <w:sz w:val="20"/>
          <w:szCs w:val="20"/>
          <w:color w:val="auto"/>
        </w:rPr>
      </w:pPr>
      <w:r>
        <w:rPr>
          <w:rFonts w:ascii="Arial" w:cs="Arial" w:eastAsia="Arial" w:hAnsi="Arial"/>
          <w:sz w:val="18"/>
          <w:szCs w:val="18"/>
          <w:color w:val="auto"/>
        </w:rPr>
        <w:t>any lease related to the Leased Real Property that has not since been cured, or (b) any notice of</w:t>
      </w:r>
    </w:p>
    <w:p>
      <w:pPr>
        <w:ind w:left="300"/>
        <w:spacing w:after="0" w:line="235" w:lineRule="auto"/>
        <w:rPr>
          <w:sz w:val="20"/>
          <w:szCs w:val="20"/>
          <w:color w:val="auto"/>
        </w:rPr>
      </w:pPr>
      <w:r>
        <w:rPr>
          <w:rFonts w:ascii="Arial" w:cs="Arial" w:eastAsia="Arial" w:hAnsi="Arial"/>
          <w:sz w:val="18"/>
          <w:szCs w:val="18"/>
          <w:color w:val="auto"/>
        </w:rPr>
        <w:t>termination under any such lease, in each case, except as has not had, and would not reasonably be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expected to have, individually or in the aggregate, a Company Material Adverse Effect.</w:t>
      </w:r>
    </w:p>
    <w:p>
      <w:pPr>
        <w:spacing w:after="0" w:line="86" w:lineRule="exact"/>
        <w:rPr>
          <w:sz w:val="20"/>
          <w:szCs w:val="20"/>
          <w:color w:val="auto"/>
        </w:rPr>
      </w:pPr>
    </w:p>
    <w:p>
      <w:pPr>
        <w:ind w:left="300" w:right="419"/>
        <w:spacing w:after="0" w:line="238"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has not had, and would not reasonably be expected to have, individually or in the aggregate, a Company Material Adverse Effect, (a) the Company and its Subsidiaries exclusively own, or are validly licensed to use, or otherwise have the valid right to use all Intellectual Property used in, held for use in or necessary to its business as currently conducted free and clear of any Liens, except for Permitted Liens, and (b) neither the use thereof, or the operation of the Company’s and its Subsidiaries’ businesses, by the Company and each Subsidiary infringes upon, violates or misappropriates (or has since the Lookback Date infringed upon, violated or misappropriated) the rights of any other Person. All (i) trademark and service mark registrations and applications, (ii) patents and patent applications, (iii) copyright registrations and applications, and (iv) domain name registrations, in each case, owned by the Company or a Subsidiary of the Company, are, to the knowledge of the Company, subsisting, valid, and enforceable, except as has not had, and would not reasonably be expected to have, individually or in the aggregate, a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Material Adverse Effect. The Company and its Subsidiaries have maintained the confidentiality of all confidential information and trade secrets of the Company or its Subsidiaries, except, in each case, as has not had, and would not reasonably be expected to have, individually or in the aggregate, a Company Material Adverse Effect.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Labor and Employment Matters; ERISA Documents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38" w:lineRule="auto"/>
        <w:rPr>
          <w:sz w:val="20"/>
          <w:szCs w:val="20"/>
          <w:color w:val="auto"/>
        </w:rPr>
      </w:pPr>
      <w:r>
        <w:rPr>
          <w:rFonts w:ascii="Arial" w:cs="Arial" w:eastAsia="Arial" w:hAnsi="Arial"/>
          <w:sz w:val="18"/>
          <w:szCs w:val="18"/>
          <w:color w:val="auto"/>
        </w:rPr>
        <w:t>(a)  Except as has not had, and would not reasonably be expected to have, individually or in the aggregate, a Company Material Adverse Effect, the Company and its Subsidiaries have complied with all applicable Laws relating to employment and labor, including all Laws relating to recruiting, hiring, retaining and documenting prospective employees, wages, hours, equal opportunity, labor relations, recordkeeping, occupational health and safety, severance, collective bargaining and the payment of social security and other taxes, employment discrimination, employee classification, harassment, retaliation, reasonable accommodation, disability rights or benefits, immigration (including the completion and retention of Forms I-9 for all employees and the confirmation of employee visas), overtime compensation, child labor, health and safety, workers’ compensation, family and medical leave, employee leave, the Worker Adjustment and Retraining Notification Act of 1988, as amended, or any similar foreign, state or local law, and unemployment insurance (the “</w:t>
      </w:r>
      <w:r>
        <w:rPr>
          <w:rFonts w:ascii="Arial" w:cs="Arial" w:eastAsia="Arial" w:hAnsi="Arial"/>
          <w:sz w:val="18"/>
          <w:szCs w:val="18"/>
          <w:u w:val="single" w:color="auto"/>
          <w:color w:val="auto"/>
        </w:rPr>
        <w:t>Employment Laws</w:t>
      </w:r>
      <w:r>
        <w:rPr>
          <w:rFonts w:ascii="Arial" w:cs="Arial" w:eastAsia="Arial" w:hAnsi="Arial"/>
          <w:sz w:val="18"/>
          <w:szCs w:val="18"/>
          <w:color w:val="auto"/>
        </w:rPr>
        <w:t>”).</w:t>
      </w:r>
    </w:p>
    <w:p>
      <w:pPr>
        <w:spacing w:after="0" w:line="75"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(b)  Except as has not had, and would not reasonably be expected to have, individually or in the aggregate, a Company Material Adverse Effect, there is no suit, action, complaint, grievance, investigation, inquiry or other proceeding against the Company or any of its Subsidiaries (or their respective employees, officers or directors in their capacities as such) pending or threatened in any forum relating to the Employment Laws, including by or with any Governmental Authority. Since the Lookback Date, there have not been any strikes, labor disputes, lockouts, slowdowns or other labor disputes against the Company or any of its Subsidiaries pending, threatened, or to the knowledge of the Company, anticipated, except, in each case, as has not had, and would not reasonably be expected to have, individually or in the aggregate, a Company Material Adverse Effect.</w:t>
      </w:r>
    </w:p>
    <w:p>
      <w:pPr>
        <w:spacing w:after="0" w:line="75"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(c)  Except as has not had, and would not reasonably be expected to have, individually or in the aggregate, a Company Material Adverse Effect, (i) the Company and its Subsidiaries and each ERISA Document (and each related trust, insurance contract or fund) comply with, and each ERISA Document has been maintained, contributed to, funded, qualified, registered, operated and administered by the Company and its Subsidiaries in accordance with, in each case as applicable, the terms of such ERISA Document and applicable Laws (including ERISA and the Code), (ii) all benefits, contributions and premiums required by and due under the terms of each ERISA Document or applicable Law have been timely paid in accordance with the terms of such ERISA Document and the terms of all applicable Laws, including ERISA and the Code, (iii) no non-exempt “prohibited transaction” within the meaning of Section 4975 of the Code and Section 406 of ERISA, has occurred or is reasonably expected to occur with respect to any ERISA Document and (iv) there is no pending, threatened in writing or, to the knowledge of the Company, anticipated or orally threatened claims, suits, audits or investigations related to any ERISA Document.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None of the Company and its Subsidiaries or any ERISA Affiliate has within the past six</w:t>
      </w:r>
    </w:p>
    <w:p>
      <w:pPr>
        <w:spacing w:after="0" w:line="14" w:lineRule="exact"/>
        <w:rPr>
          <w:sz w:val="20"/>
          <w:szCs w:val="20"/>
          <w:color w:val="auto"/>
        </w:rPr>
      </w:pPr>
    </w:p>
    <w:p>
      <w:pPr>
        <w:ind w:left="660" w:right="499" w:hanging="8"/>
        <w:spacing w:after="0" w:line="234" w:lineRule="auto"/>
        <w:tabs>
          <w:tab w:leader="none" w:pos="9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years maintained, sponsored or contributed to: (i) any plan that is subject to Section 302 or Title IV of ERISA or Section 412 of the Code, including any “multiemployer plan” as defined in</w:t>
      </w:r>
    </w:p>
    <w:p>
      <w:pPr>
        <w:spacing w:after="0" w:line="1" w:lineRule="exact"/>
        <w:rPr>
          <w:rFonts w:ascii="Arial" w:cs="Arial" w:eastAsia="Arial" w:hAnsi="Arial"/>
          <w:sz w:val="18"/>
          <w:szCs w:val="18"/>
          <w:color w:val="auto"/>
        </w:rPr>
      </w:pPr>
    </w:p>
    <w:p>
      <w:pPr>
        <w:ind w:left="660" w:right="399"/>
        <w:spacing w:after="0" w:line="242" w:lineRule="auto"/>
        <w:rPr>
          <w:rFonts w:ascii="Arial" w:cs="Arial" w:eastAsia="Arial" w:hAnsi="Arial"/>
          <w:sz w:val="18"/>
          <w:szCs w:val="18"/>
          <w:color w:val="auto"/>
        </w:rPr>
      </w:pPr>
      <w:r>
        <w:rPr>
          <w:rFonts w:ascii="Arial" w:cs="Arial" w:eastAsia="Arial" w:hAnsi="Arial"/>
          <w:sz w:val="18"/>
          <w:szCs w:val="18"/>
          <w:color w:val="auto"/>
        </w:rPr>
        <w:t>Section 3(37) of ERISA; (ii) any “multiple employer plan” within the meaning of Code Section 413(c); (iii) any “multiple employer welfare arrangement” within the meaning Section 3(40) of ERISA; or (iv) any “defined benefit plan” as defined in Section 3(35) of ERISA.</w:t>
      </w:r>
    </w:p>
    <w:p>
      <w:pPr>
        <w:spacing w:after="0" w:line="71"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(e)  Neither the execution of this Agreement nor the consummation of the Transactions, either alone or in combination with another event, will: (i) result in any material payment or benefit becoming due to any current or former employee, officer, director or other individual service provider of the Company or any Subsidiary of the Company, (ii) materially increase the amount or value of any compensation or benefits payable under any ERISA Document, result in 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99"/>
        <w:spacing w:after="0" w:line="238" w:lineRule="auto"/>
        <w:rPr>
          <w:sz w:val="20"/>
          <w:szCs w:val="20"/>
          <w:color w:val="auto"/>
        </w:rPr>
      </w:pPr>
      <w:r>
        <w:rPr>
          <w:rFonts w:ascii="Arial" w:cs="Arial" w:eastAsia="Arial" w:hAnsi="Arial"/>
          <w:sz w:val="18"/>
          <w:szCs w:val="18"/>
          <w:color w:val="auto"/>
        </w:rPr>
        <w:t>acceleration of the time of payment or vesting of any compensation or benefits, or provide any additional compensatory rights or benefits (including funding of compensation or benefits through a trust or otherwise) to any current or former employee, officer, director or other individual service provider of the Company or any Subsidiary of the Company, or (iii) give rise to any payments or benefits that, separately or in the aggregate, could be nondeductible to the payor under</w:t>
      </w:r>
    </w:p>
    <w:p>
      <w:pPr>
        <w:spacing w:after="0" w:line="4"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 xml:space="preserve">Section 280G of the Code or would result in an excise Tax on any recipient under Section 4999 of the Code, except, with respect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only, as contemplated under the MIP Term Sheet or pursuant to the Transaction Bonus Plan Amendment.</w:t>
      </w:r>
    </w:p>
    <w:p>
      <w:pPr>
        <w:spacing w:after="0" w:line="71"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Except as has not had, and would not reasonably be expected to have, individually or in the aggregate, a Company Material Adverse Effect, (a) each of the Company and its Subsidiaries, has been since the Lookback Date, and is, in compliance with their written externally published privacy policies, contracts which impose requirements relating to the collection, processing, storage, disclosure, disposal or other handling of Personal Data, any applicable Laws relating to privacy, data protection and Personal Data, and any applicable binding industry standards which impose requirements on the collection, processing, storage, disclosure, disposal or other handling of Personal Data (collectively, the “</w:t>
      </w:r>
      <w:r>
        <w:rPr>
          <w:rFonts w:ascii="Arial" w:cs="Arial" w:eastAsia="Arial" w:hAnsi="Arial"/>
          <w:sz w:val="18"/>
          <w:szCs w:val="18"/>
          <w:u w:val="single" w:color="auto"/>
          <w:color w:val="auto"/>
        </w:rPr>
        <w:t>Privacy Requirements</w:t>
      </w:r>
      <w:r>
        <w:rPr>
          <w:rFonts w:ascii="Arial" w:cs="Arial" w:eastAsia="Arial" w:hAnsi="Arial"/>
          <w:sz w:val="18"/>
          <w:szCs w:val="18"/>
          <w:color w:val="auto"/>
        </w:rPr>
        <w:t xml:space="preserve">”), (b) since the Lookback Date, none of the Company nor any of its Subsidiaries has experienced (i) incidents of unauthorized access or other security breaches, including any loss, misuse, damage, unauthorized access, unauthorized disclosure or unauthorized use of any Personal Data, or (ii) any other event that required the Company or any of its Subsidiaries to give a data breach notice to any Person or Governmental Authority under Privacy Requirements, except, in each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as has not had, and would not reasonably be expected to have, individually or in the aggregate, a Company Material Adverse Effect, and (c) the hardware, software, databases, websites, mobile applications, servers, workstations, routers, hubs, switches, circuits, networks, communications networks, and other information technology owned, licensed or leased by the Company or its Subsidiaries (i) have not, since the Lookback Date, malfunctioned or failed in a manner that resulted in chronic or otherwise material disruptions to the operation of the business of the Company and its Subsidiaries, and (ii) are adequate for the Company’s and its Subsidiaries’ businesses as currently conducted.</w:t>
      </w:r>
    </w:p>
    <w:p>
      <w:pPr>
        <w:spacing w:after="0" w:line="87"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No current or former director, officer or Affiliate of the Company or any of its Subsidiaries, or any Person owning five percent (5%) or more of the Company Common Stock, and no immediate family member of any such natural Person, is a party to, or directly or indirectly benefits from, any Contract, arrangement, transaction or understanding with or binding upon the Company, any of its Subsidiaries or any of their properties or assets, or has any material interest in any property owned, leased or occupied by the Company or any of its Subsidiaries, and the Company and its Subsidiaries have not engaged in any material transaction with any of the foregoing within the twelve (12) months preceding the Effective Date that would be required to be disclosed in response to Item 404 of Regulation S-K, other than compensation of directors and officers of the Company and its Subsidiaries in the ordinary course of business.</w:t>
      </w:r>
    </w:p>
    <w:p>
      <w:pPr>
        <w:spacing w:after="0" w:line="72"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Insurance</w:t>
      </w:r>
      <w:r>
        <w:rPr>
          <w:rFonts w:ascii="Arial" w:cs="Arial" w:eastAsia="Arial" w:hAnsi="Arial"/>
          <w:sz w:val="18"/>
          <w:szCs w:val="18"/>
          <w:color w:val="auto"/>
        </w:rPr>
        <w:t>. Except as has not had, and would not reasonably be expected to have, individually or in the aggregate, a Company Material Adverse Effect, (a) all insurance policies and insurance Contracts of the Company and its Subsidiaries (i) are in full force and effect and are valid and enforceable by the Company or its Subsidiary that is a party thereto against each other party thereto in accordance with its terms, and (ii) are in such amounts and cover such reasonable insurable risks as are customary for companies of similar size in the same or similar lines of business as the Company and its Subsidiaries, and (b) all premiums due under such insurance policies and insurance Contracts have been paid. Neither the Company nor any of its Subsidiaries has received written notice of cancellation or termination with respect to any current third-party insurance policies or insurance Contracts (other than in connection with normal renewals of any such insurance policies or insurance Contracts) where such cancellation or termination has had, or would reasonably be expected to have, individually or in the aggregate, a Company Material Adverse Effect.</w:t>
      </w:r>
    </w:p>
    <w:p>
      <w:pPr>
        <w:spacing w:after="0" w:line="75" w:lineRule="exact"/>
        <w:rPr>
          <w:sz w:val="20"/>
          <w:szCs w:val="20"/>
          <w:color w:val="auto"/>
        </w:rPr>
      </w:pPr>
    </w:p>
    <w:p>
      <w:pPr>
        <w:ind w:left="300" w:right="679"/>
        <w:spacing w:after="0" w:line="301"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Anti-Takeover Statutes</w:t>
      </w:r>
      <w:r>
        <w:rPr>
          <w:rFonts w:ascii="Arial" w:cs="Arial" w:eastAsia="Arial" w:hAnsi="Arial"/>
          <w:sz w:val="17"/>
          <w:szCs w:val="17"/>
          <w:color w:val="auto"/>
        </w:rPr>
        <w:t>. Assuming the accuracy of the representations set forth in Section 4.10, the Company has taken all actions necessary to elect and render that the Transactions,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this Agreement and the other Transaction Document not be subject to (i) any anti-takeover provision in the Company Governing Documents and the comparable organizational documents of each Subsidiary of the Company, in each case, as amended through and in effect as of the Effective Date, or (ii) any “moratorium,” “control share acquisition,” “business combination,” “fair price,” “supermajority,” “affiliate transactions” or other form of anti-takeover laws and regulations, including Section 203 of the DGCL (collectively, “</w:t>
      </w:r>
      <w:r>
        <w:rPr>
          <w:rFonts w:ascii="Arial" w:cs="Arial" w:eastAsia="Arial" w:hAnsi="Arial"/>
          <w:sz w:val="18"/>
          <w:szCs w:val="18"/>
          <w:u w:val="single" w:color="auto"/>
          <w:color w:val="auto"/>
        </w:rPr>
        <w:t>Takeover Laws</w:t>
      </w:r>
      <w:r>
        <w:rPr>
          <w:rFonts w:ascii="Arial" w:cs="Arial" w:eastAsia="Arial" w:hAnsi="Arial"/>
          <w:sz w:val="18"/>
          <w:szCs w:val="18"/>
          <w:color w:val="auto"/>
        </w:rPr>
        <w:t>”), of any jurisdiction that may purport to be applicable to the Transactions, this Agreement or any other Transaction Document, which resolutions have not been rescinded, modified or withdrawn in any way. Assuming the accuracy of the representations set forth in Section 4.10, no other Takeover Law applies or purports to apply to the Company with respect to the Transactions, this Agreement or any other Transaction Document, other than any such Takeover Law that may apply solely as a result of the identity, nature, business or operations of Lender or any of its Subsidiaries or Affiliates. The Company is not party to a stockholder rights plan, “poison pill,” or similar anti-takeover arrangement or plan.</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Other than LionTree Advisors LLC and BTIG, LLC (the</w:t>
      </w:r>
    </w:p>
    <w:p>
      <w:pPr>
        <w:spacing w:after="0" w:line="14"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Advisors</w:t>
      </w:r>
      <w:r>
        <w:rPr>
          <w:rFonts w:ascii="Arial" w:cs="Arial" w:eastAsia="Arial" w:hAnsi="Arial"/>
          <w:sz w:val="18"/>
          <w:szCs w:val="18"/>
          <w:color w:val="auto"/>
        </w:rPr>
        <w:t>”), no broker, investment banker, financial advisor or other person is entitled to any broker’s, finder’s, financial advisor’s or other similar fee or commission in connection with the Exchange Transactions or the other Transactions based upon arrangements made by or on behalf of the Company or any of its Subsidiaries. True and complete copies of the engagement letters with the Company Financial Advisors have been made available to Lender prior to the Effective Date.</w:t>
      </w:r>
    </w:p>
    <w:p>
      <w:pPr>
        <w:spacing w:after="0" w:line="72" w:lineRule="exact"/>
        <w:rPr>
          <w:sz w:val="20"/>
          <w:szCs w:val="20"/>
          <w:color w:val="auto"/>
        </w:rPr>
      </w:pPr>
    </w:p>
    <w:p>
      <w:pPr>
        <w:ind w:left="300" w:right="539"/>
        <w:spacing w:after="0"/>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has received the opinion of BTIG, LLC to the effect that, as of the date of such opinion and based upon and subject to the various limitations, qualifications, assumptions, conditions and other matters set forth in such opinion, the issuance of the Exchange Stock to Lender by the Company in exchange for the Equity Exchange Obligations pursuant to this Agreement is fair, from a financial point of view, to the holders of Class A Common Stock (exclusive of any Class A Common Stock held by Lender or its Affiliates) (the “</w:t>
      </w:r>
      <w:r>
        <w:rPr>
          <w:rFonts w:ascii="Arial" w:cs="Arial" w:eastAsia="Arial" w:hAnsi="Arial"/>
          <w:sz w:val="18"/>
          <w:szCs w:val="18"/>
          <w:u w:val="single" w:color="auto"/>
          <w:color w:val="auto"/>
        </w:rPr>
        <w:t>Fairness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Opinion</w:t>
      </w:r>
      <w:r>
        <w:rPr>
          <w:rFonts w:ascii="Arial" w:cs="Arial" w:eastAsia="Arial" w:hAnsi="Arial"/>
          <w:sz w:val="18"/>
          <w:szCs w:val="18"/>
          <w:color w:val="auto"/>
        </w:rPr>
        <w:t>”). The Company will make available to Lender a signed copy of the Fairness Opinion for informational purposes only as soon as reasonably practicable following the Effective Date.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-19050</wp:posOffset>
            </wp:positionV>
            <wp:extent cx="21488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48840" cy="8255"/>
                    </a:xfrm>
                    <a:prstGeom prst="rect">
                      <a:avLst/>
                    </a:prstGeom>
                    <a:noFill/>
                  </pic:spPr>
                </pic:pic>
              </a:graphicData>
            </a:graphic>
          </wp:anchor>
        </w:drawing>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Lender represents and warrants to the Company that, as of the Effective Date and as of the Closing:</w:t>
      </w:r>
    </w:p>
    <w:p>
      <w:pPr>
        <w:spacing w:after="0" w:line="104"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Lender is a limited liability company duly organized, validly existing and in good standing under the Laws of the Cayman Islands and has all requisite limited liability company power and authority necessary to own, lease and operate its properties and to carry on its business as presently conducted, except as has not had, and would not reasonably be expected to have, individually or in the aggregate, a Lender Material Adverse Effect. Lender is duly licensed or qualified to do business as a foreign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Lender Material Adverse Effect.</w:t>
      </w:r>
    </w:p>
    <w:p>
      <w:pPr>
        <w:spacing w:after="0" w:line="75"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 Lender has all requisite limited liability company power and authority to execute and deliver the Transaction Documents to which it is a party and to consummate the Transactions. The execution, delivery and performance by Lender of each Transaction Document to which it is a party and the consummation by Lender of the Transactions have been duly authorized by all necessary limited liability company action on the part of Lender and no other limited liability company proceedings on the part of Lender are necessary to approve this Agreement and to consummate the Transactions. Lender has duly executed and delivered each Transaction Document to which it is a party, and, assuming the due authorization, execution and delivery of such Transaction Documents on behalf of the other parties thereto, each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Transaction Document to which it is a party constitutes its legal, valid and binding obligation, enforceable against it in accordance with its terms, subject to the Bankruptcy and Equity Exception. Lender is the holder of all of the Indebtedness outstanding under the Existing Credit Agreement.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(a)  The execution, delivery and performance by Lender of each Transaction Document to which it is a party do not, and the consummation of the Transactions and compliance with the provisions hereof will not (i)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Lender or any of its Subsidiaries or to which any of them are a party or by or to which any of their respective properties, rights or assets are bound or subject or result in the creation of any Lien upon any of the properties, rights or assets of Lender or any of its Subsidiaries, other than Permitted Liens, (ii) conflict with or result in any violation of any provision of Lender’s organizational documents or (iii) conflict with or violate any Laws applicable to Lender or any of its Subsidiaries or any of their respective properties, rights or assets, other than,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any such violation, conflict, default, termination, cancellation, acceleration, right, loss or Lien that has not had and would not reasonably be expected to have, individually or in the aggregate, a Lender Material Adverse Effect.</w:t>
      </w:r>
    </w:p>
    <w:p>
      <w:pPr>
        <w:spacing w:after="0" w:line="81" w:lineRule="exact"/>
        <w:rPr>
          <w:sz w:val="20"/>
          <w:szCs w:val="20"/>
          <w:color w:val="auto"/>
        </w:rPr>
      </w:pPr>
    </w:p>
    <w:p>
      <w:pPr>
        <w:ind w:left="660" w:right="339"/>
        <w:spacing w:after="0" w:line="255" w:lineRule="auto"/>
        <w:rPr>
          <w:sz w:val="20"/>
          <w:szCs w:val="20"/>
          <w:color w:val="auto"/>
        </w:rPr>
      </w:pPr>
      <w:r>
        <w:rPr>
          <w:rFonts w:ascii="Arial" w:cs="Arial" w:eastAsia="Arial" w:hAnsi="Arial"/>
          <w:sz w:val="17"/>
          <w:szCs w:val="17"/>
          <w:color w:val="auto"/>
        </w:rPr>
        <w:t>(b)  No Consent of, or registration, declaration or filing with any Governmental Authority is required to be obtained or made by Lender in connection with the execution, delivery and performance of any Transaction Document or the consummation of the Transactions, other than (i) the filing with the SEC of such reports under Sections 13 and 16 of the Exchange Act as may be required in connection with this Agreement and the other Transaction Documents, the Exchange Transactions and the other Transactions, (ii) any Consents, registrations, declarations or filings required to be obtained or made as a result of the identity, nature, business or operations of Company or any of its Subsidiaries or Affiliates and (iii) such other items that, individually or in the aggregate, have not had and would not reasonably be expected to have, individually or in the aggregate, a Lender Material Adverse Effect.</w:t>
      </w:r>
    </w:p>
    <w:p>
      <w:pPr>
        <w:spacing w:after="0" w:line="61"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Lender, threatened in writing against Lender or any of its Subsidiaries or any of the directors or officers of Lender or any of its Subsidiaries in their capacity as such, which, in any such case, has had or would reasonably be expected to have, individually or in the aggregate, a Lender Material Adverse Effect.</w:t>
      </w:r>
    </w:p>
    <w:p>
      <w:pPr>
        <w:spacing w:after="0" w:line="66" w:lineRule="exact"/>
        <w:rPr>
          <w:sz w:val="20"/>
          <w:szCs w:val="20"/>
          <w:color w:val="auto"/>
        </w:rPr>
      </w:pPr>
    </w:p>
    <w:p>
      <w:pPr>
        <w:ind w:left="300" w:right="579"/>
        <w:spacing w:after="0" w:line="25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Lender is (i) an “accredited investor” as defined in Rule 501(a) under the Securities Act and/or (ii) a “qualified institutional buyer” as defined in Rule 144A(a) under the Securities Act.</w:t>
      </w:r>
    </w:p>
    <w:p>
      <w:pPr>
        <w:spacing w:after="0" w:line="61"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Lender acknowledges that (i) it has had the opportunity to review the Transaction Documents (including all exhibits and schedules thereto) and the SEC Documents and has been afforded (A) the opportunity to ask such questions as it has deemed necessary of, and to receive answers from, Representatives of the Company concerning the terms and conditions of the issuance of the Exchange Stock and the merits and risks of acquiring the Exchange Stock;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by any Person (including any of the Company’s financial advisors or other Representatives), other than such statements, representations and warranties of the Company expressly contained in this Agreement, and based 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79"/>
        <w:spacing w:after="0" w:line="247" w:lineRule="auto"/>
        <w:rPr>
          <w:sz w:val="20"/>
          <w:szCs w:val="20"/>
          <w:color w:val="auto"/>
        </w:rPr>
      </w:pPr>
      <w:r>
        <w:rPr>
          <w:rFonts w:ascii="Arial" w:cs="Arial" w:eastAsia="Arial" w:hAnsi="Arial"/>
          <w:sz w:val="18"/>
          <w:szCs w:val="18"/>
          <w:color w:val="auto"/>
        </w:rPr>
        <w:t xml:space="preserve">such information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made its own analysis and decision to enter into this Agreement and the Transactions and that it has not relied on the analysis and decision or due diligence investigation of any other Person (including any of the Company’s financial advisors or other Representatives).</w:t>
      </w:r>
    </w:p>
    <w:p>
      <w:pPr>
        <w:spacing w:after="0" w:line="66" w:lineRule="exact"/>
        <w:rPr>
          <w:sz w:val="20"/>
          <w:szCs w:val="20"/>
          <w:color w:val="auto"/>
        </w:rPr>
      </w:pPr>
    </w:p>
    <w:p>
      <w:pPr>
        <w:ind w:left="300" w:right="499"/>
        <w:spacing w:after="0" w:line="242"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Financial Sophistication</w:t>
      </w:r>
      <w:r>
        <w:rPr>
          <w:rFonts w:ascii="Arial" w:cs="Arial" w:eastAsia="Arial" w:hAnsi="Arial"/>
          <w:sz w:val="18"/>
          <w:szCs w:val="18"/>
          <w:color w:val="auto"/>
        </w:rPr>
        <w:t>. Lender, either alone or together with its Representatives, has such knowledge, sophistication and experience in business and financial matters so as to be capable of evaluating the merits and risks of the Transactions, and has so evaluated the merits and risks of such Transactions, including the Exchange Transactions. Lender is able to bear the economic risk of the acquisition of the Exchange Stock and, at the present time, is able to afford a complete loss of such investment.</w:t>
      </w:r>
    </w:p>
    <w:p>
      <w:pPr>
        <w:spacing w:after="0" w:line="71"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Brokers</w:t>
      </w:r>
      <w:r>
        <w:rPr>
          <w:rFonts w:ascii="Arial" w:cs="Arial" w:eastAsia="Arial" w:hAnsi="Arial"/>
          <w:sz w:val="18"/>
          <w:szCs w:val="18"/>
          <w:color w:val="auto"/>
        </w:rPr>
        <w:t>. No broker, investment banker, financial advisor or other person, is entitled to any broker’s, finder’s, financial advisor’s or other similar fee or commission in connection with the Exchange Transactions and the other Transactions based upon arrangements made by or on behalf of Lender.</w:t>
      </w:r>
    </w:p>
    <w:p>
      <w:pPr>
        <w:spacing w:after="0" w:line="66"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xml:space="preserve">. None of the information supplied or to be supplied by Lender for inclusion or incorporation by reference in the Proxy Statement or the Rights Offering Registration Statement, as applicable, will, at the time it is filed with the SEC, at the date it is first mailed to the Company Stockholders, at the time of the Company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Notwithstanding the foregoing provisions of this </w:t>
      </w:r>
      <w:r>
        <w:rPr>
          <w:rFonts w:ascii="Arial" w:cs="Arial" w:eastAsia="Arial" w:hAnsi="Arial"/>
          <w:sz w:val="18"/>
          <w:szCs w:val="18"/>
          <w:u w:val="single" w:color="auto"/>
          <w:color w:val="auto"/>
        </w:rPr>
        <w:t>Section 4.09</w:t>
      </w:r>
      <w:r>
        <w:rPr>
          <w:rFonts w:ascii="Arial" w:cs="Arial" w:eastAsia="Arial" w:hAnsi="Arial"/>
          <w:sz w:val="18"/>
          <w:szCs w:val="18"/>
          <w:color w:val="auto"/>
        </w:rPr>
        <w:t>, no representation or warranty is made by Lender with respect to information or statements made or incorporated by reference in the Proxy Statement or the Rights Offering Registration Statement based upon information supplied by or on behalf of the Company.</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Interested Stockholder; Ownership</w:t>
      </w:r>
      <w:r>
        <w:rPr>
          <w:rFonts w:ascii="Arial" w:cs="Arial" w:eastAsia="Arial" w:hAnsi="Arial"/>
          <w:sz w:val="18"/>
          <w:szCs w:val="18"/>
          <w:color w:val="auto"/>
        </w:rPr>
        <w:t>. Neither Lender nor any controlled Affiliate thereof</w:t>
      </w:r>
    </w:p>
    <w:p>
      <w:pPr>
        <w:spacing w:after="0" w:line="14" w:lineRule="exact"/>
        <w:rPr>
          <w:sz w:val="20"/>
          <w:szCs w:val="20"/>
          <w:color w:val="auto"/>
        </w:rPr>
      </w:pPr>
    </w:p>
    <w:p>
      <w:pPr>
        <w:jc w:val="both"/>
        <w:ind w:left="300" w:right="359" w:hanging="8"/>
        <w:spacing w:after="0"/>
        <w:tabs>
          <w:tab w:leader="none" w:pos="5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is, or has been within three years prior to the Effective Date, an “interested stockholder” of the Company as defined in and for purposes of Section 203 of the DGCL or the Company Governing Documents, or (b) except as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of the Company Disclosure Letter, owns any shares of Company Common Stock.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Relating to Conduct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-19050</wp:posOffset>
            </wp:positionV>
            <wp:extent cx="22040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1" w:lineRule="auto"/>
        <w:rPr>
          <w:sz w:val="20"/>
          <w:szCs w:val="20"/>
          <w:color w:val="auto"/>
        </w:rPr>
      </w:pPr>
      <w:r>
        <w:rPr>
          <w:rFonts w:ascii="Arial" w:cs="Arial" w:eastAsia="Arial" w:hAnsi="Arial"/>
          <w:sz w:val="18"/>
          <w:szCs w:val="18"/>
          <w:color w:val="auto"/>
        </w:rPr>
        <w:t xml:space="preserve">(a)  Without limiting any of the restrictions contained in the Existing Credit Agreement or the Existing Loan Documents, the Company agrees that between the Effective Date and the earlier of the Effective Time or the date, if any, on which this Agreement is validly terminated pursuant to </w:t>
      </w:r>
      <w:r>
        <w:rPr>
          <w:rFonts w:ascii="Arial" w:cs="Arial" w:eastAsia="Arial" w:hAnsi="Arial"/>
          <w:sz w:val="18"/>
          <w:szCs w:val="18"/>
          <w:u w:val="single" w:color="auto"/>
          <w:color w:val="auto"/>
        </w:rPr>
        <w:t>Section</w:t>
      </w:r>
    </w:p>
    <w:p>
      <w:pPr>
        <w:spacing w:after="0" w:line="2" w:lineRule="exact"/>
        <w:rPr>
          <w:sz w:val="20"/>
          <w:szCs w:val="20"/>
          <w:color w:val="auto"/>
        </w:rPr>
      </w:pPr>
    </w:p>
    <w:p>
      <w:pPr>
        <w:ind w:left="660" w:right="379"/>
        <w:spacing w:after="0" w:line="248" w:lineRule="auto"/>
        <w:rPr>
          <w:sz w:val="20"/>
          <w:szCs w:val="20"/>
          <w:color w:val="auto"/>
        </w:rPr>
      </w:pPr>
      <w:r>
        <w:rPr>
          <w:rFonts w:ascii="Arial" w:cs="Arial" w:eastAsia="Arial" w:hAnsi="Arial"/>
          <w:sz w:val="17"/>
          <w:szCs w:val="17"/>
          <w:u w:val="single" w:color="auto"/>
          <w:color w:val="auto"/>
        </w:rPr>
        <w:t>8.01</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of the Company Disclosure Letter, as expressly required by this Agreement, as required by applicable Law or any existing Contract of the Company or its Subsidiaries, or as consented to in writing by Lender (which consent shall not be unreasonably withheld, conditioned or delayed), the Company (x) shall, and shall cause each of its Subsidiaries to, use commercially reasonable efforts to conduct its business in all material respects in the ordinary course of business and use commercially reasonable efforts to (A) preserve intact its and their present business organizations, goodwill and ongoing businesses, (B) keep available the services of its and their present officers (other than where termination of such services is for cause), and</w:t>
      </w:r>
    </w:p>
    <w:p>
      <w:pPr>
        <w:spacing w:after="0" w:line="4" w:lineRule="exact"/>
        <w:rPr>
          <w:sz w:val="20"/>
          <w:szCs w:val="20"/>
          <w:color w:val="auto"/>
        </w:rPr>
      </w:pPr>
    </w:p>
    <w:p>
      <w:pPr>
        <w:ind w:left="660" w:right="299" w:hanging="8"/>
        <w:spacing w:after="0" w:line="23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preserve its and their present relationships with customers, suppliers and vendors with whom it and they have material business relations; and (y) shall not, and shall not permit any of its Subsidiaries to, without the prior written consent of Lender (which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action by the Company or its Subsidiaries with respect to matters specifically addressed by any provision of </w:t>
      </w:r>
      <w:r>
        <w:rPr>
          <w:rFonts w:ascii="Arial" w:cs="Arial" w:eastAsia="Arial" w:hAnsi="Arial"/>
          <w:sz w:val="18"/>
          <w:szCs w:val="18"/>
          <w:u w:val="single" w:color="auto"/>
          <w:color w:val="auto"/>
        </w:rPr>
        <w:t>Section 5.01(a)(y)</w:t>
      </w:r>
      <w:r>
        <w:rPr>
          <w:rFonts w:ascii="Arial" w:cs="Arial" w:eastAsia="Arial" w:hAnsi="Arial"/>
          <w:sz w:val="18"/>
          <w:szCs w:val="18"/>
          <w:color w:val="auto"/>
        </w:rPr>
        <w:t xml:space="preserve"> shall be deemed a breach of </w:t>
      </w:r>
      <w:r>
        <w:rPr>
          <w:rFonts w:ascii="Arial" w:cs="Arial" w:eastAsia="Arial" w:hAnsi="Arial"/>
          <w:sz w:val="18"/>
          <w:szCs w:val="18"/>
          <w:u w:val="single" w:color="auto"/>
          <w:color w:val="auto"/>
        </w:rPr>
        <w:t>Section 5.01(a)(x)</w:t>
      </w:r>
      <w:r>
        <w:rPr>
          <w:rFonts w:ascii="Arial" w:cs="Arial" w:eastAsia="Arial" w:hAnsi="Arial"/>
          <w:sz w:val="18"/>
          <w:szCs w:val="18"/>
          <w:color w:val="auto"/>
        </w:rPr>
        <w:t xml:space="preserve"> unless such action would constitute a breach of such provision of </w:t>
      </w:r>
      <w:r>
        <w:rPr>
          <w:rFonts w:ascii="Arial" w:cs="Arial" w:eastAsia="Arial" w:hAnsi="Arial"/>
          <w:sz w:val="18"/>
          <w:szCs w:val="18"/>
          <w:u w:val="single" w:color="auto"/>
          <w:color w:val="auto"/>
        </w:rPr>
        <w:t>Section 5.01(a)(y)</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firstLine="360"/>
        <w:spacing w:after="0" w:line="253" w:lineRule="auto"/>
        <w:rPr>
          <w:sz w:val="20"/>
          <w:szCs w:val="20"/>
          <w:color w:val="auto"/>
        </w:rPr>
      </w:pPr>
      <w:r>
        <w:rPr>
          <w:rFonts w:ascii="Arial" w:cs="Arial" w:eastAsia="Arial" w:hAnsi="Arial"/>
          <w:sz w:val="18"/>
          <w:szCs w:val="18"/>
          <w:color w:val="auto"/>
        </w:rPr>
        <w:t>(i)  amend, modify, rescind or otherwise change the Company Governing Documents or organizational documents of the Company’s Subsidiaries (other than the Amended and Restated Charter, the Amended and Restated Bylaws and the Investor Rights Agreement);</w:t>
      </w:r>
    </w:p>
    <w:p>
      <w:pPr>
        <w:spacing w:after="0" w:line="61" w:lineRule="exact"/>
        <w:rPr>
          <w:sz w:val="20"/>
          <w:szCs w:val="20"/>
          <w:color w:val="auto"/>
        </w:rPr>
      </w:pPr>
    </w:p>
    <w:p>
      <w:pPr>
        <w:ind w:left="1020" w:right="319" w:firstLine="360"/>
        <w:spacing w:after="0" w:line="238" w:lineRule="auto"/>
        <w:rPr>
          <w:sz w:val="20"/>
          <w:szCs w:val="20"/>
          <w:color w:val="auto"/>
        </w:rPr>
      </w:pPr>
      <w:r>
        <w:rPr>
          <w:rFonts w:ascii="Arial" w:cs="Arial" w:eastAsia="Arial" w:hAnsi="Arial"/>
          <w:sz w:val="18"/>
          <w:szCs w:val="18"/>
          <w:color w:val="auto"/>
        </w:rPr>
        <w:t>(ii)  (A) make (other than in the ordinary course of business), change or revoke any material Tax election or take any action or inaction that would cause a change to the tax entity classification of the Company or any of its Subsidiaries, (B) change any Tax accounting period or material method of Tax accounting, (C) materially amend any material Tax Return, (D) settle or compromise any material liability for Taxes, (E) enter into any “closing agreement” within the meaning of Section 7121 of the Code (or any similar provision of state, local or non-U.S. Law),</w:t>
      </w:r>
    </w:p>
    <w:p>
      <w:pPr>
        <w:spacing w:after="0" w:line="1" w:lineRule="exact"/>
        <w:rPr>
          <w:sz w:val="20"/>
          <w:szCs w:val="20"/>
          <w:color w:val="auto"/>
        </w:rPr>
      </w:pPr>
    </w:p>
    <w:p>
      <w:pPr>
        <w:ind w:left="1020" w:right="679" w:hanging="8"/>
        <w:spacing w:after="0" w:line="250"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surrender any right to claim a material refund of Taxes, or (G) request any material ruling from any Governmental Authority with respect to Taxes;</w:t>
      </w:r>
    </w:p>
    <w:p>
      <w:pPr>
        <w:spacing w:after="0" w:line="64" w:lineRule="exact"/>
        <w:rPr>
          <w:sz w:val="20"/>
          <w:szCs w:val="20"/>
          <w:color w:val="auto"/>
        </w:rPr>
      </w:pPr>
    </w:p>
    <w:p>
      <w:pPr>
        <w:ind w:left="1020" w:right="319" w:firstLine="360"/>
        <w:spacing w:after="0" w:line="237" w:lineRule="auto"/>
        <w:rPr>
          <w:sz w:val="20"/>
          <w:szCs w:val="20"/>
          <w:color w:val="auto"/>
        </w:rPr>
      </w:pPr>
      <w:r>
        <w:rPr>
          <w:rFonts w:ascii="Arial" w:cs="Arial" w:eastAsia="Arial" w:hAnsi="Arial"/>
          <w:sz w:val="18"/>
          <w:szCs w:val="18"/>
          <w:color w:val="auto"/>
        </w:rPr>
        <w:t>(iii)  (A) adjust, split, combine, subdivide, reduce or reclassify any shares of capital stock or other equity interests of the Company or any of its Subsidiaries (other than pursuant to the Amended and Restated Charter or the Conversions), (B) declare, set aside, or pay any dividend or other distribution (whether in cash, stock, or property or any combination thereof) in respect of the capital stock of the Company or any of its Subsidiaries, except for dividends and distributions paid or made by a wholly owned Subsidiary of the Company to the Company or another wholly owned Subsidiary of the Company the ordinary course of business, or (C) redeem, repurchase or otherwise acquire or offer to redeem, repurchase or otherwise acquire any securities of the Company or any of its Subsidiaries (including with respect to any Company Options and Company RSUs), other than (x) the withholding of shares of Company Common Stock to satisfy Tax obligations incurred in connection with the exercise or settlement of Company Options and Company RSUs; and (y) the acquisition by the Company of Company Options and Company RSUs in connection with the automatic forfeiture of such awards, in each case, in accordance with the terms and conditions of the Company Equity Plans and any applicable award agreement;</w:t>
      </w:r>
    </w:p>
    <w:p>
      <w:pPr>
        <w:spacing w:after="0" w:line="80" w:lineRule="exact"/>
        <w:rPr>
          <w:sz w:val="20"/>
          <w:szCs w:val="20"/>
          <w:color w:val="auto"/>
        </w:rPr>
      </w:pPr>
    </w:p>
    <w:p>
      <w:pPr>
        <w:ind w:left="1020" w:right="379" w:firstLine="360"/>
        <w:spacing w:after="0"/>
        <w:rPr>
          <w:sz w:val="20"/>
          <w:szCs w:val="20"/>
          <w:color w:val="auto"/>
        </w:rPr>
      </w:pPr>
      <w:r>
        <w:rPr>
          <w:rFonts w:ascii="Arial" w:cs="Arial" w:eastAsia="Arial" w:hAnsi="Arial"/>
          <w:sz w:val="18"/>
          <w:szCs w:val="18"/>
          <w:color w:val="auto"/>
        </w:rPr>
        <w:t xml:space="preserve">(iv)  issue, deliver, transfer, pledge, encumber or sell, or authorize the issuance, delivery, transfer, pledge, encumbrance or sale, of any securities or ownership interests of the Company or any of its Subsidiaries (including any rights, warrants or options with respect thereto), in each case other than (A) the issuance of shares of Company Common Stock upon the exercise of Company Options and the settlement of Company RSUs outstanding on the Effective Date in accordance with their terms as in effect on the Effective Date, (B) the issuance of awards described on </w:t>
      </w:r>
      <w:r>
        <w:rPr>
          <w:rFonts w:ascii="Arial" w:cs="Arial" w:eastAsia="Arial" w:hAnsi="Arial"/>
          <w:sz w:val="18"/>
          <w:szCs w:val="18"/>
          <w:u w:val="single" w:color="auto"/>
          <w:color w:val="auto"/>
        </w:rPr>
        <w:t>Section 5.01(a)(iv)(B)</w:t>
      </w:r>
      <w:r>
        <w:rPr>
          <w:rFonts w:ascii="Arial" w:cs="Arial" w:eastAsia="Arial" w:hAnsi="Arial"/>
          <w:sz w:val="18"/>
          <w:szCs w:val="18"/>
          <w:color w:val="auto"/>
        </w:rPr>
        <w:t xml:space="preserve"> of the Company Disclosure Letter, (C) in connection with the Rights Offering or pursuant to the Rights Offering Backstop Agreement;</w:t>
      </w:r>
    </w:p>
    <w:p>
      <w:pPr>
        <w:spacing w:after="0" w:line="72" w:lineRule="exact"/>
        <w:rPr>
          <w:sz w:val="20"/>
          <w:szCs w:val="20"/>
          <w:color w:val="auto"/>
        </w:rPr>
      </w:pPr>
    </w:p>
    <w:p>
      <w:pPr>
        <w:ind w:left="1020" w:right="399" w:firstLine="360"/>
        <w:spacing w:after="0" w:line="242" w:lineRule="auto"/>
        <w:rPr>
          <w:sz w:val="20"/>
          <w:szCs w:val="20"/>
          <w:color w:val="auto"/>
        </w:rPr>
      </w:pPr>
      <w:r>
        <w:rPr>
          <w:rFonts w:ascii="Arial" w:cs="Arial" w:eastAsia="Arial" w:hAnsi="Arial"/>
          <w:sz w:val="18"/>
          <w:szCs w:val="18"/>
          <w:color w:val="auto"/>
        </w:rPr>
        <w:t>(v)  (A) acquire (by purchase, merger, joint venture, partnership, consolidation, dissolution, liquidation, tender offer, exchange offer, recapitalization, reorganization, share exchange, business combination, acquisition of stock or assets or otherwise), directly or indirectly, any assets or properties (excluding any assets or properties that would not be material), securities, equity, interests, or businesses, other than in the ordinary course of business, or (B) merge, consolidate, combine or amalgamate the Company or any of its Subsidiaries with any Person;</w:t>
      </w:r>
    </w:p>
    <w:p>
      <w:pPr>
        <w:spacing w:after="0" w:line="71" w:lineRule="exact"/>
        <w:rPr>
          <w:sz w:val="20"/>
          <w:szCs w:val="20"/>
          <w:color w:val="auto"/>
        </w:rPr>
      </w:pPr>
    </w:p>
    <w:p>
      <w:pPr>
        <w:ind w:left="1020" w:right="379" w:firstLine="360"/>
        <w:spacing w:after="0" w:line="255" w:lineRule="auto"/>
        <w:rPr>
          <w:sz w:val="20"/>
          <w:szCs w:val="20"/>
          <w:color w:val="auto"/>
        </w:rPr>
      </w:pPr>
      <w:r>
        <w:rPr>
          <w:rFonts w:ascii="Arial" w:cs="Arial" w:eastAsia="Arial" w:hAnsi="Arial"/>
          <w:sz w:val="17"/>
          <w:szCs w:val="17"/>
          <w:color w:val="auto"/>
        </w:rPr>
        <w:t>(vi)  sell, lease, license or otherwise transfer, or create or incur any Lien (other than a Permitted Lien) on, any of the Company’s assets, securities, properties, interests or businesses, other than (A) inventory sold in connection with periodic promotional sales, (B) obsolete assets,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 involuntary Liens that are not material or (D) otherwise in the ordinary course of business;</w:t>
      </w:r>
    </w:p>
    <w:p>
      <w:pPr>
        <w:spacing w:after="0" w:line="86" w:lineRule="exact"/>
        <w:rPr>
          <w:sz w:val="20"/>
          <w:szCs w:val="20"/>
          <w:color w:val="auto"/>
        </w:rPr>
      </w:pPr>
    </w:p>
    <w:p>
      <w:pPr>
        <w:ind w:left="1020" w:right="399" w:firstLine="360"/>
        <w:spacing w:after="0" w:line="247" w:lineRule="auto"/>
        <w:rPr>
          <w:sz w:val="20"/>
          <w:szCs w:val="20"/>
          <w:color w:val="auto"/>
        </w:rPr>
      </w:pPr>
      <w:r>
        <w:rPr>
          <w:rFonts w:ascii="Arial" w:cs="Arial" w:eastAsia="Arial" w:hAnsi="Arial"/>
          <w:sz w:val="18"/>
          <w:szCs w:val="18"/>
          <w:color w:val="auto"/>
        </w:rPr>
        <w:t>(vii)  create, incur, assume, suffer to exist, guarantee or otherwise be liable with respect to any indebtedness for borrowed money or enter into any “keep well” or other agreement to maintain any financial statement condition of another Person, other than in connection with, and as permitted by, the Existing Credit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39" w:firstLine="360"/>
        <w:spacing w:after="0" w:line="256" w:lineRule="auto"/>
        <w:rPr>
          <w:sz w:val="20"/>
          <w:szCs w:val="20"/>
          <w:color w:val="auto"/>
        </w:rPr>
      </w:pPr>
      <w:r>
        <w:rPr>
          <w:rFonts w:ascii="Arial" w:cs="Arial" w:eastAsia="Arial" w:hAnsi="Arial"/>
          <w:sz w:val="17"/>
          <w:szCs w:val="17"/>
          <w:color w:val="auto"/>
        </w:rPr>
        <w:t xml:space="preserve">(viii)  settle or compromise any pending or threatened Action against the Company or any of its Subsidiaries for a cash settlement amount that exceeds the amounts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5.01(a)(viii)</w:t>
      </w:r>
      <w:r>
        <w:rPr>
          <w:rFonts w:ascii="Arial" w:cs="Arial" w:eastAsia="Arial" w:hAnsi="Arial"/>
          <w:sz w:val="17"/>
          <w:szCs w:val="17"/>
          <w:color w:val="auto"/>
        </w:rPr>
        <w:t xml:space="preserve"> of the Company Disclosure Letter (net of insurance proceeds applied to such settlement by the Company in respect of such claim or claims), or which settlement imposes any material restrictions on any of the current or future activities of the Company or its Subsidiaries or that imposes equitable relief on, or the admission of wrongdoing by, the Company or any of its Subsidiaries or any of their respective officers or directors (in each case, other than customary confidentiality obligations and other customary obligations attendant to monetary settlement);</w:t>
      </w:r>
    </w:p>
    <w:p>
      <w:pPr>
        <w:spacing w:after="0" w:line="60" w:lineRule="exact"/>
        <w:rPr>
          <w:sz w:val="20"/>
          <w:szCs w:val="20"/>
          <w:color w:val="auto"/>
        </w:rPr>
      </w:pPr>
    </w:p>
    <w:p>
      <w:pPr>
        <w:ind w:left="1020" w:right="379" w:firstLine="360"/>
        <w:spacing w:after="0" w:line="251" w:lineRule="auto"/>
        <w:rPr>
          <w:sz w:val="20"/>
          <w:szCs w:val="20"/>
          <w:color w:val="auto"/>
        </w:rPr>
      </w:pPr>
      <w:r>
        <w:rPr>
          <w:rFonts w:ascii="Arial" w:cs="Arial" w:eastAsia="Arial" w:hAnsi="Arial"/>
          <w:sz w:val="17"/>
          <w:szCs w:val="17"/>
          <w:color w:val="auto"/>
        </w:rPr>
        <w:t xml:space="preserve">(ix)  except (A) as required by Law or the terms of any ERISA Document (disregarding the reference to materiality in the definition thereof) in effect as of the Effective Date (or which is adopted after the Effective Date in accordance with the terms of this </w:t>
      </w:r>
      <w:r>
        <w:rPr>
          <w:rFonts w:ascii="Arial" w:cs="Arial" w:eastAsia="Arial" w:hAnsi="Arial"/>
          <w:sz w:val="17"/>
          <w:szCs w:val="17"/>
          <w:u w:val="single" w:color="auto"/>
          <w:color w:val="auto"/>
        </w:rPr>
        <w:t>Section 5.01(a)</w:t>
      </w:r>
      <w:r>
        <w:rPr>
          <w:rFonts w:ascii="Arial" w:cs="Arial" w:eastAsia="Arial" w:hAnsi="Arial"/>
          <w:sz w:val="17"/>
          <w:szCs w:val="17"/>
          <w:color w:val="auto"/>
        </w:rPr>
        <w:t>), (B) in the ordinary course of business, or (C) as specifically required pursuant to this Agreement, (I) grant to any current or former employee, officer, director or other individual service provider of the Company or any of its Subsidiaries any increase in annual base salary or base wages or any other increase in cash compensation, (II) grant to any current or former employee, officer, director or other individual service provider of the Company or any of its Subsidiaries any severance, change in control, termination or retention pay or benefits (or any increases thereto),</w:t>
      </w:r>
    </w:p>
    <w:p>
      <w:pPr>
        <w:spacing w:after="0" w:line="1" w:lineRule="exact"/>
        <w:rPr>
          <w:sz w:val="20"/>
          <w:szCs w:val="20"/>
          <w:color w:val="auto"/>
        </w:rPr>
      </w:pPr>
    </w:p>
    <w:p>
      <w:pPr>
        <w:ind w:left="1020" w:right="419" w:hanging="8"/>
        <w:spacing w:after="0" w:line="236" w:lineRule="auto"/>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hire, engage or terminate (other than for cause) the employment or engagement of any employee or individual independent contractor with a title above the level of Vice President, (IV) negotiate, establish, adopt, enter into, amend, modify, extend or terminate any (x) collective bargaining agreement, or (y) ERISA Document (other than amendments to broad-based benefit plans in connection with open enrollment that result in no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cost to the Company), (V) take any action to accelerate any rights or benefits, or make any material determinations not in the ordinary course of business, under any collective bargaining agreement or ERISA Document, (VI) implement any layoffs affecting, place on unpaid leave or furlough, or materially reduce the hours or weekly pay of, 20 or more employees, or (VII) take any action that would trigger notice obligations under the Worker Adjustment and Retraining Notification Act of 1988 or any similar foreign, state or local Law;</w:t>
      </w:r>
    </w:p>
    <w:p>
      <w:pPr>
        <w:spacing w:after="0" w:line="1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(x)   discontinue or enter into new business lines;</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(xi)   abandon or permit to lapse any material Company Permit; or</w:t>
      </w:r>
    </w:p>
    <w:p>
      <w:pPr>
        <w:spacing w:after="0" w:line="104" w:lineRule="exact"/>
        <w:rPr>
          <w:sz w:val="20"/>
          <w:szCs w:val="20"/>
          <w:color w:val="auto"/>
        </w:rPr>
      </w:pPr>
    </w:p>
    <w:p>
      <w:pPr>
        <w:ind w:left="1020" w:right="899" w:firstLine="360"/>
        <w:spacing w:after="0" w:line="271" w:lineRule="auto"/>
        <w:rPr>
          <w:sz w:val="20"/>
          <w:szCs w:val="20"/>
          <w:color w:val="auto"/>
        </w:rPr>
      </w:pPr>
      <w:r>
        <w:rPr>
          <w:rFonts w:ascii="Arial" w:cs="Arial" w:eastAsia="Arial" w:hAnsi="Arial"/>
          <w:sz w:val="18"/>
          <w:szCs w:val="18"/>
          <w:color w:val="auto"/>
        </w:rPr>
        <w:t>(xii)  enter into any Contract that provides for a binding commitment of the foregoing actions.</w:t>
      </w:r>
    </w:p>
    <w:p>
      <w:pPr>
        <w:spacing w:after="0" w:line="46"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(b)  Nothing in this Agreement is intended to give Lender, directly or indirectly, the right to control or direct the Company’s or its Subsidiaries’ operations prior to the Effective Time.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Certain Tax Actions</w:t>
      </w:r>
      <w:r>
        <w:rPr>
          <w:rFonts w:ascii="Arial" w:cs="Arial" w:eastAsia="Arial" w:hAnsi="Arial"/>
          <w:sz w:val="18"/>
          <w:szCs w:val="18"/>
          <w:color w:val="auto"/>
        </w:rPr>
        <w:t>.</w:t>
      </w:r>
    </w:p>
    <w:p>
      <w:pPr>
        <w:spacing w:after="0" w:line="104" w:lineRule="exact"/>
        <w:rPr>
          <w:sz w:val="20"/>
          <w:szCs w:val="20"/>
          <w:color w:val="auto"/>
        </w:rPr>
      </w:pPr>
    </w:p>
    <w:p>
      <w:pPr>
        <w:ind w:left="1020" w:right="379" w:firstLine="360"/>
        <w:spacing w:after="0" w:line="239" w:lineRule="auto"/>
        <w:rPr>
          <w:sz w:val="20"/>
          <w:szCs w:val="20"/>
          <w:color w:val="auto"/>
        </w:rPr>
      </w:pPr>
      <w:r>
        <w:rPr>
          <w:rFonts w:ascii="Arial" w:cs="Arial" w:eastAsia="Arial" w:hAnsi="Arial"/>
          <w:sz w:val="18"/>
          <w:szCs w:val="18"/>
          <w:color w:val="auto"/>
        </w:rPr>
        <w:t xml:space="preserve">(i)  During the period from the Effective Date to the Effective Time, the Company shall, and shall cause each of its Subsidiaries to, except as set forth on </w:t>
      </w:r>
      <w:r>
        <w:rPr>
          <w:rFonts w:ascii="Arial" w:cs="Arial" w:eastAsia="Arial" w:hAnsi="Arial"/>
          <w:sz w:val="18"/>
          <w:szCs w:val="18"/>
          <w:u w:val="single" w:color="auto"/>
          <w:color w:val="auto"/>
        </w:rPr>
        <w:t>Section 5.01(c)(i)</w:t>
      </w:r>
      <w:r>
        <w:rPr>
          <w:rFonts w:ascii="Arial" w:cs="Arial" w:eastAsia="Arial" w:hAnsi="Arial"/>
          <w:sz w:val="18"/>
          <w:szCs w:val="18"/>
          <w:color w:val="auto"/>
        </w:rPr>
        <w:t xml:space="preserve"> of the Company Disclosure Letter, (A) not take any position on Tax Returns that are required to be filed on or before the Effective Time (a “</w:t>
      </w:r>
      <w:r>
        <w:rPr>
          <w:rFonts w:ascii="Arial" w:cs="Arial" w:eastAsia="Arial" w:hAnsi="Arial"/>
          <w:sz w:val="18"/>
          <w:szCs w:val="18"/>
          <w:u w:val="single" w:color="auto"/>
          <w:color w:val="auto"/>
        </w:rPr>
        <w:t>Post-Signing Return</w:t>
      </w:r>
      <w:r>
        <w:rPr>
          <w:rFonts w:ascii="Arial" w:cs="Arial" w:eastAsia="Arial" w:hAnsi="Arial"/>
          <w:sz w:val="18"/>
          <w:szCs w:val="18"/>
          <w:color w:val="auto"/>
        </w:rPr>
        <w:t>”) that is inconsistent with past custom and practice unless required by applicable Law and disclosed to Lender, or as reasonably requested by Lender and (B) accrue a reserve in the books and records and financial statements of any such entity at such times and in such amounts as are in accordance with past practice for all material amounts of Taxes payable by such entity for which no Post-Signing Return is due prior to the Effective Time.</w:t>
      </w:r>
    </w:p>
    <w:p>
      <w:pPr>
        <w:spacing w:after="0" w:line="1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   The Company shall deliver to Lender at or prior to the Closing an IRS form W-9.</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04" w:lineRule="exact"/>
        <w:rPr>
          <w:sz w:val="20"/>
          <w:szCs w:val="20"/>
          <w:color w:val="auto"/>
        </w:rPr>
      </w:pPr>
    </w:p>
    <w:p>
      <w:pPr>
        <w:ind w:left="660" w:right="499"/>
        <w:spacing w:after="0" w:line="271" w:lineRule="auto"/>
        <w:rPr>
          <w:sz w:val="20"/>
          <w:szCs w:val="20"/>
          <w:color w:val="auto"/>
        </w:rPr>
      </w:pPr>
      <w:r>
        <w:rPr>
          <w:rFonts w:ascii="Arial" w:cs="Arial" w:eastAsia="Arial" w:hAnsi="Arial"/>
          <w:sz w:val="18"/>
          <w:szCs w:val="18"/>
          <w:color w:val="auto"/>
        </w:rPr>
        <w:t>(a)  From the Effective Date through the earlier of the termination of this Agreement in accordance with its terms and the Effective Time, the Company shall not, and shall cause its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0" w:lineRule="auto"/>
        <w:rPr>
          <w:sz w:val="20"/>
          <w:szCs w:val="20"/>
          <w:color w:val="auto"/>
        </w:rPr>
      </w:pPr>
      <w:r>
        <w:rPr>
          <w:rFonts w:ascii="Arial" w:cs="Arial" w:eastAsia="Arial" w:hAnsi="Arial"/>
          <w:sz w:val="17"/>
          <w:szCs w:val="17"/>
          <w:color w:val="auto"/>
        </w:rPr>
        <w:t>Subsidiaries not to, and shall not authorize or permit any officer, director, employee, investment banker, attorney, accountant or other advisor or representative (collectively, with respect to any Person, such Person’s “</w:t>
      </w:r>
      <w:r>
        <w:rPr>
          <w:rFonts w:ascii="Arial" w:cs="Arial" w:eastAsia="Arial" w:hAnsi="Arial"/>
          <w:sz w:val="17"/>
          <w:szCs w:val="17"/>
          <w:u w:val="single" w:color="auto"/>
          <w:color w:val="auto"/>
        </w:rPr>
        <w:t>Representatives</w:t>
      </w:r>
      <w:r>
        <w:rPr>
          <w:rFonts w:ascii="Arial" w:cs="Arial" w:eastAsia="Arial" w:hAnsi="Arial"/>
          <w:sz w:val="17"/>
          <w:szCs w:val="17"/>
          <w:color w:val="auto"/>
        </w:rPr>
        <w:t>”) of the Company or any of its Subsidiaries to, (i) solicit, initiate or knowingly encourage the submission of any Takeover Proposal, or take any other action to knowingly facilitate, enable or cooperate with the making of any Takeover Proposal or any inquiry, proposal or offer that could reasonably be expected to lead to a Takeover Proposal, (ii) enter into, approve, endorse or recommend, or publicly propose to enter into, approve, endorse or recommend, any Acquisition Agreement with respect to any Takeover Proposal, (iii) enter into, participate in or continue any discussions or negotiations regarding, or furnish to any person any non-public information with respect to, any Takeover Proposal or any inquiry or proposal that could reasonably be expected to lead to a Takeover Proposal, other than solely to state that the Company and its Representatives are prohibited hereunder from engaging in any such discussions or negotiations, or</w:t>
      </w:r>
    </w:p>
    <w:p>
      <w:pPr>
        <w:spacing w:after="0" w:line="5" w:lineRule="exact"/>
        <w:rPr>
          <w:sz w:val="20"/>
          <w:szCs w:val="20"/>
          <w:color w:val="auto"/>
        </w:rPr>
      </w:pPr>
    </w:p>
    <w:p>
      <w:pPr>
        <w:ind w:left="660" w:right="319" w:hanging="8"/>
        <w:spacing w:after="0" w:line="234"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propose, resolve or agree to do any of the foregoing. The Company shall (A) immediately cease, and not authorize or permit any of its Representatives to continue, all discussions and negotiations with any person (other than with Lender and its Representatives) regarding any Takeover Proposal or any inquiry or proposal that would reasonably be expected to lead to a Takeover Proposal,</w:t>
      </w:r>
    </w:p>
    <w:p>
      <w:pPr>
        <w:spacing w:after="0" w:line="2" w:lineRule="exact"/>
        <w:rPr>
          <w:rFonts w:ascii="Arial" w:cs="Arial" w:eastAsia="Arial" w:hAnsi="Arial"/>
          <w:sz w:val="18"/>
          <w:szCs w:val="18"/>
          <w:color w:val="auto"/>
        </w:rPr>
      </w:pPr>
    </w:p>
    <w:p>
      <w:pPr>
        <w:ind w:left="660" w:right="299"/>
        <w:spacing w:after="0" w:line="235" w:lineRule="auto"/>
        <w:rPr>
          <w:rFonts w:ascii="Arial" w:cs="Arial" w:eastAsia="Arial" w:hAnsi="Arial"/>
          <w:sz w:val="18"/>
          <w:szCs w:val="18"/>
          <w:color w:val="auto"/>
        </w:rPr>
      </w:pPr>
      <w:r>
        <w:rPr>
          <w:rFonts w:ascii="Arial" w:cs="Arial" w:eastAsia="Arial" w:hAnsi="Arial"/>
          <w:sz w:val="18"/>
          <w:szCs w:val="18"/>
          <w:color w:val="auto"/>
        </w:rPr>
        <w:t>(B) promptly (and in any event, within two (2) Business Days) after the Effective Date request the prompt return or destruction of all confidential information previously furnished to such person(s) (other than Lender and its Representatives) within the last 12 months for the purpose of allowing such person(s) to evaluate a possible Takeover Proposal, and (C) promptly (and in any event within one (1) Business Day) terminate access of any person(s) (other than Lender and its Representatives) to any physical or electronic data rooms for the purpose of evaluating a possible Takeover Proposal. From the Effective Date through the earlier of the termination of this Agreement in accordance with its terms and the Effective Time, the Company shall not, and shall cause its Subsidiaries not to, (I) waive, terminate, modify, or release any person (other than Lender or its Affiliates) under any “standstill” or similar agreement or obligation or propose, resolve or agree to do the foregoing, unless, prior to receipt of the Company Stockholder Approval, the Company Board (acting on the recommendation of the Finance Committee) or the Finance Committee determines in its good faith judgment, after consultation with and receipt of advice from outside legal counsel and a financial advisor of nationally recognized reputation (it being agreed that each of the Company Financial Advisors is of nationally recognized reputation), that the failure to take such action would reasonably be expected to be inconsistent with its fiduciary duties under Delaware Law, in which event the Company Board (acting on the recommendation of the Finance Committee) or the Finance Committee may grant a waiver under such “standstill” or similar agreement or obligation solely to the extent to permit such Person to make a non-public proposal to the Company Board, or (II) exempt any person (other than Lender and its Affiliates) from the restrictions on “business combinations” contained in Section 203 of the DGCL (or similar provisions of any other Takeover Law) or in the Company Governing Documents or propose, resolve, or agree to do the foregoing. The Company shall provide prompt written notice to Lender of any waiver or release of any standstill by the Company.</w:t>
      </w:r>
    </w:p>
    <w:p>
      <w:pPr>
        <w:spacing w:after="0" w:line="86"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(b)  Notwithstanding the foregoing, at any time prior to receipt of the Company Stockholder Approval, if the Company or the Company Board receives a bona fide written Takeover Proposal after the Effective Date that was not solicited in material breach of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and that (i) the Company Board (acting on the recommendation of the Finance Committee) or the Finance Committee determines in its good faith judgment (after consultation with and receipt of advice from outside legal counsel and a financial advisor of nationally recognized reputation) constitutes or would reasonably be expected to lead to a Superior Proposal, and (ii) the Company Board (acting on the recommendation of the Finance Committee) or the Finance Committee determines in its good faith judgment (after consultation with and receipt of advice from outside legal counsel and a financial advisor of nationally recognized reputation) that the failure to take the actions specified in the following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sentence with respect to such Takeover Proposal would be inconsistent with its fiduciary duties to the Company Stockholders under Delaware Law, then, subject to providing prior written notice of its decision to take such action to Lender and compliance with </w:t>
      </w:r>
      <w:r>
        <w:rPr>
          <w:rFonts w:ascii="Arial" w:cs="Arial" w:eastAsia="Arial" w:hAnsi="Arial"/>
          <w:sz w:val="18"/>
          <w:szCs w:val="18"/>
          <w:u w:val="single" w:color="auto"/>
          <w:color w:val="auto"/>
        </w:rPr>
        <w:t>Section 5.02(e)</w:t>
      </w:r>
      <w:r>
        <w:rPr>
          <w:rFonts w:ascii="Arial" w:cs="Arial" w:eastAsia="Arial" w:hAnsi="Arial"/>
          <w:sz w:val="18"/>
          <w:szCs w:val="18"/>
          <w:color w:val="auto"/>
        </w:rPr>
        <w:t>, the Company may (A) furnish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information with respect to the Company to the person making such Takeover Proposal and its Representatives pursuant to an Acceptable Confidentiality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information provided to such person shall have previously been provided to Lender or its Representatives or shall be provided to Lender or its Representatives prior to or at substantially the same time as it is provided to such person), and (B) participate in discussions or negotiations with such person and its Representatives regarding such Takeover Proposal.</w:t>
      </w:r>
    </w:p>
    <w:p>
      <w:pPr>
        <w:spacing w:after="0" w:line="71"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(c)  From the Effective Date through the earlier of the termination of this Agreement in accordance with its terms and the Effective Time, neither the Company, the Company Board, nor any committee thereof, shall (A) (1) withdraw, qualify or modify in a manner adverse to Lender, or propose publicly to withdraw, qualify or modify in a manner adverse to Lender, the Company Board Recommendation or the Finance Committee Recommendation (as applicable) or its declaration of advisability, or resolve or agree to take any such action, (2) endorse or recommend or propose publicly to adopt, approve, endorse or recommend, any Takeover Proposal, or resolve or agree to take any such action, (3) following the date that any Takeover Proposal or any material modification thereto is first made public or sent or given to the Company Stockholders, fail to issue a press release publicly reaffirming the Company Board Recommendation or the Finance Committee Recommendation (as applicable) within five (5) Business Days after (or, if earlier, prior to the Company Stockholders Meeting) a written request by Lender to do so, which request shall only be made twice per Takeover Proposal or once per each material modification or material change to a Takeover Proposal, (4) following the commencement by any person of a tender or exchange offer for shares of Company Common Stock, fail to publicly issue a rejection of such tender or exchange offer within 10 Business Days after the commencement thereof, (5) fail to include the Company Board Recommendation and the Finance Committee Recommendation in the Proxy Statement when disseminated to the Company’s stockholders, or (6) fail to recognize or challenge the validity or effectiveness of any Proxy Stockholder’s Conversion Notice or Proxy (any action described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being referred to herein as an “</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or (B) (1) adopt or approve any Takeover Proposal, or resolve or agree to take any such action, (2) approve, authorize, cause or permit the Company or any of its Subsidiaries to enter into any letter of intent, term sheet, memorandum of understanding, agreement in principle, acquisition agreement, option agreement, merger agreement, joint venture agreement, partnership agreement or other agreement relating to any Takeover Proposal, other than an Acceptable Confidentiality Agreement (an “</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or resolve or agree to take any such action, or (3) submit any Takeover Proposal to the Company Stockholders for approval, acceptance, endorsement, recommendation or adoption.</w:t>
      </w:r>
    </w:p>
    <w:p>
      <w:pPr>
        <w:spacing w:after="0" w:line="80"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(d)  Notwithstanding the foregoing, and only at a time prior to the receipt of the Company Stockholder Approval, the Company may (i) make an Adverse Recommendation Change in response to an Intervening Event, (ii) make an Adverse Recommendation Change in response to a Superior Proposal, or (iii) terminate this Agreement pursuant to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in response to a Superior Proposal in order to enter into a definitive agreement providing for such Superior Proposal, but in each case only if all of the following conditions are satisfied: (A) the Company or the Company Board has received a Superior Proposal after the Effective Date that was not solicited in breach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and did not, directly or indirectly, otherwise result from a breach of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in any material respect (in the case of the preceding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or an Intervening Event has occurred (in the case of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(B) in light of such Superior Proposal (in the case of the preceding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or such Intervening Event (in the case of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as the case may be, the Company Board (acting on the recommendation of the Finance Committee) or the Finance Committee shall have determined in their good faith judgment (after consultation with and after receipt of advice from outside legal counsel and a financial advisor of nationally recognized reputation) that failure to make an Adverse Recommendation Change (in the case of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to terminate this Agreement (in the case of the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would be inconsistent with its fiduciary duties to the Company Stockholders under Delaware Law (any such determination, a “</w:t>
      </w:r>
      <w:r>
        <w:rPr>
          <w:rFonts w:ascii="Arial" w:cs="Arial" w:eastAsia="Arial" w:hAnsi="Arial"/>
          <w:sz w:val="18"/>
          <w:szCs w:val="18"/>
          <w:u w:val="single" w:color="auto"/>
          <w:color w:val="auto"/>
        </w:rPr>
        <w:t>Withdrawal Determination</w:t>
      </w:r>
      <w:r>
        <w:rPr>
          <w:rFonts w:ascii="Arial" w:cs="Arial" w:eastAsia="Arial" w:hAnsi="Arial"/>
          <w:sz w:val="18"/>
          <w:szCs w:val="18"/>
          <w:color w:val="auto"/>
        </w:rPr>
        <w:t>”); (C) the Company has notified Lender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writing that it has made a Withdrawal Determination (any such notice, a “</w:t>
      </w:r>
      <w:r>
        <w:rPr>
          <w:rFonts w:ascii="Arial" w:cs="Arial" w:eastAsia="Arial" w:hAnsi="Arial"/>
          <w:sz w:val="18"/>
          <w:szCs w:val="18"/>
          <w:u w:val="single" w:color="auto"/>
          <w:color w:val="auto"/>
        </w:rPr>
        <w:t>Triggering Notice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Lender un-redacted copies of the documents and/or agreements providing for the Superior Proposal in accordance with </w:t>
      </w:r>
      <w:r>
        <w:rPr>
          <w:rFonts w:ascii="Arial" w:cs="Arial" w:eastAsia="Arial" w:hAnsi="Arial"/>
          <w:sz w:val="18"/>
          <w:szCs w:val="18"/>
          <w:u w:val="single" w:color="auto"/>
          <w:color w:val="auto"/>
        </w:rPr>
        <w:t>Section 5.02(e)</w:t>
      </w:r>
      <w:r>
        <w:rPr>
          <w:rFonts w:ascii="Arial" w:cs="Arial" w:eastAsia="Arial" w:hAnsi="Arial"/>
          <w:sz w:val="18"/>
          <w:szCs w:val="18"/>
          <w:color w:val="auto"/>
        </w:rPr>
        <w:t>; (D) at least five (5) Business Days shall have passed following receipt by Lender of the Triggering Notice (such time period, the “</w:t>
      </w:r>
      <w:r>
        <w:rPr>
          <w:rFonts w:ascii="Arial" w:cs="Arial" w:eastAsia="Arial" w:hAnsi="Arial"/>
          <w:sz w:val="18"/>
          <w:szCs w:val="18"/>
          <w:u w:val="single" w:color="auto"/>
          <w:color w:val="auto"/>
        </w:rPr>
        <w:t>Notice Period</w:t>
      </w:r>
      <w:r>
        <w:rPr>
          <w:rFonts w:ascii="Arial" w:cs="Arial" w:eastAsia="Arial" w:hAnsi="Arial"/>
          <w:sz w:val="18"/>
          <w:szCs w:val="18"/>
          <w:color w:val="auto"/>
        </w:rPr>
        <w:t>”), and during the Notice Period, if requested by Lender, the Company shall have negotiated in good faith with Lender to permit Lender to make a proposal to amend the terms of the Transactions or this Agreement; (E) at the end of the Notice Period, and taking into account any written proposals through the end of the Notice Period to amend the terms of the Transactions or this Agreement made by Lender since receipt of the Triggering Notice (a “</w:t>
      </w:r>
      <w:r>
        <w:rPr>
          <w:rFonts w:ascii="Arial" w:cs="Arial" w:eastAsia="Arial" w:hAnsi="Arial"/>
          <w:sz w:val="18"/>
          <w:szCs w:val="18"/>
          <w:u w:val="single" w:color="auto"/>
          <w:color w:val="auto"/>
        </w:rPr>
        <w:t>Lender Proposal</w:t>
      </w:r>
      <w:r>
        <w:rPr>
          <w:rFonts w:ascii="Arial" w:cs="Arial" w:eastAsia="Arial" w:hAnsi="Arial"/>
          <w:sz w:val="18"/>
          <w:szCs w:val="18"/>
          <w:color w:val="auto"/>
        </w:rPr>
        <w:t xml:space="preserve">”), such Superior Proposal remains a Superior Proposal and the Company Board or the Finance Committee, as applicable, has again made a Withdrawal Determination in response to such Superior Proposal or such Intervening Event is continuing and the Company Board or the Finance Committee, as applicable, has again made a Withdrawal Determination in response to such Intervening Event, as the case may be, in each case after consultation with and after receipt of advice from outside legal counsel and a financial advisor of nationally recognized reputation that failure to make such Withdrawal Determination would reasonably be expected to be inconsistent with its fiduciary duties to the Company Stockholders under Delaware Law (it being understood and agreed that if, in light of any Lender Proposal, the Company Board or the Finance Committee is no longer able to make a Withdrawal Determination with respect to such Superior Proposal or Intervening Event, then Lender and the Company shall immediately enter into an amendment to this Agreement that embodies the terms of such Lender Proposal); (F) the Company is in compliance in all material respects with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(G) the Company has paid the Termination Fee to Lender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promptly after such termination enters into a definitive agreement providing for such Superior Proposal, in the case of a termination of this Agreement pursuant to the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The Company acknowledges and agrees that each successive modification to the financial terms or other material terms of a Takeover Proposal that is determined to be a Superior Proposal shall be deemed to constitute a new Superior Proposal, and any material change to the Intervening Event shall be deemed to constitute a new Intervening Event, in each case, for purposes of the first sentence of this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shall require a new compliance with the first sentence of this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for the avoidance of doubt, shall require a new Notice Period (except that the five (5) Business Day notice period referred to in the Notice Period shall instead be equal to three (3) Business Days).</w:t>
      </w:r>
    </w:p>
    <w:p>
      <w:pPr>
        <w:spacing w:after="0" w:line="76" w:lineRule="exact"/>
        <w:rPr>
          <w:sz w:val="20"/>
          <w:szCs w:val="20"/>
          <w:color w:val="auto"/>
        </w:rPr>
      </w:pPr>
    </w:p>
    <w:p>
      <w:pPr>
        <w:ind w:left="660" w:right="359"/>
        <w:spacing w:after="0" w:line="237" w:lineRule="auto"/>
        <w:rPr>
          <w:sz w:val="20"/>
          <w:szCs w:val="20"/>
          <w:color w:val="auto"/>
        </w:rPr>
      </w:pPr>
      <w:r>
        <w:rPr>
          <w:rFonts w:ascii="Arial" w:cs="Arial" w:eastAsia="Arial" w:hAnsi="Arial"/>
          <w:sz w:val="18"/>
          <w:szCs w:val="18"/>
          <w:color w:val="auto"/>
        </w:rPr>
        <w:t>(e)  The Company shall promptly (but in no event more than 24 hours after receipt thereof) advise Lender in writing of the receipt by the Company of any Takeover Proposal or any inquiry that would reasonably be expected to lead to the receipt by the Company of a Takeover Proposal, the identity of the person making any such Takeover Proposal or inquiry and the terms of any such Takeover Proposal. The Company shall (i) keep Lender reasonably informed of the status including any change to the financial terms or other material terms of any such Takeover Proposal and (ii) provide to Lender, as soon as practicable (and in any event within 24 hours) after receipt or delivery thereof by or to the Company or its Representatives, un-redacted copies of all offers, proposals, drafts and final versions (and any amendments thereto) of agreements and financing documents, including schedules, exhibits and side letters thereto, relating to the Takeover Proposal (including any other documents or agreements referred to in or to be entered into in connection with the Takeover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provide Lender a redacted copy of any debt commitment fee letter, to the extent un-redacted copies thereof are not made available to the Company), and other material correspondence, sent or provided to the Company, its Subsidiaries or their respective Representatives by the person making such Takeover Proposal or such person’s Representatives or sent or provided by the Company, its Subsidiaries or their respective Representatives to the person making such Takeover Proposal or such person’s Representatives. In addition, the Company shall promptly (but in no event more than 24 hours after receipt thereof) advise Lender in writing of the receipt by the Company of any Proxy Stockholder Proxy Revocation.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9" w:lineRule="auto"/>
        <w:rPr>
          <w:sz w:val="20"/>
          <w:szCs w:val="20"/>
          <w:color w:val="auto"/>
        </w:rPr>
      </w:pPr>
      <w:r>
        <w:rPr>
          <w:rFonts w:ascii="Arial" w:cs="Arial" w:eastAsia="Arial" w:hAnsi="Arial"/>
          <w:sz w:val="17"/>
          <w:szCs w:val="17"/>
          <w:color w:val="auto"/>
        </w:rPr>
        <w:t xml:space="preserve">(f)  Nothing contained in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shall prohibit the Company from (i) taking and disclosing to its stockholders a position contemplated by Rule 14e-2(a) promulgated under the Exchange Act or complying with Rule 14d-9 promulgated under the Exchange Act, including making a “stop, look and listen” communication to its stockholders pursuant to Rule 14d-9(f) promulgated under the Exchange Act; (ii) complying with Item 1012(a) of Regulation M-A promulgated under the Exchange Act; (iii) informing any Person of the existence of the provisions contained in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(iv) making any disclosure to its stockholders that the Company Board is required to make in order to comply with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the Company Board or the Finance Committee make any Adverse Recommendation Change except in compliance with </w:t>
      </w:r>
      <w:r>
        <w:rPr>
          <w:rFonts w:ascii="Arial" w:cs="Arial" w:eastAsia="Arial" w:hAnsi="Arial"/>
          <w:sz w:val="17"/>
          <w:szCs w:val="17"/>
          <w:u w:val="single" w:color="auto"/>
          <w:color w:val="auto"/>
        </w:rPr>
        <w:t>Section 5.02(d)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disclosure that is made pursuant to immediately preceding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to the extent related to or in connection with a Takeover Proposal or a Triggering Notice or Withdrawal Determination with respect to an Intervening Event, </w:t>
      </w:r>
      <w:r>
        <w:rPr>
          <w:rFonts w:ascii="Arial" w:cs="Arial" w:eastAsia="Arial" w:hAnsi="Arial"/>
          <w:sz w:val="17"/>
          <w:szCs w:val="17"/>
          <w:u w:val="single" w:color="auto"/>
          <w:color w:val="auto"/>
        </w:rPr>
        <w:t>clause (iv)</w:t>
      </w:r>
      <w:r>
        <w:rPr>
          <w:rFonts w:ascii="Arial" w:cs="Arial" w:eastAsia="Arial" w:hAnsi="Arial"/>
          <w:sz w:val="17"/>
          <w:szCs w:val="17"/>
          <w:color w:val="auto"/>
        </w:rPr>
        <w:t>, that does not contain an express reaffirmation of the Company Board Recommendation and the Finance Committee Recommendation shall be deemed an Adverse Recommendation Change. None of the following actions shall in and of itself be deemed to constitute an Adverse Recommendation Change: (A) the deliberation by the Company Board or the Finance Committee regarding a Takeover Proposal, or the determination by the Company Board or the Finance Committee that a Takeover Proposal constitutes or would reasonably be expected to result in a Superior Proposal; (B) a Withdrawal Determination;</w:t>
      </w:r>
    </w:p>
    <w:p>
      <w:pPr>
        <w:spacing w:after="0" w:line="13" w:lineRule="exact"/>
        <w:rPr>
          <w:sz w:val="20"/>
          <w:szCs w:val="20"/>
          <w:color w:val="auto"/>
        </w:rPr>
      </w:pPr>
    </w:p>
    <w:p>
      <w:pPr>
        <w:ind w:left="660" w:right="439" w:hanging="8"/>
        <w:spacing w:after="0" w:line="256"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delivery to Lender of a Triggering Notice; or (D) the public disclosure of any action described in the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if such disclosure is required by applicable Law, so long as any such disclosure (x) does not include any statement that constitutes, and does not otherwise constitute, an Adverse Recommendation Change and (y) includes an express reaffirmation of the Company Board Recommendation and the Finance Committee Recommendation.</w:t>
      </w:r>
    </w:p>
    <w:p>
      <w:pPr>
        <w:spacing w:after="0" w:line="60" w:lineRule="exact"/>
        <w:rPr>
          <w:sz w:val="20"/>
          <w:szCs w:val="20"/>
          <w:color w:val="auto"/>
        </w:rPr>
      </w:pPr>
    </w:p>
    <w:p>
      <w:pPr>
        <w:ind w:left="660" w:right="499"/>
        <w:spacing w:after="0" w:line="253" w:lineRule="auto"/>
        <w:rPr>
          <w:sz w:val="20"/>
          <w:szCs w:val="20"/>
          <w:color w:val="auto"/>
        </w:rPr>
      </w:pPr>
      <w:r>
        <w:rPr>
          <w:rFonts w:ascii="Arial" w:cs="Arial" w:eastAsia="Arial" w:hAnsi="Arial"/>
          <w:sz w:val="18"/>
          <w:szCs w:val="18"/>
          <w:color w:val="auto"/>
        </w:rPr>
        <w:t xml:space="preserve">(g)  Without limiting the foregoing, it is agreed that any violation of the restrictions set forth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by any Representative or Affiliate of the Company acting on behalf of the Company or its Affiliates shall be deemed to be a breach of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by the Company.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   For purposes of this Agreement:</w:t>
      </w:r>
    </w:p>
    <w:p>
      <w:pPr>
        <w:spacing w:after="0" w:line="104" w:lineRule="exact"/>
        <w:rPr>
          <w:sz w:val="20"/>
          <w:szCs w:val="20"/>
          <w:color w:val="auto"/>
        </w:rPr>
      </w:pPr>
    </w:p>
    <w:p>
      <w:pPr>
        <w:ind w:left="1020" w:right="479" w:firstLine="36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customary confidentiality agreement that does not prohibit compliance by the Company with any of the provisions of this Agreement (it being understood that such confidentiality agreement need not contain a standstill provision or otherwise prohibit the making or amending of a Takeover Proposal to the extent such Takeover Proposal is made directly to the Company).</w:t>
      </w:r>
    </w:p>
    <w:p>
      <w:pPr>
        <w:spacing w:after="0" w:line="68" w:lineRule="exact"/>
        <w:rPr>
          <w:sz w:val="20"/>
          <w:szCs w:val="20"/>
          <w:color w:val="auto"/>
        </w:rPr>
      </w:pPr>
    </w:p>
    <w:p>
      <w:pPr>
        <w:ind w:left="1020" w:right="319" w:firstLine="3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means a change, effect, event, occurrence, state of facts or development that materially affects the Company and its Subsidiaries, taken as a whole, occurring after the Effective Date that did not result from a breach of this Agreement and (i) was not known by, or reasonably foreseeable to, the Company Board or the Finance Committee as of or prior to the Effective Date (or if known and reasonably foreseeable to the Company Board or the Finance Committee as of the Effective Date, the material consequences of which were not known or reasonably foreseeable to the Company Board or the Finance Committee, as applicable, as of the Effective Date) and (ii) becomes known to or by the Company Board or the Finance Committee prior to the receipt of the Company Stockholder Approval;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receipt of a Takeover Proposal or Superior Proposal constitute or be taken into account in determining whether an Intervening Event has occurred.</w:t>
      </w:r>
    </w:p>
    <w:p>
      <w:pPr>
        <w:spacing w:after="0" w:line="78" w:lineRule="exact"/>
        <w:rPr>
          <w:sz w:val="20"/>
          <w:szCs w:val="20"/>
          <w:color w:val="auto"/>
        </w:rPr>
      </w:pPr>
    </w:p>
    <w:p>
      <w:pPr>
        <w:ind w:left="1020" w:right="319" w:firstLine="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means any bona fide written, unsolicited Takeover Proposal that was not solicited in breach in any material respect of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(except that, for purposes of this definition of “Superior Proposal” all references to 20% in the definition of “Takeover Proposal” shall be deemed to be references to 50%) made by a third party (who is not an Affiliate of the Company) that is fully financed or has fully committed financing to consummate such transaction and that (i) is on terms that the Company Board and the Finance Committee reasonably determines in good faith, after consultation with and 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299"/>
        <w:spacing w:after="0" w:line="239" w:lineRule="auto"/>
        <w:rPr>
          <w:sz w:val="20"/>
          <w:szCs w:val="20"/>
          <w:color w:val="auto"/>
        </w:rPr>
      </w:pPr>
      <w:r>
        <w:rPr>
          <w:rFonts w:ascii="Arial" w:cs="Arial" w:eastAsia="Arial" w:hAnsi="Arial"/>
          <w:sz w:val="18"/>
          <w:szCs w:val="18"/>
          <w:color w:val="auto"/>
        </w:rPr>
        <w:t>receipt of advice from outside legal counsel and a financial advisor of nationally recognized reputation, to be more favorable to the holders of Company Common Stock from a financial point of view than the Transactions, taking into account all the terms and conditions of such proposal and this Agreement (including any Lender Proposal), and (ii) is reasonably capable of being completed on the terms proposed, in each case taking into account financial, regulatory (including Antitrust Laws), legal, closing certainty and timing and other aspects and risks of such Takeover Proposal and such additional factors as the Company Board and the Finance Committee consider to be appropriate (including any break-up fees and expense reimbursement provisions).</w:t>
      </w:r>
    </w:p>
    <w:p>
      <w:pPr>
        <w:spacing w:after="0" w:line="75" w:lineRule="exact"/>
        <w:rPr>
          <w:sz w:val="20"/>
          <w:szCs w:val="20"/>
          <w:color w:val="auto"/>
        </w:rPr>
      </w:pPr>
    </w:p>
    <w:p>
      <w:pPr>
        <w:ind w:left="1020" w:right="319" w:firstLine="36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Takeover Proposal</w:t>
      </w:r>
      <w:r>
        <w:rPr>
          <w:rFonts w:ascii="Arial" w:cs="Arial" w:eastAsia="Arial" w:hAnsi="Arial"/>
          <w:sz w:val="17"/>
          <w:szCs w:val="17"/>
          <w:color w:val="auto"/>
        </w:rPr>
        <w:t>” means any proposal or offer made by a third party to the Company or the Company Board (i) for a merger, consolidation, share exchange, business combination, dual listed company structure, liquidation, dissolution, joint venture, strategic alliance, recapitalization, reorganization or other similar transaction involving (A) the Company which would result in any third party (or the stockholders of such third party) owning more than 20% of the shares of capital stock of the Company, or (B) the Company or its Subsidiaries which would result in any third party (or the stockholders of such third party) owning assets or businesses that represent or constitute more than 20% of the revenue or assets of the Company and its Subsidiaries taken as a whole, (ii) for the issuance by the Company of more than 20% of its shares of capital stock (whether by voting power or number of shares) as consideration for the assets or securities of another person or business, (iii) to acquire in any manner (including by a tender or exchange offer), directly or indirectly, more than 20% of the shares of capital stock of the Company (whether by voting power or number of shares) or assets or businesses that represent or constitute more than 20% of the revenues or assets of the Company and its Subsidiaries taken as a whole or (iv) to sell, lease, exclusively license, mortgage, pledge or otherwise transfer (including through any arrangement having substantially the same economic effect as a sale of assets) assets or businesses that represent or constitute more than 20% of the revenues or assets of the Company and its Subsidiaries taken as a whole, on a consolidated basis, in a single transaction or a series of transactions, in each case other than the Transactions or sales, leases, licenses or dispositions of assets in the ordinary course of business.</w:t>
      </w:r>
    </w:p>
    <w:p>
      <w:pPr>
        <w:spacing w:after="0" w:line="38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VI</w:t>
      </w:r>
    </w:p>
    <w:p>
      <w:pPr>
        <w:spacing w:after="0" w:line="14" w:lineRule="exact"/>
        <w:rPr>
          <w:sz w:val="20"/>
          <w:szCs w:val="20"/>
          <w:color w:val="auto"/>
        </w:rPr>
      </w:pPr>
    </w:p>
    <w:p>
      <w:pPr>
        <w:ind w:left="3600"/>
        <w:spacing w:after="0"/>
        <w:rPr>
          <w:sz w:val="20"/>
          <w:szCs w:val="20"/>
          <w:color w:val="auto"/>
        </w:rPr>
      </w:pPr>
      <w:r>
        <w:rPr>
          <w:rFonts w:ascii="Arial" w:cs="Arial" w:eastAsia="Arial" w:hAnsi="Arial"/>
          <w:sz w:val="18"/>
          <w:szCs w:val="18"/>
          <w:u w:val="single" w:color="auto"/>
          <w:color w:val="auto"/>
        </w:rPr>
        <w:t>Additional Agreements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Preparation of the Proxy Statement; Stockholders Meeting</w:t>
      </w:r>
      <w:r>
        <w:rPr>
          <w:rFonts w:ascii="Arial" w:cs="Arial" w:eastAsia="Arial" w:hAnsi="Arial"/>
          <w:sz w:val="18"/>
          <w:szCs w:val="18"/>
          <w:color w:val="auto"/>
        </w:rPr>
        <w:t>.</w:t>
      </w:r>
    </w:p>
    <w:p>
      <w:pPr>
        <w:spacing w:after="0" w:line="104" w:lineRule="exact"/>
        <w:rPr>
          <w:sz w:val="20"/>
          <w:szCs w:val="20"/>
          <w:color w:val="auto"/>
        </w:rPr>
      </w:pPr>
    </w:p>
    <w:p>
      <w:pPr>
        <w:ind w:left="660" w:right="359"/>
        <w:spacing w:after="0" w:line="232" w:lineRule="auto"/>
        <w:rPr>
          <w:sz w:val="20"/>
          <w:szCs w:val="20"/>
          <w:color w:val="auto"/>
        </w:rPr>
      </w:pPr>
      <w:r>
        <w:rPr>
          <w:rFonts w:ascii="Arial" w:cs="Arial" w:eastAsia="Arial" w:hAnsi="Arial"/>
          <w:sz w:val="18"/>
          <w:szCs w:val="18"/>
          <w:color w:val="auto"/>
        </w:rPr>
        <w:t>(a)  The Company shall, as soon as practicable after the Effective Date (and in any event no later than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immediately after the Effective Date), prepare and file with the SEC the Proxy Statement in preliminary form, and the Company shall use its reasonable best efforts to respond as promptly as practicable to any comments of the SEC with respect thereto and for the Proxy Statement to be cleared by the SEC and its staff under the Exchange Act as promptly as practicable after such filing. The Company shall notify Lender promptly (but in any event within 24 hours) of the receipt of any comments from the SEC or its staff and of any request by the SEC or its staff for amendments or supplements to the Proxy Statement or for additional information, and shall supply Lender with copies of all written correspondence and a summary of all material oral correspondence between the Company or any of its Representatives, on the one hand, and the SEC or its staff, on the other hand, with respect to the Proxy Statement or the Transactions. Notwithstanding anything to the contrary herein, prior to filing or mailing the Proxy Statement (or any amendment or supplement thereto) or responding to any questions or comments of the SEC or its staff with respect thereto, the Company shall (i) provide Lender and its counsel a reasonable opportunity to review and comment on such document or response and (ii) consider reasonably and in good faith for inclusion in such document or response all comments reasonably proposed by Lender. Without limiting the generality of the foregoing, Lender shall reasonably cooperate with the Company in connection with the preparation and filing of the Proxy Statement, including reasonably promptly furnishing to the Company in writing upon request any and all information relating to Lender as may 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required to be set forth in the Proxy Statement under applicable Law. Notwithstanding anything to the contrary herein, (A) the Company assumes no responsibility with respect to information supplied in writing by or on behalf of Lender expressly provided for inclusion or incorporation by reference in the Proxy Statement (such information, the “</w:t>
      </w:r>
      <w:r>
        <w:rPr>
          <w:rFonts w:ascii="Arial" w:cs="Arial" w:eastAsia="Arial" w:hAnsi="Arial"/>
          <w:sz w:val="18"/>
          <w:szCs w:val="18"/>
          <w:u w:val="single" w:color="auto"/>
          <w:color w:val="auto"/>
        </w:rPr>
        <w:t>Lender Supplied Information</w:t>
      </w:r>
      <w:r>
        <w:rPr>
          <w:rFonts w:ascii="Arial" w:cs="Arial" w:eastAsia="Arial" w:hAnsi="Arial"/>
          <w:sz w:val="18"/>
          <w:szCs w:val="18"/>
          <w:color w:val="auto"/>
        </w:rPr>
        <w:t>”), which shall be the responsibility of Lender, and (B) Lender assumes no responsibility with respect to any information included or incorporated by reference in the Proxy Statement other than the Lender Supplied Information. In connection with the foregoing, the Company shall as promptly as reasonably practicable after the later of (1) (x) the 10-day waiting period under Rule 14a-6(a) under the Exchange Act or (y) if earlier, the date on which the SEC confirms it will not review the Proxy Statement and (2) the date on which the SEC confirms that it has no further comments on the Proxy Statement (such later date, the “</w:t>
      </w:r>
      <w:r>
        <w:rPr>
          <w:rFonts w:ascii="Arial" w:cs="Arial" w:eastAsia="Arial" w:hAnsi="Arial"/>
          <w:sz w:val="18"/>
          <w:szCs w:val="18"/>
          <w:u w:val="single" w:color="auto"/>
          <w:color w:val="auto"/>
        </w:rPr>
        <w:t>Clearance Date</w:t>
      </w:r>
      <w:r>
        <w:rPr>
          <w:rFonts w:ascii="Arial" w:cs="Arial" w:eastAsia="Arial" w:hAnsi="Arial"/>
          <w:sz w:val="18"/>
          <w:szCs w:val="18"/>
          <w:color w:val="auto"/>
        </w:rPr>
        <w:t>”), cause the Proxy Statement to be filed with the SEC in definitive form and mailed to the Company Stockholders, and duly call and give notice of the Company Stockholders Meeting for the purpose of seeking the Company Stockholder Approval and the Amended and Restated Charter Approval.</w:t>
      </w:r>
    </w:p>
    <w:p>
      <w:pPr>
        <w:spacing w:after="0" w:line="81"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(b)  The Company shall, reasonably in advance of the Clearance Date, commence a broker search pursuant to Rule 14a-13 of the Exchange Act and establish (in consultation with Lender) a record date (the “</w:t>
      </w:r>
      <w:r>
        <w:rPr>
          <w:rFonts w:ascii="Arial" w:cs="Arial" w:eastAsia="Arial" w:hAnsi="Arial"/>
          <w:sz w:val="18"/>
          <w:szCs w:val="18"/>
          <w:u w:val="single" w:color="auto"/>
          <w:color w:val="auto"/>
        </w:rPr>
        <w:t>Record Date</w:t>
      </w:r>
      <w:r>
        <w:rPr>
          <w:rFonts w:ascii="Arial" w:cs="Arial" w:eastAsia="Arial" w:hAnsi="Arial"/>
          <w:sz w:val="18"/>
          <w:szCs w:val="18"/>
          <w:color w:val="auto"/>
        </w:rPr>
        <w:t>”) for stockholders entitled to receive notice of, and attend, a meeting of the Company Stockholders (the “</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xml:space="preserve">”) for the sole purpose of obtaining the Company Stockholder Approval and the Amended and Restated Charter Approval, and voting on a proposal to adjourn the Company Stockholders Meeting if necessary to solicit additional proxies to obtain the Company Stockholder Approval and the Amended and Restated Charter Approval. Once the Company has established the Record Date, the Company shall not change, unless otherwise required by applicable Law or the Company’s organizational documents (including in connection with the postponement, adjournment or rescheduling of the Company Stockholders Meeting to the extent permitted by </w:t>
      </w:r>
      <w:r>
        <w:rPr>
          <w:rFonts w:ascii="Arial" w:cs="Arial" w:eastAsia="Arial" w:hAnsi="Arial"/>
          <w:sz w:val="18"/>
          <w:szCs w:val="18"/>
          <w:u w:val="single" w:color="auto"/>
          <w:color w:val="auto"/>
        </w:rPr>
        <w:t>Section 6.01(c)</w:t>
      </w:r>
      <w:r>
        <w:rPr>
          <w:rFonts w:ascii="Arial" w:cs="Arial" w:eastAsia="Arial" w:hAnsi="Arial"/>
          <w:sz w:val="18"/>
          <w:szCs w:val="18"/>
          <w:color w:val="auto"/>
        </w:rPr>
        <w:t>), the Record Date or establish a different record date for the Company Stockholders Meeting without the prior written consent of Lender, which consent shall not be unreasonably withheld, conditioned or delayed (and if the date of the Company Stockholders Meeting as originally called is for any reason adjourned or otherwise delayed, the Company agrees that unless Lender has otherwise approved in writing (not to be unreasonably withheld, conditioned or delayed) (or as required by applicable Law or stock exchange requirement), the Company will, if reasonably possible, implement such adjournment or other delay in such a way that the Company does not need to establish a new record date for the Company Stockholders Meeting, as so adjourned or delayed). The Proxy Statement mailed to the holders of Company Common Stock shall include the Fairness Opinion in full.</w:t>
      </w:r>
    </w:p>
    <w:p>
      <w:pPr>
        <w:spacing w:after="0" w:line="87" w:lineRule="exact"/>
        <w:rPr>
          <w:sz w:val="20"/>
          <w:szCs w:val="20"/>
          <w:color w:val="auto"/>
        </w:rPr>
      </w:pPr>
    </w:p>
    <w:p>
      <w:pPr>
        <w:ind w:left="660" w:right="359"/>
        <w:spacing w:after="0" w:line="245" w:lineRule="auto"/>
        <w:rPr>
          <w:sz w:val="20"/>
          <w:szCs w:val="20"/>
          <w:color w:val="auto"/>
        </w:rPr>
      </w:pPr>
      <w:r>
        <w:rPr>
          <w:rFonts w:ascii="Arial" w:cs="Arial" w:eastAsia="Arial" w:hAnsi="Arial"/>
          <w:sz w:val="18"/>
          <w:szCs w:val="18"/>
          <w:color w:val="auto"/>
        </w:rPr>
        <w:t xml:space="preserve">(c)  Unless this Agreement shall have been terminated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the Company shall convene and hold the Company Stockholders Meeting for the purpose of seeking the Company</w:t>
      </w:r>
    </w:p>
    <w:p>
      <w:pPr>
        <w:spacing w:after="0" w:line="1" w:lineRule="exact"/>
        <w:rPr>
          <w:sz w:val="20"/>
          <w:szCs w:val="20"/>
          <w:color w:val="auto"/>
        </w:rPr>
      </w:pPr>
    </w:p>
    <w:p>
      <w:pPr>
        <w:ind w:left="660" w:right="339"/>
        <w:spacing w:after="0" w:line="226" w:lineRule="auto"/>
        <w:rPr>
          <w:sz w:val="20"/>
          <w:szCs w:val="20"/>
          <w:color w:val="auto"/>
        </w:rPr>
      </w:pPr>
      <w:r>
        <w:rPr>
          <w:rFonts w:ascii="Arial" w:cs="Arial" w:eastAsia="Arial" w:hAnsi="Arial"/>
          <w:sz w:val="18"/>
          <w:szCs w:val="18"/>
          <w:color w:val="auto"/>
        </w:rPr>
        <w:t>Stockholder Approval and the Amended and Restated Charter Approval no later than the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(or, if such calendar day is not a Business Day, on the first Business Day subsequent to such calendar day) after the Clearance Date. The date of the Company Stockholders Meeting shall be selected by the Company after reasonable consultation with Lender. Once the Company Stockholders Meeting has been scheduled by the Company, the Company shall not adjourn, postpone, reschedule, recess or otherwise delay the Company Stockholders Meeting without the prior written consent of Lender, which consent shall not be unreasonably withheld, conditioned or delayed, unless otherwise required by applicable Law or the Company’s organizational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and at the request of Lender it shall, adjourn, recess or postpone the Company Stockholders Meeting on no more than two occasions, for no more than 10 Business Days from the prior-scheduled date on each occasion or to a date on or after the</w:t>
      </w:r>
    </w:p>
    <w:p>
      <w:pPr>
        <w:spacing w:after="0" w:line="5" w:lineRule="exact"/>
        <w:rPr>
          <w:sz w:val="20"/>
          <w:szCs w:val="20"/>
          <w:color w:val="auto"/>
        </w:rPr>
      </w:pPr>
    </w:p>
    <w:p>
      <w:pPr>
        <w:ind w:left="660" w:right="399"/>
        <w:spacing w:after="0" w:line="223" w:lineRule="auto"/>
        <w:rPr>
          <w:sz w:val="20"/>
          <w:szCs w:val="20"/>
          <w:color w:val="auto"/>
        </w:rPr>
      </w:pPr>
      <w:r>
        <w:rPr>
          <w:rFonts w:ascii="Arial" w:cs="Arial" w:eastAsia="Arial" w:hAnsi="Arial"/>
          <w:sz w:val="18"/>
          <w:szCs w:val="18"/>
          <w:color w:val="auto"/>
        </w:rPr>
        <w:t>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preceding the Outside Date, if Lender or the Company, respectively, reasonably believes that there will be insufficient shares of Company Common Stock represented (either in person or by proxy) for purposes of a quorum or to obtain the Company Stockholder Approval and the Amended and Restated Charter Approval or after consultation with the Company’s outside counsel, such adjournment or postponement is required in order to disseminate material information to the Company Stockholders in connection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 xml:space="preserve">with their voting at the Company Stockholders Meeting. The Company shall also consider in good faith any other request by Lender to postpone the Company Stockholders Meeting. The Company agrees that, unless this Agreement is terminated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its obligations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(except in the case of </w:t>
      </w:r>
      <w:r>
        <w:rPr>
          <w:rFonts w:ascii="Arial" w:cs="Arial" w:eastAsia="Arial" w:hAnsi="Arial"/>
          <w:sz w:val="18"/>
          <w:szCs w:val="18"/>
          <w:u w:val="single" w:color="auto"/>
          <w:color w:val="auto"/>
        </w:rPr>
        <w:t>Section 6.01(d)</w:t>
      </w:r>
      <w:r>
        <w:rPr>
          <w:rFonts w:ascii="Arial" w:cs="Arial" w:eastAsia="Arial" w:hAnsi="Arial"/>
          <w:sz w:val="18"/>
          <w:szCs w:val="18"/>
          <w:color w:val="auto"/>
        </w:rPr>
        <w:t xml:space="preserve">, to the extent specifically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6.01(d)</w:t>
      </w:r>
      <w:r>
        <w:rPr>
          <w:rFonts w:ascii="Arial" w:cs="Arial" w:eastAsia="Arial" w:hAnsi="Arial"/>
          <w:sz w:val="18"/>
          <w:szCs w:val="18"/>
          <w:color w:val="auto"/>
        </w:rPr>
        <w:t>) shall not be affected by the commencement, public proposal, public disclosure or communication to the Company or any other person of any Takeover Proposal or the making of any Adverse Recommendation Change. The Company shall advise Lender upon request prior to the date of the Company Stockholders Meeting (and any reconvening thereof) as to the aggregate tally of proxies received by the Company with respect to the Company Stockholder Approval and the Amended and Restated Charter Approval and whether such proxies have been voted affirmatively or negatively with respect to each of the proposals to be presented at the Company Stockholders Meeting.</w:t>
      </w:r>
    </w:p>
    <w:p>
      <w:pPr>
        <w:spacing w:after="0" w:line="75" w:lineRule="exact"/>
        <w:rPr>
          <w:sz w:val="20"/>
          <w:szCs w:val="20"/>
          <w:color w:val="auto"/>
        </w:rPr>
      </w:pPr>
    </w:p>
    <w:p>
      <w:pPr>
        <w:ind w:left="660" w:right="399"/>
        <w:spacing w:after="0" w:line="238" w:lineRule="auto"/>
        <w:rPr>
          <w:sz w:val="20"/>
          <w:szCs w:val="20"/>
          <w:color w:val="auto"/>
        </w:rPr>
      </w:pPr>
      <w:r>
        <w:rPr>
          <w:rFonts w:ascii="Arial" w:cs="Arial" w:eastAsia="Arial" w:hAnsi="Arial"/>
          <w:sz w:val="18"/>
          <w:szCs w:val="18"/>
          <w:color w:val="auto"/>
        </w:rPr>
        <w:t xml:space="preserve">(d)  Unless the Company has made an Adverse Recommendation Change in compliance with </w:t>
      </w:r>
      <w:r>
        <w:rPr>
          <w:rFonts w:ascii="Arial" w:cs="Arial" w:eastAsia="Arial" w:hAnsi="Arial"/>
          <w:sz w:val="18"/>
          <w:szCs w:val="18"/>
          <w:u w:val="single" w:color="auto"/>
          <w:color w:val="auto"/>
        </w:rPr>
        <w:t>Section 5.02(d)</w:t>
      </w:r>
      <w:r>
        <w:rPr>
          <w:rFonts w:ascii="Arial" w:cs="Arial" w:eastAsia="Arial" w:hAnsi="Arial"/>
          <w:sz w:val="18"/>
          <w:szCs w:val="18"/>
          <w:color w:val="auto"/>
        </w:rPr>
        <w:t>: (i) the Company shall, through the Company Board, make the Company Board Recommendation to the Company Stockholders, and shall include the Finance Committee Recommendation and Company Board Recommendation in the Proxy Statement; (ii) the Company shall, and shall cause its proxy solicitor to, use its reasonable best efforts to solicit proxies in favor of the Company Stockholder Approval and the Amended and Restated Charter Approval; (iii) Lender shall vote (or cause to be voted) all shares of Company Common Stock held by it or its controlled Affiliates in favor of the issuance of the Exchange Stock and the Amended and Restated Charter; and (iv) unless a Proxy Stockholder Proxy Revocation has occurred, the Company shall cause the officers of the Company to whom the Proxy is granted to vote (or cause to be voted) the shares of Company Common Stock subject to the Proxy at the Company Stockholders Meeting in favor of the issuance of the Exchange Stock and the Amended and Restated Charter.</w:t>
      </w:r>
    </w:p>
    <w:p>
      <w:pPr>
        <w:spacing w:after="0" w:line="75"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(e)  If prior to the Company Stockholders Meeting (or any adjournment or postponement thereof), any event occurs with respect to the Company, any of its Subsidiaries or Lender, or any change occurs with respect to other information supplied by Lender or the Company for inclusion in the Proxy Statement, which is required to be described in an amendment of, or a supplement to, the Proxy Statement, the Party that discovers such information shall promptly notify the other Party of such event, and Lender and the Company shall cooperate in the filing with the SEC, as promptly as reasonably practicable, of any necessary amendment or supplement to the Proxy Statement and, as required by Law, in disseminating the information contained in such amendment or supplement to the Company’s stockholders.</w:t>
      </w:r>
    </w:p>
    <w:p>
      <w:pPr>
        <w:spacing w:after="0" w:line="75" w:lineRule="exact"/>
        <w:rPr>
          <w:sz w:val="20"/>
          <w:szCs w:val="20"/>
          <w:color w:val="auto"/>
        </w:rPr>
      </w:pPr>
    </w:p>
    <w:p>
      <w:pPr>
        <w:ind w:left="300" w:right="319"/>
        <w:spacing w:after="0" w:line="245"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Rights Offering</w:t>
      </w:r>
      <w:r>
        <w:rPr>
          <w:rFonts w:ascii="Arial" w:cs="Arial" w:eastAsia="Arial" w:hAnsi="Arial"/>
          <w:sz w:val="17"/>
          <w:szCs w:val="17"/>
          <w:color w:val="auto"/>
        </w:rPr>
        <w:t>. The Company shall, as soon as practicable after the Effective Date (and in any event no later than the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immediately after the Effective Date), prepare and file with the SEC a registration statement (the “</w:t>
      </w:r>
      <w:r>
        <w:rPr>
          <w:rFonts w:ascii="Arial" w:cs="Arial" w:eastAsia="Arial" w:hAnsi="Arial"/>
          <w:sz w:val="17"/>
          <w:szCs w:val="17"/>
          <w:u w:val="single" w:color="auto"/>
          <w:color w:val="auto"/>
        </w:rPr>
        <w:t>Rights Offering Registration Statement</w:t>
      </w:r>
      <w:r>
        <w:rPr>
          <w:rFonts w:ascii="Arial" w:cs="Arial" w:eastAsia="Arial" w:hAnsi="Arial"/>
          <w:sz w:val="17"/>
          <w:szCs w:val="17"/>
          <w:color w:val="auto"/>
        </w:rPr>
        <w:t>”) in connection with a $12,500,000 rights offering by the Company, pursuant to which each existing holder of the Class A Common Stock and Class B Common Stock will receive a transferable right to purchase additional shares of Class A Common Stock on a pro rata basis relative to its ownership interests in the Company as of the record date established in the Rights Offering Registration Statement at a price per share equal to $4.08, which represents a 20% discount to the Average VWAP over the thirty (30)-day trading period ending as of the close of business on the trading day immediately preceding the Effective Date (the “</w:t>
      </w:r>
      <w:r>
        <w:rPr>
          <w:rFonts w:ascii="Arial" w:cs="Arial" w:eastAsia="Arial" w:hAnsi="Arial"/>
          <w:sz w:val="17"/>
          <w:szCs w:val="17"/>
          <w:u w:val="single" w:color="auto"/>
          <w:color w:val="auto"/>
        </w:rPr>
        <w:t>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Offering</w:t>
      </w:r>
      <w:r>
        <w:rPr>
          <w:rFonts w:ascii="Arial" w:cs="Arial" w:eastAsia="Arial" w:hAnsi="Arial"/>
          <w:sz w:val="17"/>
          <w:szCs w:val="17"/>
          <w:color w:val="auto"/>
        </w:rPr>
        <w:t>”). The Company shall use its reasonable best efforts to respond as promptly as practicable to any comments of the SEC with respect to the Rights Offering Registration Statement and for the Rights Offering Registration Statement to be declared effective by the SEC and its staff under the Securities Act as promptly as practicable after such filing. The Rights Offering Registration Statement shall comply as to form and in all material respects with the applicable provisions of the Securities Act. The Company shall notify Lender promptly (but in any event within 24 hours) of the receipt of any comments from the SEC or its staff and of any request by the SEC or its staff for amendments or supplements to the Rights Offering Registration Statement or for additional information, and shall supply Lender with copies of all written correspondence and a summary of all material oral correspondence between the Company or any of its Representatives, on the one hand, and the SEC or its staff, on the other hand, with respect to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Rights Offering Registration Statement. Notwithstanding anything to the contrary herein, prior to filing the Rights Offering Registration Statement or mailing the prospectus to such Rights Offering Registration Statement (or, in each case, any amendment or supplement thereto) or responding to any questions or comments of the SEC or its staff with respect thereto, the Company shall (i) provide Lender and its counsel a reasonable opportunity to review and comment on such document or response and (ii) consider reasonably and in good faith for inclusion in such document or response all comments reasonably proposed by Lender. Notwithstanding anything to the contrary herein, (A) the Company assumes no responsibility with respect to the Lender Supplied Information expressly provided for inclusion or incorporation by reference in the Rights Offering Registration Statement, which shall be the responsibility of Lender, and (B) Lender assumes no responsibility with respect to any information included or incorporated by reference in the Rights Offering Registration Statement other than the Lender Supplied Information. In connection with the foregoing, the Company shall as promptly as reasonably practicable after the Rights Offering Registration Statement is declared effective by the SEC and its staff under the Securities Act, cause the final prospectus to the Rights Offering Registration Statement to be filed with the SEC and delivered to the Company Stockholders.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Subject to the terms and conditions set forth in this Agreement, Lender and the Company shall cooperate with each other and use (and shall cause their respective Subsidiaries to use) their respective reasonable best efforts to take or cause to be taken all actions, and do or cause to be done all things, reasonably necessary, proper or advisable on their respective parts under this Agreement and applicable Laws to consummate and make effective the Exchange Transactions and the other Transactions as soon as practicable, including, subject to the other provisions of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preparing and filing as promptly as reasonably practicable all documentation to effect all necessary notices, reports and other filings and to obtain as promptly as reasonably practicable all consents, registrations, approvals, permits and authorizations necessary or advisable to be obtained from any third party or any Governmental Authority in order to consummate the Exchange Transactions or any of the other Transactions, including the Third-Party Consents. Subject to applicable Laws (including relating to the exchange of information), Lender and the Company shall jointly direct all matters with any Governmental Authority consistent with their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applicable Law, Lender and the Company shall have the right to review in advance and, to the extent practicable, each will consult with the other on and consider in good faith the views of the other in connection with any filing made with, or written materials submitted to, any third party or any Governmental Authority in connection with the Exchange Transactions and the other Transactions. In exercising the foregoing rights, each of Lender and the Company shall act reasonably and as promptly as practicable. Notwithstanding anything to the contrary herein, Lender agrees that between the Effective Date and the earlier of the Effective Time or the date, if any, on which this Agreement is validly terminated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Lender shall not assign, sell, transfer or dispose any portion of its Loans (as defined in the Existing Credit Agreement) under the Existing Credit Agreement. Lender hereby agrees to execute and deliver the New Credit Agreement on the Closing Date as required under </w:t>
      </w:r>
      <w:r>
        <w:rPr>
          <w:rFonts w:ascii="Arial" w:cs="Arial" w:eastAsia="Arial" w:hAnsi="Arial"/>
          <w:sz w:val="18"/>
          <w:szCs w:val="18"/>
          <w:u w:val="single" w:color="auto"/>
          <w:color w:val="auto"/>
        </w:rPr>
        <w:t>Section 7.01(e)</w:t>
      </w:r>
      <w:r>
        <w:rPr>
          <w:rFonts w:ascii="Arial" w:cs="Arial" w:eastAsia="Arial" w:hAnsi="Arial"/>
          <w:sz w:val="18"/>
          <w:szCs w:val="18"/>
          <w:color w:val="auto"/>
        </w:rPr>
        <w:t>, and to provide the Restatement Date Term Loan Commitments (as defined in the New Credit Agreement) on the Closing Date in accordance with the terms set forth in the New Credit Agreement.</w:t>
      </w:r>
    </w:p>
    <w:p>
      <w:pPr>
        <w:spacing w:after="0" w:line="81"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Status</w:t>
      </w:r>
      <w:r>
        <w:rPr>
          <w:rFonts w:ascii="Arial" w:cs="Arial" w:eastAsia="Arial" w:hAnsi="Arial"/>
          <w:sz w:val="18"/>
          <w:szCs w:val="18"/>
          <w:color w:val="auto"/>
        </w:rPr>
        <w:t>. Subject to applicable Laws and as required by any Governmental Authority, Lender and the Company each shall keep the other apprised of the status of matters relating to completion of the Transactions, including promptly notifying the other Party of any substantive or material communication with any other Governmental Authority and promptly furnishing the other with copies of notices or other communications received by Lender or the Company, as the case may be, or any of their respective Affiliates, from any third party or any Governmental Authority with respect to the Exchange Transactions and the other Transactions.</w:t>
      </w:r>
    </w:p>
    <w:p>
      <w:pPr>
        <w:spacing w:after="0" w:line="77"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Employee Matters</w:t>
      </w:r>
      <w:r>
        <w:rPr>
          <w:rFonts w:ascii="Arial" w:cs="Arial" w:eastAsia="Arial" w:hAnsi="Arial"/>
          <w:sz w:val="18"/>
          <w:szCs w:val="18"/>
          <w:color w:val="auto"/>
        </w:rPr>
        <w:t>. The Company shall take all such actions as may be required to amend, or amend and restate, the 2021 Plan effective as of the Closing Date to increase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maximum number of shares of Class A Common Stock that are authorized for issuance under the 2021 Plan to the extent required in order to issue Awards (as defined in the 2021 Plan) (such amended or amended and restated 2021 Plan, the “</w:t>
      </w:r>
      <w:r>
        <w:rPr>
          <w:rFonts w:ascii="Arial" w:cs="Arial" w:eastAsia="Arial" w:hAnsi="Arial"/>
          <w:sz w:val="18"/>
          <w:szCs w:val="18"/>
          <w:u w:val="single" w:color="auto"/>
          <w:color w:val="auto"/>
        </w:rPr>
        <w:t>MIP</w:t>
      </w:r>
      <w:r>
        <w:rPr>
          <w:rFonts w:ascii="Arial" w:cs="Arial" w:eastAsia="Arial" w:hAnsi="Arial"/>
          <w:sz w:val="18"/>
          <w:szCs w:val="18"/>
          <w:color w:val="auto"/>
        </w:rPr>
        <w:t>”) pursuant to the terms and conditions of the MIP Term Sheet, subject to the approval of the Company Board the affirmative vote of the holders of a majority of votes cast (excluding abstentions and broker non-votes) at a meeting of the Company’s stockholders at which a quorum is present (such stockholders approval, the “</w:t>
      </w:r>
      <w:r>
        <w:rPr>
          <w:rFonts w:ascii="Arial" w:cs="Arial" w:eastAsia="Arial" w:hAnsi="Arial"/>
          <w:sz w:val="18"/>
          <w:szCs w:val="18"/>
          <w:u w:val="single" w:color="auto"/>
          <w:color w:val="auto"/>
        </w:rPr>
        <w:t>Stockholder MIP Approval</w:t>
      </w:r>
      <w:r>
        <w:rPr>
          <w:rFonts w:ascii="Arial" w:cs="Arial" w:eastAsia="Arial" w:hAnsi="Arial"/>
          <w:sz w:val="18"/>
          <w:szCs w:val="18"/>
          <w:color w:val="auto"/>
        </w:rPr>
        <w:t>”).</w:t>
      </w:r>
    </w:p>
    <w:p>
      <w:pPr>
        <w:spacing w:after="0" w:line="71"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Takeover Laws</w:t>
      </w:r>
      <w:r>
        <w:rPr>
          <w:rFonts w:ascii="Arial" w:cs="Arial" w:eastAsia="Arial" w:hAnsi="Arial"/>
          <w:sz w:val="18"/>
          <w:szCs w:val="18"/>
          <w:color w:val="auto"/>
        </w:rPr>
        <w:t>. The Company and the Company Board shall (i) take all action within its power and authority necessary to ensure that no Takeover Law or similar provision of the Company Governing Documents is or becomes applicable to the Transactions, this Agreement or any other Transaction Document, and (ii) if any Takeover Law becomes applicable to the Transactions, this Agreement or any other Transaction Document, take all action within its power and authority necessary to ensure that the Exchange Transactions and the other Transactions may be consummated as promptly as practicable on the terms contemplated by the Transaction Documents. No Adverse Recommendation Change shall change, or be deemed to change or permit the Company or the Company Board to change, in any manner or respect the approval of the Company Board for purposes of causing any Takeover Law to be inapplicable to this Agreement, any other Transaction Document or any of the Transactions (including, for the avoidance of doubt, the Exchange Transactions).</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(a)  For six (6) years after the Effective Time, the Company shall indemnify and hold harmless any individual (i) who is or prior to the Effective Time becomes, or has been at any time prior to the Effective Date, a present or former director or officer (including any such individual serving as a fiduciary with respect to an employee benefit plan) of the Company or (ii) in his or her capacity as a present or former director or officer of one or more of the Company’s Subsidiaries as of the Effective Date (each such individual in (i) and (ii)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against any costs and expenses (including advancing reasonable costs prior to the final disposition of any actual or threatened Action, whether civil, criminal or administrative (each, a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to each Indemnified Person to the fullest extent permitted by applicable Law and the Company Governing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Indemnified Person agrees in advance to return any such funds to which a court of competent jurisdiction determines in a final, nonappealable judgment that such Indemnified Person is not ultimately entitled), judgments, fines, penalties, losses, claims, damages, liabilities and amounts paid in settlement in connection with or relating to any Claim in respect of acts, omissions, facts or events occurring or alleged to have occurred at or prior to the Effective Time (including acts, omissions, facts or events occurring in connection with the approval of this Agreement and the consummation of the Exchange Transactions or any of the other Transactions), whether asserted or claimed prior to, at or after the Effective Time, in connection with or relating to such Indemnified Person serving or having served as an officer, director, employee or other fiduciary of the Company or any of its Subsidiaries or of any other Person if such service was at the request or for the benefit of the Company or any of its Subsidiaries, to the fullest extent permitted by applicable Law and the Company Governing Documents or the organizational documents of the applicable Subsidiary of the Company or any indemnification agreements with such Indemnified Person in existence at or prior to the execution of this Agreement (it being agreed that after the Closing such rights shall be mandatory rather than permissive, if applicable). The Parties agree that all rights to elimination of liability, indemnification and advancement of expenses for acts, omissions, facts or events occurring or alleged to have occurred at or prior to the Effective Time, whether asserted or claimed prior to, at or after the Effective Time, now existing in favor of the Indemnified Persons as provided in their respective certificate of incorporation or bylaws (or comparable organizational documents) or in any indemnification agreement in existence at or prior to the execution of this Agreement shall survive the Exchange Transactions and shall continue in full force and effect in accordance with the terms thereof.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(b)  For six (6) years after the Effective Time, the Company shall cause to be maintained in effect the provisions in (i) the Company Governing Documents and the organizational documents of the Company’s Subsidiaries, and (ii) any indemnification agreement of the Company or any of its Subsidiaries with any Indemnified Person in existence at or prior to the execution of this Agreement, in each case, regarding elimination of liability, indemnification of officers, directors and employees and advancement of expenses that are in existence prior to the execution of this Agreement, and no such provision shall be amended, modified or repealed in any manner that would adversely affect the rights or protections thereunder of any such Indemnified Person in respect of acts, omissions, facts or events occurring or alleged to have occurred at or prior to the Effective Time (including acts or omissions occurring in connection with the approval of this Agreement and the consummation of the Exchange Transactions or any of the other Transactions). Notwithstanding the foregoing, the Company shall not be liable for any settlement effected without its prior written consent (which consent shall not be unreasonably withheld, delayed or conditioned).</w:t>
      </w:r>
    </w:p>
    <w:p>
      <w:pPr>
        <w:spacing w:after="0" w:line="72"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(c)  At or prior to the Effective Time, the Company shall purchase six (6) year prepaid “tail” insurance on terms and conditions providing coverage retentions, limits and other material terms substantially equivalent to the current policies of directors’ and officers’ liability insurance, employment practices liability insurance and fiduciary liability insurance maintained by the Company and the Company’s Subsidiaries with respect to matters arising at or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commit or spend on such “tail” insurance, in the aggregate, more than three hundred percent (300%) of the last aggregate annual premium incurred by the Company prior to the execution of this Agreement for the Company’s policies of directors’ and officers’ liability insurance, employment practices liability insurance and fiduciary liability insurance (the “</w:t>
      </w:r>
      <w:r>
        <w:rPr>
          <w:rFonts w:ascii="Arial" w:cs="Arial" w:eastAsia="Arial" w:hAnsi="Arial"/>
          <w:sz w:val="18"/>
          <w:szCs w:val="18"/>
          <w:u w:val="single" w:color="auto"/>
          <w:color w:val="auto"/>
        </w:rPr>
        <w:t>Base Amount</w:t>
      </w:r>
      <w:r>
        <w:rPr>
          <w:rFonts w:ascii="Arial" w:cs="Arial" w:eastAsia="Arial" w:hAnsi="Arial"/>
          <w:sz w:val="18"/>
          <w:szCs w:val="18"/>
          <w:color w:val="auto"/>
        </w:rPr>
        <w:t>”), and if such “tail” insurance is not reasonably available for a cost not exceeding the Base Amount, the Company shall be permitted to purchase as much “tail” insurance coverage as reasonably practicable for the Base Amount. The Company shall in good faith cooperate with Lender prior to the Closing with respect to the procurement of such “tail” insurance. The Company shall maintain such “tail” insurance in full force and effect for a period of six (6) years after the Effective Time.</w:t>
      </w:r>
    </w:p>
    <w:p>
      <w:pPr>
        <w:spacing w:after="0" w:line="81" w:lineRule="exact"/>
        <w:rPr>
          <w:sz w:val="20"/>
          <w:szCs w:val="20"/>
          <w:color w:val="auto"/>
        </w:rPr>
      </w:pPr>
    </w:p>
    <w:p>
      <w:pPr>
        <w:ind w:left="660" w:right="719"/>
        <w:spacing w:after="0" w:line="261" w:lineRule="auto"/>
        <w:rPr>
          <w:sz w:val="20"/>
          <w:szCs w:val="20"/>
          <w:color w:val="auto"/>
        </w:rPr>
      </w:pPr>
      <w:r>
        <w:rPr>
          <w:rFonts w:ascii="Arial" w:cs="Arial" w:eastAsia="Arial" w:hAnsi="Arial"/>
          <w:sz w:val="17"/>
          <w:szCs w:val="17"/>
          <w:color w:val="auto"/>
        </w:rPr>
        <w:t xml:space="preserve">(d)  If the Company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applicable successor, assign or transferee shall assume the obligations set forth in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(including this </w:t>
      </w:r>
      <w:r>
        <w:rPr>
          <w:rFonts w:ascii="Arial" w:cs="Arial" w:eastAsia="Arial" w:hAnsi="Arial"/>
          <w:sz w:val="17"/>
          <w:szCs w:val="17"/>
          <w:u w:val="single" w:color="auto"/>
          <w:color w:val="auto"/>
        </w:rPr>
        <w:t>Section 6.06(d)</w:t>
      </w:r>
      <w:r>
        <w:rPr>
          <w:rFonts w:ascii="Arial" w:cs="Arial" w:eastAsia="Arial" w:hAnsi="Arial"/>
          <w:sz w:val="17"/>
          <w:szCs w:val="17"/>
          <w:color w:val="auto"/>
        </w:rPr>
        <w:t>).</w:t>
      </w:r>
    </w:p>
    <w:p>
      <w:pPr>
        <w:spacing w:after="0" w:line="5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 xml:space="preserve">(e)  The rights of each Indemnified Person under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be in addition to any rights such Person may have under the Company Governing Documents and the organizational documents of the Company’s Subsidiaries, under the DGCL or any other applicable Law, under any agreement of any Indemnified Person with the Company or any of the Company’s Subsidiaries or otherwise. These rights shall survive the consummation of the Exchange Transactions in accordance with their terms. After the Effective Time, the covenants contained in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are intended to benefit, and shall be enforceable by, each Indemnified Person. After the Effective Time, the obligations of the Company under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not be terminated or modified in such a manner as to adversely affect the rights of any Indemnified Person without the consent of such Indemnified Person. Each Indemnified Person shall be an express intended third party beneficiary of this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7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The initial press release with respect to the Exchange Transactions and the other Transactions shall be a joint press release mutually agreed by the Parties (the “</w:t>
      </w:r>
      <w:r>
        <w:rPr>
          <w:rFonts w:ascii="Arial" w:cs="Arial" w:eastAsia="Arial" w:hAnsi="Arial"/>
          <w:sz w:val="18"/>
          <w:szCs w:val="18"/>
          <w:u w:val="single" w:color="auto"/>
          <w:color w:val="auto"/>
        </w:rPr>
        <w:t>Initial Press Release</w:t>
      </w:r>
      <w:r>
        <w:rPr>
          <w:rFonts w:ascii="Arial" w:cs="Arial" w:eastAsia="Arial" w:hAnsi="Arial"/>
          <w:sz w:val="18"/>
          <w:szCs w:val="18"/>
          <w:color w:val="auto"/>
        </w:rPr>
        <w:t>”). Thereafter, the Parties shall consult with each other before issuing, and provide each other the opportunity to review and comment upon, any press release or other public statements with respect to the Exchange Transactions and the other Transactions and shall not issue any such press release or make any such public statement prior to such consultation and approval by the other Party, except (i) as may be required by applicable Law, court process or by obligations pursuant to any listing agreement with any national securities exchange (in which case,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 xml:space="preserve">the disclosing Party shall use its reasonable best efforts to consult with the other Party prior to such disclosure), (ii) as such press release or public statement contains an Adverse Recommendation Change or occurs following the occurrence of an Adverse Recommendation Change, (iii) in respect of any press release, public statement or filing in connection with any legal proceeding between the Parties related to this Agreement or any of the Transactions, or (iv) any press releases, public disclosures or public statements that are substantially the same as the Initial Press Release or other previous press releases, public disclosures or public statements made by Lender or the Company in compliance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6.07</w:t>
      </w:r>
      <w:r>
        <w:rPr>
          <w:rFonts w:ascii="Arial" w:cs="Arial" w:eastAsia="Arial" w:hAnsi="Arial"/>
          <w:sz w:val="18"/>
          <w:szCs w:val="18"/>
          <w:color w:val="auto"/>
        </w:rPr>
        <w:t>. Notwithstanding anything to the contrary herein, Lender and its Affiliates may provide communications regarding this Agreement and the Transactions to their respective existing and prospective investors, equityholders, general or limited partners, clients, members or managers, in each case, who are subject to customary confidentiality restrictions.</w:t>
      </w:r>
    </w:p>
    <w:p>
      <w:pPr>
        <w:spacing w:after="0" w:line="7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The Company shall give prompt notice to Lender, and Lender shall give prompt notice (which notice, notwithstanding anything to the contrary herein, may be by email to the outside counsel of each Party) to the Company, in each case, within two (2) Business Days, of any “demand letter” or Actions commenced, or, to the knowledge of such Party, threatened in writing against such Party or any of its directors, officers, stockholders, Affiliates or Representatives in connection with, arising from or relating to this Agreement or the Transactions (including any class action or derivative litigation)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xml:space="preserve">”) (including by providing copies of all pleadings with respect thereto) and thereafter keep the other Party promptly and reasonably informed with respect to the status thereof. Lender shall have the right to participate in, but not control, the defense, settlement or prosecution of any Transaction Litigation and the Company shall consult with Lender with respect to the defense, settlement, prosecution, waiver or compromise of any Transaction Litigation. For purposes of this </w:t>
      </w:r>
      <w:r>
        <w:rPr>
          <w:rFonts w:ascii="Arial" w:cs="Arial" w:eastAsia="Arial" w:hAnsi="Arial"/>
          <w:sz w:val="18"/>
          <w:szCs w:val="18"/>
          <w:u w:val="single" w:color="auto"/>
          <w:color w:val="auto"/>
        </w:rPr>
        <w:t>Section 6.08</w:t>
      </w:r>
      <w:r>
        <w:rPr>
          <w:rFonts w:ascii="Arial" w:cs="Arial" w:eastAsia="Arial" w:hAnsi="Arial"/>
          <w:sz w:val="18"/>
          <w:szCs w:val="18"/>
          <w:color w:val="auto"/>
        </w:rPr>
        <w:t>, “participate” means that (i) the Company shall provide Lender (and its outside counsel) an opportunity to review and to propose comments to all filings or responses to be made by the Company in connection with any Transaction Litigation commenced or threatened, (ii) the Company will keep Lender reasonably apprised of proposed strategy and other significant decisions with respect to the Transaction Litigation and (iii) the Company shall consider in good faith any comments or suggestions of Lender with respect to such Transaction Litigation. The Company shall not settle or compromise any Transaction Litigation without the prior written consent of Lender (not to be unreasonably withheld, conditioned or delayed).</w:t>
      </w:r>
    </w:p>
    <w:p>
      <w:pPr>
        <w:spacing w:after="0" w:line="74" w:lineRule="exact"/>
        <w:rPr>
          <w:sz w:val="20"/>
          <w:szCs w:val="20"/>
          <w:color w:val="auto"/>
        </w:rPr>
      </w:pPr>
    </w:p>
    <w:p>
      <w:pPr>
        <w:ind w:left="300" w:right="559"/>
        <w:spacing w:after="0" w:line="241"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Percentage Ownership</w:t>
      </w:r>
      <w:r>
        <w:rPr>
          <w:rFonts w:ascii="Arial" w:cs="Arial" w:eastAsia="Arial" w:hAnsi="Arial"/>
          <w:sz w:val="18"/>
          <w:szCs w:val="18"/>
          <w:color w:val="auto"/>
        </w:rPr>
        <w:t xml:space="preserve">. The Parties intend that the Exchange Stock will collectively represent 86% of the shares of Company Common Stock on a Fully Diluted Basis (after giving effect to the Conversions and for the avoidance of doubt, the issuance of awards in accordance with </w:t>
      </w:r>
      <w:r>
        <w:rPr>
          <w:rFonts w:ascii="Arial" w:cs="Arial" w:eastAsia="Arial" w:hAnsi="Arial"/>
          <w:sz w:val="18"/>
          <w:szCs w:val="18"/>
          <w:u w:val="single" w:color="auto"/>
          <w:color w:val="auto"/>
        </w:rPr>
        <w:t>Section</w:t>
      </w:r>
    </w:p>
    <w:p>
      <w:pPr>
        <w:spacing w:after="0" w:line="2"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u w:val="single" w:color="auto"/>
          <w:color w:val="auto"/>
        </w:rPr>
        <w:t>5.01(a)(y)(iv)(B)</w:t>
      </w:r>
      <w:r>
        <w:rPr>
          <w:rFonts w:ascii="Arial" w:cs="Arial" w:eastAsia="Arial" w:hAnsi="Arial"/>
          <w:sz w:val="18"/>
          <w:szCs w:val="18"/>
          <w:color w:val="auto"/>
        </w:rPr>
        <w:t xml:space="preserve">, if any, but before giving effect to the Rights Offering and the MIP) as of the Closing Date. Within seven (7) Business Days following the Closing, the Company shall deliver to Lender a written statement setting forth the total number of outstanding shares of Company Common Stock on a Fully Diluted Basis as of the Closing Date together with a written certification executed by an executive officer of the Company certifying that the Exchange Stock issued on the Closing Date represented 86% of the shares of Company Common Stock on a Fully Diluted Basis (after giving effect to the Conversions and, for the avoidance of doubt, the issuance of awards in accordance with </w:t>
      </w:r>
      <w:r>
        <w:rPr>
          <w:rFonts w:ascii="Arial" w:cs="Arial" w:eastAsia="Arial" w:hAnsi="Arial"/>
          <w:sz w:val="18"/>
          <w:szCs w:val="18"/>
          <w:u w:val="single" w:color="auto"/>
          <w:color w:val="auto"/>
        </w:rPr>
        <w:t>Section 5.01(a)(y)(iv)(B)</w:t>
      </w:r>
      <w:r>
        <w:rPr>
          <w:rFonts w:ascii="Arial" w:cs="Arial" w:eastAsia="Arial" w:hAnsi="Arial"/>
          <w:sz w:val="18"/>
          <w:szCs w:val="18"/>
          <w:color w:val="auto"/>
        </w:rPr>
        <w:t xml:space="preserve">, if any, but before giving effect to the Rights Offering and the MIP) as of the Closing Date, and shall provide reasonably detailed back up for such calculation and any other information reasonably requested by Lender and its Representatives in connection therewith. If it is determined that as of the Closing Date the Exchange Stock represented less than 86% of the shares of Company Common Stock on a Fully Diluted Basis (after giving effect to the Conversions and, for the avoidance of doubt, the issuance of awards in accordance with </w:t>
      </w:r>
      <w:r>
        <w:rPr>
          <w:rFonts w:ascii="Arial" w:cs="Arial" w:eastAsia="Arial" w:hAnsi="Arial"/>
          <w:sz w:val="18"/>
          <w:szCs w:val="18"/>
          <w:u w:val="single" w:color="auto"/>
          <w:color w:val="auto"/>
        </w:rPr>
        <w:t>Section 5.01(a)(y)(iv)(B)</w:t>
      </w:r>
      <w:r>
        <w:rPr>
          <w:rFonts w:ascii="Arial" w:cs="Arial" w:eastAsia="Arial" w:hAnsi="Arial"/>
          <w:sz w:val="18"/>
          <w:szCs w:val="18"/>
          <w:color w:val="auto"/>
        </w:rPr>
        <w:t>, if any, but before giving effect to the Rights Offering and the MIP) as of the Closing Date, then the Company shall be obligated to issue additional whole shares of Class A Common Stock (no fractional shares will be issued) to Lender, such that the aggregate number of whole shares of Company Common Stock then held by Lender (or its Designated Affiliates) as Exchange Stock plus such additional shares would, in the aggregate, represent 86% of the then outstanding shares of Company Common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 xml:space="preserve">Stock on a Fully Diluted Basis (after giving effect to the issuance of the Exchange Stock and the Conversions and, for the avoidance of doubt, the issuance of awards in accordance with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(y)(iv)(B)</w:t>
      </w:r>
      <w:r>
        <w:rPr>
          <w:rFonts w:ascii="Arial" w:cs="Arial" w:eastAsia="Arial" w:hAnsi="Arial"/>
          <w:sz w:val="17"/>
          <w:szCs w:val="17"/>
          <w:color w:val="auto"/>
        </w:rPr>
        <w:t>, if any, but before giving effect to the Rights Offering and the MIP) as of the Closing Date.</w:t>
      </w:r>
    </w:p>
    <w:p>
      <w:pPr>
        <w:spacing w:after="0" w:line="44"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Prior to and after the Closing Date, upon the reasonable request of either Party, each Party will do, execute, acknowledge and deliver all such further acts, assurances, deeds, assignments, transfers, conveyances and other instruments and papers as may be reasonably required or appropriate to carry out or consummate the Transactions. The Company shall promptly (and in any event within 24 hours) deliver to Lender copies of all notices sent or received by the Company under any Conversion Notice.</w:t>
      </w:r>
    </w:p>
    <w:p>
      <w:pPr>
        <w:spacing w:after="0" w:line="71" w:lineRule="exact"/>
        <w:rPr>
          <w:sz w:val="20"/>
          <w:szCs w:val="20"/>
          <w:color w:val="auto"/>
        </w:rPr>
      </w:pPr>
    </w:p>
    <w:p>
      <w:pPr>
        <w:jc w:val="both"/>
        <w:ind w:left="300" w:right="799"/>
        <w:spacing w:after="0" w:line="24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Amended and Restated Charter</w:t>
      </w:r>
      <w:r>
        <w:rPr>
          <w:rFonts w:ascii="Arial" w:cs="Arial" w:eastAsia="Arial" w:hAnsi="Arial"/>
          <w:sz w:val="18"/>
          <w:szCs w:val="18"/>
          <w:color w:val="auto"/>
        </w:rPr>
        <w:t>. If the Amended and Restated Charter Approval is received at the Company Stockholders Meeting, the Company shall file the Amended and Restated Charter with the Secretary of State of the State of Delaware immediately prior to the Closing on the Closing Date.</w:t>
      </w:r>
    </w:p>
    <w:p>
      <w:pPr>
        <w:spacing w:after="0" w:line="18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ARTICLE VII</w:t>
      </w:r>
    </w:p>
    <w:p>
      <w:pPr>
        <w:spacing w:after="0" w:line="14" w:lineRule="exact"/>
        <w:rPr>
          <w:sz w:val="20"/>
          <w:szCs w:val="20"/>
          <w:color w:val="auto"/>
        </w:rPr>
      </w:pPr>
    </w:p>
    <w:p>
      <w:pPr>
        <w:ind w:left="3640"/>
        <w:spacing w:after="0"/>
        <w:rPr>
          <w:sz w:val="20"/>
          <w:szCs w:val="20"/>
          <w:color w:val="auto"/>
        </w:rPr>
      </w:pPr>
      <w:r>
        <w:rPr>
          <w:rFonts w:ascii="Arial" w:cs="Arial" w:eastAsia="Arial" w:hAnsi="Arial"/>
          <w:sz w:val="18"/>
          <w:szCs w:val="18"/>
          <w:u w:val="single" w:color="auto"/>
          <w:color w:val="auto"/>
        </w:rPr>
        <w:t>Conditions Precedent</w:t>
      </w:r>
    </w:p>
    <w:p>
      <w:pPr>
        <w:spacing w:after="0" w:line="86"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Each Party’s Obligation to Effect the Transactions</w:t>
      </w:r>
      <w:r>
        <w:rPr>
          <w:rFonts w:ascii="Arial" w:cs="Arial" w:eastAsia="Arial" w:hAnsi="Arial"/>
          <w:sz w:val="18"/>
          <w:szCs w:val="18"/>
          <w:color w:val="auto"/>
        </w:rPr>
        <w:t>. The respective obligation of each Party to effect the Exchange Transactions is subject to the satisfaction or waiver on or prior to the Closing Date of the following conditions: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shall have obtained the Company Stockholder Approval.</w:t>
      </w:r>
    </w:p>
    <w:p>
      <w:pPr>
        <w:spacing w:after="0" w:line="104"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temporary restraining order, preliminary or permanent injunction or other Judgment issued by any court of competent jurisdiction or Law, restraint or prohibition, in each case of any Governmental Authority of competent jurisdiction, in each case, in the United States (any such temporary restraining order, preliminary or permanent injunction, Judgment, Law, restraint or prohibition, a “</w:t>
      </w:r>
      <w:r>
        <w:rPr>
          <w:rFonts w:ascii="Arial" w:cs="Arial" w:eastAsia="Arial" w:hAnsi="Arial"/>
          <w:sz w:val="18"/>
          <w:szCs w:val="18"/>
          <w:u w:val="single" w:color="auto"/>
          <w:color w:val="auto"/>
        </w:rPr>
        <w:t>Legal Restraint</w:t>
      </w:r>
      <w:r>
        <w:rPr>
          <w:rFonts w:ascii="Arial" w:cs="Arial" w:eastAsia="Arial" w:hAnsi="Arial"/>
          <w:sz w:val="18"/>
          <w:szCs w:val="18"/>
          <w:color w:val="auto"/>
        </w:rPr>
        <w:t>”), shall be in effect, in each case, preventing, prohibiting or making illegal the consummation of the Exchange Transactions or any of the other transactions contemplated by the Principal Transaction Documents.</w:t>
      </w:r>
    </w:p>
    <w:p>
      <w:pPr>
        <w:spacing w:after="0" w:line="77"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Rights Offering</w:t>
      </w:r>
      <w:r>
        <w:rPr>
          <w:rFonts w:ascii="Arial" w:cs="Arial" w:eastAsia="Arial" w:hAnsi="Arial"/>
          <w:sz w:val="18"/>
          <w:szCs w:val="18"/>
          <w:color w:val="auto"/>
        </w:rPr>
        <w:t>. The Company shall have consummated the sale of Class A Common Stock pursuant to the exercise, if any, of securities issued in the Rights Offering.</w:t>
      </w:r>
    </w:p>
    <w:p>
      <w:pPr>
        <w:spacing w:after="0" w:line="46"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Debt and Equity Purchase Agreement</w:t>
      </w:r>
      <w:r>
        <w:rPr>
          <w:rFonts w:ascii="Arial" w:cs="Arial" w:eastAsia="Arial" w:hAnsi="Arial"/>
          <w:sz w:val="18"/>
          <w:szCs w:val="18"/>
          <w:color w:val="auto"/>
        </w:rPr>
        <w:t>. The Sale Closing (as defined in the Debt and Equity Purchase Agreement) shall occur substantially concurrently with the Closing.</w:t>
      </w:r>
    </w:p>
    <w:p>
      <w:pPr>
        <w:spacing w:after="0" w:line="46" w:lineRule="exact"/>
        <w:rPr>
          <w:sz w:val="20"/>
          <w:szCs w:val="20"/>
          <w:color w:val="auto"/>
        </w:rPr>
      </w:pPr>
    </w:p>
    <w:p>
      <w:pPr>
        <w:ind w:left="660" w:right="519"/>
        <w:spacing w:after="0" w:line="25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New Credit Agreement</w:t>
      </w:r>
      <w:r>
        <w:rPr>
          <w:rFonts w:ascii="Arial" w:cs="Arial" w:eastAsia="Arial" w:hAnsi="Arial"/>
          <w:sz w:val="18"/>
          <w:szCs w:val="18"/>
          <w:color w:val="auto"/>
        </w:rPr>
        <w:t>. The Company and the Investor Group shall have executed and delivered the New Credit Agreement and the New Credit Agreement shall be in full force and effect as of the Closing.</w:t>
      </w:r>
    </w:p>
    <w:p>
      <w:pPr>
        <w:spacing w:after="0" w:line="61"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Bylaws</w:t>
      </w:r>
      <w:r>
        <w:rPr>
          <w:rFonts w:ascii="Arial" w:cs="Arial" w:eastAsia="Arial" w:hAnsi="Arial"/>
          <w:sz w:val="18"/>
          <w:szCs w:val="18"/>
          <w:color w:val="auto"/>
        </w:rPr>
        <w:t>. The Company Board shall have adopted the Amended and Restated Bylaws, which shall be in full force and effect as of the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59"/>
        <w:spacing w:after="0" w:line="253"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Conditions to Obligations of Lender</w:t>
      </w:r>
      <w:r>
        <w:rPr>
          <w:rFonts w:ascii="Arial" w:cs="Arial" w:eastAsia="Arial" w:hAnsi="Arial"/>
          <w:sz w:val="18"/>
          <w:szCs w:val="18"/>
          <w:color w:val="auto"/>
        </w:rPr>
        <w:t>. The obligations of Lender to effect the Exchange Transactions are further subject to the satisfaction or waiver on or prior to the Closing Date of the following conditions:</w:t>
      </w:r>
    </w:p>
    <w:p>
      <w:pPr>
        <w:spacing w:after="0" w:line="61" w:lineRule="exact"/>
        <w:rPr>
          <w:sz w:val="20"/>
          <w:szCs w:val="20"/>
          <w:color w:val="auto"/>
        </w:rPr>
      </w:pPr>
    </w:p>
    <w:p>
      <w:pPr>
        <w:ind w:left="660" w:right="359"/>
        <w:spacing w:after="0" w:line="25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(i) The representations and warranties of the Company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(excluding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(solely as it relates to the Exchange Stock)),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3.04(a)(ii)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and shall be true and correct in all material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material respects as of such earlier date), (ii) the representations and warranties of the Company in </w:t>
      </w:r>
      <w:r>
        <w:rPr>
          <w:rFonts w:ascii="Arial" w:cs="Arial" w:eastAsia="Arial" w:hAnsi="Arial"/>
          <w:sz w:val="17"/>
          <w:szCs w:val="17"/>
          <w:u w:val="single" w:color="auto"/>
          <w:color w:val="auto"/>
        </w:rPr>
        <w:t>Section 3.02(c)</w:t>
      </w:r>
      <w:r>
        <w:rPr>
          <w:rFonts w:ascii="Arial" w:cs="Arial" w:eastAsia="Arial" w:hAnsi="Arial"/>
          <w:sz w:val="17"/>
          <w:szCs w:val="17"/>
          <w:color w:val="auto"/>
        </w:rPr>
        <w:t xml:space="preserve"> (solely as they relate to the Exchange Stock) shall be true and correct in all but de minimis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but de minimis respects as of such earlier date), (iii) the representation and warranty of the Company in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second sentence,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true and correct in all respects as of the Effective Date as though made at and as of such time, and (iv) each of the other representations and warranties (excluding those representations and warranties specified in the preceding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p>
    <w:p>
      <w:pPr>
        <w:spacing w:after="0" w:line="2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u w:val="single" w:color="auto"/>
          <w:color w:val="auto"/>
        </w:rPr>
        <w:t>7.02(a)</w:t>
      </w:r>
      <w:r>
        <w:rPr>
          <w:rFonts w:ascii="Arial" w:cs="Arial" w:eastAsia="Arial" w:hAnsi="Arial"/>
          <w:sz w:val="18"/>
          <w:szCs w:val="18"/>
          <w:color w:val="auto"/>
        </w:rPr>
        <w:t xml:space="preserve">) of the Company in this Agreement shall be true and correct as of the Effective Date and as of the Closing Date as though made at and as of such time, except to the extent that any such other representations and warranties expressly relate to an earlier date (in which case such other representations and warranties shall be true and correct as of such earlier date), in each case of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determined without regard to qualifications as to materiality or Company Material Adverse Effect, unless, for purposes of this </w:t>
      </w:r>
      <w:r>
        <w:rPr>
          <w:rFonts w:ascii="Arial" w:cs="Arial" w:eastAsia="Arial" w:hAnsi="Arial"/>
          <w:sz w:val="18"/>
          <w:szCs w:val="18"/>
          <w:u w:val="single" w:color="auto"/>
          <w:color w:val="auto"/>
        </w:rPr>
        <w:t>clause (iv)</w:t>
      </w:r>
      <w:r>
        <w:rPr>
          <w:rFonts w:ascii="Arial" w:cs="Arial" w:eastAsia="Arial" w:hAnsi="Arial"/>
          <w:sz w:val="18"/>
          <w:szCs w:val="18"/>
          <w:color w:val="auto"/>
        </w:rPr>
        <w:t>, the failure of any such representations and warranties to be so true and correct has not resulted in, and would not reasonably be expected to result in, individually or in the aggregate, a Company Material Adverse Effect.</w:t>
      </w:r>
    </w:p>
    <w:p>
      <w:pPr>
        <w:spacing w:after="0" w:line="75"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all obligations, covenants and agreements required to be performed by it under this Agreement on or prior to the Closing Date.</w:t>
      </w:r>
    </w:p>
    <w:p>
      <w:pPr>
        <w:spacing w:after="0" w:line="61"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Effective Date, there shall not have occurred and be continuing any Company Material Adverse Effect.</w:t>
      </w:r>
    </w:p>
    <w:p>
      <w:pPr>
        <w:spacing w:after="0" w:line="46" w:lineRule="exact"/>
        <w:rPr>
          <w:sz w:val="20"/>
          <w:szCs w:val="20"/>
          <w:color w:val="auto"/>
        </w:rPr>
      </w:pPr>
    </w:p>
    <w:p>
      <w:pPr>
        <w:ind w:left="660" w:right="619"/>
        <w:spacing w:after="0" w:line="259"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Lender shall have received a certificate signed by an executive officer of the Company (i) certifying that the conditions set forth in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p>
    <w:p>
      <w:pPr>
        <w:spacing w:after="0" w:line="1" w:lineRule="exact"/>
        <w:rPr>
          <w:sz w:val="20"/>
          <w:szCs w:val="20"/>
          <w:color w:val="auto"/>
        </w:rPr>
      </w:pPr>
    </w:p>
    <w:p>
      <w:pPr>
        <w:jc w:val="both"/>
        <w:ind w:left="660" w:right="419"/>
        <w:spacing w:after="0" w:line="264" w:lineRule="auto"/>
        <w:rPr>
          <w:sz w:val="20"/>
          <w:szCs w:val="20"/>
          <w:color w:val="auto"/>
        </w:rPr>
      </w:pPr>
      <w:r>
        <w:rPr>
          <w:rFonts w:ascii="Arial" w:cs="Arial" w:eastAsia="Arial" w:hAnsi="Arial"/>
          <w:sz w:val="17"/>
          <w:szCs w:val="17"/>
          <w:u w:val="single" w:color="auto"/>
          <w:color w:val="auto"/>
        </w:rPr>
        <w:t>7.02(c)</w:t>
      </w:r>
      <w:r>
        <w:rPr>
          <w:rFonts w:ascii="Arial" w:cs="Arial" w:eastAsia="Arial" w:hAnsi="Arial"/>
          <w:sz w:val="17"/>
          <w:szCs w:val="17"/>
          <w:color w:val="auto"/>
        </w:rPr>
        <w:t xml:space="preserve"> have been satisfied, and (ii) setting forth the total number of outstanding shares of Company Common Stock on a Fully Diluted Basis as of the Closing Date and the number of shares of Class A Common Stock representing the Exchange Stock to be issued to Lender as of the Closing Date.</w:t>
      </w:r>
    </w:p>
    <w:p>
      <w:pPr>
        <w:spacing w:after="0" w:line="52"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to effect the Exchange Transactions is further subject to the satisfaction or waiver on or prior to the Closing Date of the following conditions:</w:t>
      </w:r>
    </w:p>
    <w:p>
      <w:pPr>
        <w:spacing w:after="0" w:line="61" w:lineRule="exact"/>
        <w:rPr>
          <w:sz w:val="20"/>
          <w:szCs w:val="20"/>
          <w:color w:val="auto"/>
        </w:rPr>
      </w:pPr>
    </w:p>
    <w:p>
      <w:pPr>
        <w:ind w:left="660" w:right="359"/>
        <w:spacing w:after="0" w:line="23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Lender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4.03(a)(ii)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shall be true and correct in all material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material respects as of such earlier date); and (ii) each of the other representations and warranties (excluding those representations and warranties specified in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of Lender in this Agreement shall be true and correct as of the Effective Date and as of the Closing Date as though made at and as of such time, except to the extent any such other representations and warranties expressly relate to an earlier date (in which case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 xml:space="preserve">other representations and warranties shall be true and correct as of such earlier date), in each case determined without regard to qualifications as to materiality or Lender Material Adverse Effect, unless, for purposes of this </w:t>
      </w:r>
      <w:r>
        <w:rPr>
          <w:rFonts w:ascii="Arial" w:cs="Arial" w:eastAsia="Arial" w:hAnsi="Arial"/>
          <w:sz w:val="18"/>
          <w:szCs w:val="18"/>
          <w:u w:val="single" w:color="auto"/>
          <w:color w:val="auto"/>
        </w:rPr>
        <w:t>clause (ii)</w:t>
      </w:r>
      <w:r>
        <w:rPr>
          <w:rFonts w:ascii="Arial" w:cs="Arial" w:eastAsia="Arial" w:hAnsi="Arial"/>
          <w:sz w:val="18"/>
          <w:szCs w:val="18"/>
          <w:color w:val="auto"/>
        </w:rPr>
        <w:t>, the failure of any such representations and warranties to be so true and correct has not resulted in, and would not reasonably be expected to result in, individually or in the aggregate, a Lender Material Adverse Effect.</w:t>
      </w:r>
    </w:p>
    <w:p>
      <w:pPr>
        <w:spacing w:after="0" w:line="68" w:lineRule="exact"/>
        <w:rPr>
          <w:sz w:val="20"/>
          <w:szCs w:val="20"/>
          <w:color w:val="auto"/>
        </w:rPr>
      </w:pPr>
    </w:p>
    <w:p>
      <w:pPr>
        <w:jc w:val="both"/>
        <w:ind w:left="660" w:right="51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 of Obligations of Lender</w:t>
      </w:r>
      <w:r>
        <w:rPr>
          <w:rFonts w:ascii="Arial" w:cs="Arial" w:eastAsia="Arial" w:hAnsi="Arial"/>
          <w:sz w:val="18"/>
          <w:szCs w:val="18"/>
          <w:color w:val="auto"/>
        </w:rPr>
        <w:t>. Lender shall have performed in all material respects all obligations, covenants and agreements required to be performed by it under this Agreement on or prior to the Closing Date.</w:t>
      </w:r>
    </w:p>
    <w:p>
      <w:pPr>
        <w:spacing w:after="0" w:line="61" w:lineRule="exact"/>
        <w:rPr>
          <w:sz w:val="20"/>
          <w:szCs w:val="20"/>
          <w:color w:val="auto"/>
        </w:rPr>
      </w:pPr>
    </w:p>
    <w:p>
      <w:pPr>
        <w:ind w:left="660" w:right="679"/>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The Company shall have received a certificate signed by an authorized officer of Lender certifying that the conditions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have been satisfied.</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 Amendment and Waiver</w:t>
      </w:r>
    </w:p>
    <w:p>
      <w:pPr>
        <w:spacing w:after="0" w:line="86"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Effective Time, whether before or after receipt of the Company Stockholder Approval:</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by mutual written consent of Lender and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by either Lender or the Company:</w:t>
      </w:r>
    </w:p>
    <w:p>
      <w:pPr>
        <w:spacing w:after="0" w:line="104" w:lineRule="exact"/>
        <w:rPr>
          <w:sz w:val="20"/>
          <w:szCs w:val="20"/>
          <w:color w:val="auto"/>
        </w:rPr>
      </w:pPr>
    </w:p>
    <w:p>
      <w:pPr>
        <w:ind w:left="1020" w:right="399"/>
        <w:spacing w:after="0"/>
        <w:rPr>
          <w:sz w:val="20"/>
          <w:szCs w:val="20"/>
          <w:color w:val="auto"/>
        </w:rPr>
      </w:pPr>
      <w:r>
        <w:rPr>
          <w:rFonts w:ascii="Arial" w:cs="Arial" w:eastAsia="Arial" w:hAnsi="Arial"/>
          <w:sz w:val="18"/>
          <w:szCs w:val="18"/>
          <w:color w:val="auto"/>
        </w:rPr>
        <w:t>(i)  if the Exchange Transactions are not consummated on or before 11:59 p.m., Eastern time, on February 20, 2026 (as such date may be extended pursuant to any written agreement to so extend that is executed by the Parties,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8.01(b)(i)</w:t>
      </w:r>
      <w:r>
        <w:rPr>
          <w:rFonts w:ascii="Arial" w:cs="Arial" w:eastAsia="Arial" w:hAnsi="Arial"/>
          <w:sz w:val="18"/>
          <w:szCs w:val="18"/>
          <w:color w:val="auto"/>
        </w:rPr>
        <w:t xml:space="preserve"> shall not be available to a Party if such Party breached in any material respect its obligations under this Agreement in any manner that shall have been the principal cause of the failure to consummate the Exchange Transactions on or before the Outside Date; or</w:t>
      </w:r>
    </w:p>
    <w:p>
      <w:pPr>
        <w:spacing w:after="0" w:line="77" w:lineRule="exact"/>
        <w:rPr>
          <w:sz w:val="20"/>
          <w:szCs w:val="20"/>
          <w:color w:val="auto"/>
        </w:rPr>
      </w:pPr>
    </w:p>
    <w:p>
      <w:pPr>
        <w:ind w:left="1020" w:right="319"/>
        <w:spacing w:after="0"/>
        <w:rPr>
          <w:sz w:val="20"/>
          <w:szCs w:val="20"/>
          <w:color w:val="auto"/>
        </w:rPr>
      </w:pPr>
      <w:r>
        <w:rPr>
          <w:rFonts w:ascii="Arial" w:cs="Arial" w:eastAsia="Arial" w:hAnsi="Arial"/>
          <w:sz w:val="18"/>
          <w:szCs w:val="18"/>
          <w:color w:val="auto"/>
        </w:rPr>
        <w:t xml:space="preserve">(ii)  if any Legal Restraint that has the effect of preventing, prohibiting or making illegal the consummation of the Exchange Transactions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u w:val="single" w:color="auto"/>
          <w:color w:val="auto"/>
        </w:rPr>
        <w:t>Section 8.01(b)(ii)</w:t>
      </w:r>
      <w:r>
        <w:rPr>
          <w:rFonts w:ascii="Arial" w:cs="Arial" w:eastAsia="Arial" w:hAnsi="Arial"/>
          <w:sz w:val="18"/>
          <w:szCs w:val="18"/>
          <w:color w:val="auto"/>
        </w:rPr>
        <w:t xml:space="preserve"> shall have used the efforts required by this Agreement to remove such Legal Restraint;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8.01(b)(ii)</w:t>
      </w:r>
      <w:r>
        <w:rPr>
          <w:rFonts w:ascii="Arial" w:cs="Arial" w:eastAsia="Arial" w:hAnsi="Arial"/>
          <w:sz w:val="18"/>
          <w:szCs w:val="18"/>
          <w:color w:val="auto"/>
        </w:rPr>
        <w:t xml:space="preserve"> shall not be available to a Party if such Party breached in any material respect its obligations under this Agreement in any manner that shall have been the principal cause of the issuance or entry of such Legal Restraint; or</w:t>
      </w:r>
    </w:p>
    <w:p>
      <w:pPr>
        <w:spacing w:after="0" w:line="72" w:lineRule="exact"/>
        <w:rPr>
          <w:sz w:val="20"/>
          <w:szCs w:val="20"/>
          <w:color w:val="auto"/>
        </w:rPr>
      </w:pPr>
    </w:p>
    <w:p>
      <w:pPr>
        <w:ind w:left="1020" w:right="519"/>
        <w:spacing w:after="0" w:line="253" w:lineRule="auto"/>
        <w:rPr>
          <w:sz w:val="20"/>
          <w:szCs w:val="20"/>
          <w:color w:val="auto"/>
        </w:rPr>
      </w:pPr>
      <w:r>
        <w:rPr>
          <w:rFonts w:ascii="Arial" w:cs="Arial" w:eastAsia="Arial" w:hAnsi="Arial"/>
          <w:sz w:val="18"/>
          <w:szCs w:val="18"/>
          <w:color w:val="auto"/>
        </w:rPr>
        <w:t>(iii)  if the Company Stockholders Meeting (including any adjournments or postponements thereof) shall have been held and concluded and the Company Stockholder Approval shall not have been obtained;</w:t>
      </w:r>
    </w:p>
    <w:p>
      <w:pPr>
        <w:spacing w:after="0" w:line="61"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(c)  by Lender, if the Company breaches or fails to perform in any material respect any of its representations, warranties or covenants contained in this Agreement, which breach or failure to perform (i) would give rise to the failure of any of the conditions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7.02(b)</w:t>
      </w:r>
      <w:r>
        <w:rPr>
          <w:rFonts w:ascii="Arial" w:cs="Arial" w:eastAsia="Arial" w:hAnsi="Arial"/>
          <w:sz w:val="18"/>
          <w:szCs w:val="18"/>
          <w:color w:val="auto"/>
        </w:rPr>
        <w:t xml:space="preserve"> to be satisfied and (ii) cannot be cured or has not been cured within 20 Business Days (or, if earlier, the Outside Date) after the giving of written notice to the Company of such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exercise such right, Lender must not then be in material breach of any representation, warranty or covenant contained in this Agreement);</w:t>
      </w:r>
    </w:p>
    <w:p>
      <w:pPr>
        <w:spacing w:after="0" w:line="77"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(d)  by Lender, prior to the receipt of the Company Stockholder Approval, if an Adverse Recommendation Change shall have occurred, whether or not permitted by the terms hereof (or the Company Board, or any committee thereof, shall effect or resolve to effect an Adverse Recommendation Change);</w:t>
      </w:r>
    </w:p>
    <w:p>
      <w:pPr>
        <w:spacing w:after="0" w:line="66" w:lineRule="exact"/>
        <w:rPr>
          <w:sz w:val="20"/>
          <w:szCs w:val="20"/>
          <w:color w:val="auto"/>
        </w:rPr>
      </w:pPr>
    </w:p>
    <w:p>
      <w:pPr>
        <w:jc w:val="both"/>
        <w:ind w:left="660" w:right="719"/>
        <w:spacing w:after="0" w:line="253" w:lineRule="auto"/>
        <w:rPr>
          <w:sz w:val="20"/>
          <w:szCs w:val="20"/>
          <w:color w:val="auto"/>
        </w:rPr>
      </w:pPr>
      <w:r>
        <w:rPr>
          <w:rFonts w:ascii="Arial" w:cs="Arial" w:eastAsia="Arial" w:hAnsi="Arial"/>
          <w:sz w:val="18"/>
          <w:szCs w:val="18"/>
          <w:color w:val="auto"/>
        </w:rPr>
        <w:t xml:space="preserve">(e)  by the Company, if Lender breaches or fails to perform in any material respect of any of its representations, warranties or covenants contained in this Agreement, which breach or failure to perform (i) would give rise to the failure of any of the conditions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99"/>
        <w:spacing w:after="0" w:line="247" w:lineRule="auto"/>
        <w:rPr>
          <w:sz w:val="20"/>
          <w:szCs w:val="20"/>
          <w:color w:val="auto"/>
        </w:rPr>
      </w:pP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to be satisfied and (ii) cannot be cured or has not been cured within 20 Business Days (or, if earlier, the Outside Date) after the giving of written notice to Lender of such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exercise such right, the Company must not then be in material breach of any representation, warranty or covenant in this Agreement);</w:t>
      </w:r>
    </w:p>
    <w:p>
      <w:pPr>
        <w:spacing w:after="0" w:line="66"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 xml:space="preserve">(f)  by the Company, prior to the receipt of the Company Stockholder Approval, pursuant to and in accordance with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first sentence of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subject to the other requirements of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substantially concurrently with such termination pay (or cause to be paid) to Lender the Termination Fee; or</w:t>
      </w:r>
    </w:p>
    <w:p>
      <w:pPr>
        <w:spacing w:after="0" w:line="66" w:lineRule="exact"/>
        <w:rPr>
          <w:sz w:val="20"/>
          <w:szCs w:val="20"/>
          <w:color w:val="auto"/>
        </w:rPr>
      </w:pPr>
    </w:p>
    <w:p>
      <w:pPr>
        <w:ind w:left="660" w:right="319"/>
        <w:spacing w:after="0" w:line="275" w:lineRule="auto"/>
        <w:rPr>
          <w:sz w:val="20"/>
          <w:szCs w:val="20"/>
          <w:color w:val="auto"/>
        </w:rPr>
      </w:pPr>
      <w:r>
        <w:rPr>
          <w:rFonts w:ascii="Arial" w:cs="Arial" w:eastAsia="Arial" w:hAnsi="Arial"/>
          <w:sz w:val="17"/>
          <w:szCs w:val="17"/>
          <w:color w:val="auto"/>
        </w:rPr>
        <w:t>(g)  by Lender, prior to the receipt of the Company Stockholder Approval, if a Proxy Stockholder Proxy Revocation shall have occurred, whether or not permitted by the terms hereof or the applicable Proxy (or a Proxy Stockholder shall effect or resolve to effect a Proxy Stockholder Proxy Revocation).</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 xml:space="preserve">(a)  Any termination of this Agreement under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will be effective (subject to the cure periods provided above) immediately upon the delivery of written notice of the terminating Party to the other Party of a valid termination of this Agreement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In the event of the valid termination of this Agreement by either Lender or the Company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there shall be no liability or further obligation on the part of Lender or the Company or their respective Affiliates or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to the contrary herein,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such termination and remain in full force and effect;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nothing in this Agreement shall relieve any Party from liability for any willful and material breach of, or Fraud with respect to, any of its representations, warranties, covenants or agreements set forth in this Agreement occurring prior to such termination; it being acknowledged and agreed, without limitation, that any failure by any Party to consummate the Exchange Transactions after the applicable conditions thereto have been satisfied or waived (other than those conditions that by their nature are to be satisfied at the Closing, but subject to the satisfaction or waiver of those conditions at such time) when required to do so will constitute a willful and material breach of this Agreement. Lender acknowledges and agrees that neither the termination of this Agreement nor the payment of the Termination Fee or the No Vote Fee, in and of itself, will constitute a Default or an Event of Default under and as defined in the Existing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by Lender shall be effective only in this specific instance and for the specific purpose set forth herein and does not allow for any other or further departure from the terms and conditions of the Existing Credit Agreement or any other Existing Loan Document, which terms and conditions shall continue in full force and effect.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and No Vote Fees</w:t>
      </w:r>
      <w:r>
        <w:rPr>
          <w:rFonts w:ascii="Arial" w:cs="Arial" w:eastAsia="Arial" w:hAnsi="Arial"/>
          <w:sz w:val="18"/>
          <w:szCs w:val="18"/>
          <w:color w:val="auto"/>
        </w:rPr>
        <w:t>.</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The Company shall pay (or cause to be paid) to Lender a fee of $6,000,000 (the</w:t>
      </w:r>
    </w:p>
    <w:p>
      <w:pPr>
        <w:spacing w:after="0" w:line="14" w:lineRule="exact"/>
        <w:rPr>
          <w:sz w:val="20"/>
          <w:szCs w:val="20"/>
          <w:color w:val="auto"/>
        </w:rPr>
      </w:pPr>
    </w:p>
    <w:p>
      <w:pPr>
        <w:ind w:left="1020" w:right="339"/>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xml:space="preserve">”) if: (A) Lender terminates this Agreement pursuant to </w:t>
      </w:r>
      <w:r>
        <w:rPr>
          <w:rFonts w:ascii="Arial" w:cs="Arial" w:eastAsia="Arial" w:hAnsi="Arial"/>
          <w:sz w:val="18"/>
          <w:szCs w:val="18"/>
          <w:u w:val="single" w:color="auto"/>
          <w:color w:val="auto"/>
        </w:rPr>
        <w:t>Section 8.01(d)</w:t>
      </w:r>
      <w:r>
        <w:rPr>
          <w:rFonts w:ascii="Arial" w:cs="Arial" w:eastAsia="Arial" w:hAnsi="Arial"/>
          <w:sz w:val="18"/>
          <w:szCs w:val="18"/>
          <w:color w:val="auto"/>
        </w:rPr>
        <w:t xml:space="preserve">; (B) the Company terminates this Agreement pursuant to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(C) a Takeover Proposal (whether or not conditional and whether or not withdrawn) has been made to the Company or to the Company Stockholders generally or shall have otherwise become publicly known and thereafter (I) this Agreement is terminated pursuant to (w) </w:t>
      </w:r>
      <w:r>
        <w:rPr>
          <w:rFonts w:ascii="Arial" w:cs="Arial" w:eastAsia="Arial" w:hAnsi="Arial"/>
          <w:sz w:val="18"/>
          <w:szCs w:val="18"/>
          <w:u w:val="single" w:color="auto"/>
          <w:color w:val="auto"/>
        </w:rPr>
        <w:t>Section 8.01(b)(i)</w:t>
      </w:r>
      <w:r>
        <w:rPr>
          <w:rFonts w:ascii="Arial" w:cs="Arial" w:eastAsia="Arial" w:hAnsi="Arial"/>
          <w:sz w:val="18"/>
          <w:szCs w:val="18"/>
          <w:color w:val="auto"/>
        </w:rPr>
        <w:t xml:space="preserve">, (x)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(y)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or (z) </w:t>
      </w:r>
      <w:r>
        <w:rPr>
          <w:rFonts w:ascii="Arial" w:cs="Arial" w:eastAsia="Arial" w:hAnsi="Arial"/>
          <w:sz w:val="18"/>
          <w:szCs w:val="18"/>
          <w:u w:val="single" w:color="auto"/>
          <w:color w:val="auto"/>
        </w:rPr>
        <w:t>Section 8.01(g)</w:t>
      </w:r>
      <w:r>
        <w:rPr>
          <w:rFonts w:ascii="Arial" w:cs="Arial" w:eastAsia="Arial" w:hAnsi="Arial"/>
          <w:sz w:val="18"/>
          <w:szCs w:val="18"/>
          <w:color w:val="auto"/>
        </w:rPr>
        <w:t xml:space="preserve">, and (II) within 12 months of such termination the Company or any of its Subsidiaries consummates any Takeover Proposal or enters into a definitive agreement providing for any Takeover Proposal (in each case, whether or not such Takeover Proposal is the same as the original Takeover Proposal made or communicated or that became publicly known prior to such termination). Solely for purposes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w:t>
      </w:r>
    </w:p>
    <w:p>
      <w:pPr>
        <w:spacing w:after="0" w:line="7" w:lineRule="exact"/>
        <w:rPr>
          <w:sz w:val="20"/>
          <w:szCs w:val="20"/>
          <w:color w:val="auto"/>
        </w:rPr>
      </w:pPr>
    </w:p>
    <w:p>
      <w:pPr>
        <w:ind w:left="1020" w:right="359"/>
        <w:spacing w:after="0" w:line="242" w:lineRule="auto"/>
        <w:rPr>
          <w:sz w:val="20"/>
          <w:szCs w:val="20"/>
          <w:color w:val="auto"/>
        </w:rPr>
      </w:pPr>
      <w:r>
        <w:rPr>
          <w:rFonts w:ascii="Arial" w:cs="Arial" w:eastAsia="Arial" w:hAnsi="Arial"/>
          <w:sz w:val="18"/>
          <w:szCs w:val="18"/>
          <w:color w:val="auto"/>
        </w:rPr>
        <w:t xml:space="preserve">first sentence of this </w:t>
      </w:r>
      <w:r>
        <w:rPr>
          <w:rFonts w:ascii="Arial" w:cs="Arial" w:eastAsia="Arial" w:hAnsi="Arial"/>
          <w:sz w:val="18"/>
          <w:szCs w:val="18"/>
          <w:u w:val="single" w:color="auto"/>
          <w:color w:val="auto"/>
        </w:rPr>
        <w:t>Section 8.02(b)(i)</w:t>
      </w:r>
      <w:r>
        <w:rPr>
          <w:rFonts w:ascii="Arial" w:cs="Arial" w:eastAsia="Arial" w:hAnsi="Arial"/>
          <w:sz w:val="18"/>
          <w:szCs w:val="18"/>
          <w:color w:val="auto"/>
        </w:rPr>
        <w:t xml:space="preserve">, the term “Takeover Proposal” shall have the meaning set forth in the definition of Takeover Proposal contained in </w:t>
      </w:r>
      <w:r>
        <w:rPr>
          <w:rFonts w:ascii="Arial" w:cs="Arial" w:eastAsia="Arial" w:hAnsi="Arial"/>
          <w:sz w:val="18"/>
          <w:szCs w:val="18"/>
          <w:u w:val="single" w:color="auto"/>
          <w:color w:val="auto"/>
        </w:rPr>
        <w:t>Section 5.02(h)</w:t>
      </w:r>
      <w:r>
        <w:rPr>
          <w:rFonts w:ascii="Arial" w:cs="Arial" w:eastAsia="Arial" w:hAnsi="Arial"/>
          <w:sz w:val="18"/>
          <w:szCs w:val="18"/>
          <w:color w:val="auto"/>
        </w:rPr>
        <w:t xml:space="preserve"> except that all references to 20% shall be deemed to be references to 50%.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519"/>
        <w:spacing w:after="0" w:line="271" w:lineRule="auto"/>
        <w:rPr>
          <w:sz w:val="20"/>
          <w:szCs w:val="20"/>
          <w:color w:val="auto"/>
        </w:rPr>
      </w:pPr>
      <w:r>
        <w:rPr>
          <w:rFonts w:ascii="Arial" w:cs="Arial" w:eastAsia="Arial" w:hAnsi="Arial"/>
          <w:sz w:val="18"/>
          <w:szCs w:val="18"/>
          <w:color w:val="auto"/>
        </w:rPr>
        <w:t>(ii)  The Company shall pay (or cause to be paid) to Lender a fee of $2,000,000 (the “</w:t>
      </w:r>
      <w:r>
        <w:rPr>
          <w:rFonts w:ascii="Arial" w:cs="Arial" w:eastAsia="Arial" w:hAnsi="Arial"/>
          <w:sz w:val="18"/>
          <w:szCs w:val="18"/>
          <w:u w:val="single" w:color="auto"/>
          <w:color w:val="auto"/>
        </w:rPr>
        <w:t>No Vote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if Lender terminates this Agreement pursuant to </w:t>
      </w:r>
      <w:r>
        <w:rPr>
          <w:rFonts w:ascii="Arial" w:cs="Arial" w:eastAsia="Arial" w:hAnsi="Arial"/>
          <w:sz w:val="18"/>
          <w:szCs w:val="18"/>
          <w:u w:val="single" w:color="auto"/>
          <w:color w:val="auto"/>
        </w:rPr>
        <w:t>Section 8.01(g)</w:t>
      </w:r>
      <w:r>
        <w:rPr>
          <w:rFonts w:ascii="Arial" w:cs="Arial" w:eastAsia="Arial" w:hAnsi="Arial"/>
          <w:sz w:val="18"/>
          <w:szCs w:val="18"/>
          <w:color w:val="auto"/>
        </w:rPr>
        <w:t>.</w:t>
      </w:r>
    </w:p>
    <w:p>
      <w:pPr>
        <w:spacing w:after="0" w:line="46" w:lineRule="exact"/>
        <w:rPr>
          <w:sz w:val="20"/>
          <w:szCs w:val="20"/>
          <w:color w:val="auto"/>
        </w:rPr>
      </w:pPr>
    </w:p>
    <w:p>
      <w:pPr>
        <w:ind w:left="1020" w:right="359"/>
        <w:spacing w:after="0"/>
        <w:rPr>
          <w:sz w:val="20"/>
          <w:szCs w:val="20"/>
          <w:color w:val="auto"/>
        </w:rPr>
      </w:pPr>
      <w:r>
        <w:rPr>
          <w:rFonts w:ascii="Arial" w:cs="Arial" w:eastAsia="Arial" w:hAnsi="Arial"/>
          <w:sz w:val="18"/>
          <w:szCs w:val="18"/>
          <w:color w:val="auto"/>
        </w:rPr>
        <w:t xml:space="preserve">(iii)  Any payment or reimbursement due under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shall be paid by wire transfer within two (2) Business Days of the date of termination of this Agreement (except that in the case of termination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8.02(b)(i)</w:t>
      </w:r>
      <w:r>
        <w:rPr>
          <w:rFonts w:ascii="Arial" w:cs="Arial" w:eastAsia="Arial" w:hAnsi="Arial"/>
          <w:sz w:val="18"/>
          <w:szCs w:val="18"/>
          <w:color w:val="auto"/>
        </w:rPr>
        <w:t>, such payment shall be made on the date of execution of the applicable definitive agreement or, if earlier, the date of the consummation of the applicable Takeover Proposal) to the account designated in writing by Lender (which account information may be updated by Lender by written notice to the Company from time to time).</w:t>
      </w:r>
    </w:p>
    <w:p>
      <w:pPr>
        <w:spacing w:after="0" w:line="77" w:lineRule="exact"/>
        <w:rPr>
          <w:sz w:val="20"/>
          <w:szCs w:val="20"/>
          <w:color w:val="auto"/>
        </w:rPr>
      </w:pPr>
    </w:p>
    <w:p>
      <w:pPr>
        <w:ind w:left="1020" w:right="359"/>
        <w:spacing w:after="0" w:line="245" w:lineRule="auto"/>
        <w:rPr>
          <w:sz w:val="20"/>
          <w:szCs w:val="20"/>
          <w:color w:val="auto"/>
        </w:rPr>
      </w:pPr>
      <w:r>
        <w:rPr>
          <w:rFonts w:ascii="Arial" w:cs="Arial" w:eastAsia="Arial" w:hAnsi="Arial"/>
          <w:sz w:val="18"/>
          <w:szCs w:val="18"/>
          <w:color w:val="auto"/>
        </w:rPr>
        <w:t xml:space="preserve">(iv)  Notwithstanding anything to the contrary contained in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elsewhere in this Agreement, in the event this Agreement is terminated by the Company pursuant to </w:t>
      </w:r>
      <w:r>
        <w:rPr>
          <w:rFonts w:ascii="Arial" w:cs="Arial" w:eastAsia="Arial" w:hAnsi="Arial"/>
          <w:sz w:val="18"/>
          <w:szCs w:val="18"/>
          <w:u w:val="single" w:color="auto"/>
          <w:color w:val="auto"/>
        </w:rPr>
        <w:t>Section</w:t>
      </w:r>
    </w:p>
    <w:p>
      <w:pPr>
        <w:ind w:left="1020" w:right="319"/>
        <w:spacing w:after="0" w:line="236" w:lineRule="auto"/>
        <w:rPr>
          <w:sz w:val="20"/>
          <w:szCs w:val="20"/>
          <w:color w:val="auto"/>
        </w:rPr>
      </w:pPr>
      <w:r>
        <w:rPr>
          <w:rFonts w:ascii="Arial" w:cs="Arial" w:eastAsia="Arial" w:hAnsi="Arial"/>
          <w:sz w:val="18"/>
          <w:szCs w:val="18"/>
          <w:u w:val="single" w:color="auto"/>
          <w:color w:val="auto"/>
        </w:rPr>
        <w:t>8.01(b)</w:t>
      </w:r>
      <w:r>
        <w:rPr>
          <w:rFonts w:ascii="Arial" w:cs="Arial" w:eastAsia="Arial" w:hAnsi="Arial"/>
          <w:sz w:val="18"/>
          <w:szCs w:val="18"/>
          <w:color w:val="auto"/>
        </w:rPr>
        <w:t xml:space="preserve"> at a time when Lender would have had the right to terminate this Agreement and would have been (or would have become) entitled to receive the Termination Fee or the No Vote Fee as a result of such termination, then Lender shall be entitled to receipt of the Termination Fee or the No Vote Fee, as applicable, that would have been (or would have subsequently become) payable had Lender terminated this Agreement at such time. The Company acknowledges that the agreements contained in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are an integral part of the Transactions, and that, without these agreements, Lender would not enter into this Agreement. Accordingly, if the Company fails to pay the amounts due pursuant to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as and when due, and, in order to obtain such payment, Lender commences a suit that results in a judgment against the Company for the amounts set forth in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the Company shall pay to Lender its reasonable costs and expenses (including attorneys’ fees and expenses) in connection with such suit together with interest on the amounts set forth in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at the prime lending rate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effect on the date such payment was required to be made.</w:t>
      </w:r>
    </w:p>
    <w:p>
      <w:pPr>
        <w:spacing w:after="0" w:line="76" w:lineRule="exact"/>
        <w:rPr>
          <w:sz w:val="20"/>
          <w:szCs w:val="20"/>
          <w:color w:val="auto"/>
        </w:rPr>
      </w:pPr>
    </w:p>
    <w:p>
      <w:pPr>
        <w:ind w:left="1020" w:right="299"/>
        <w:spacing w:after="0" w:line="255" w:lineRule="auto"/>
        <w:rPr>
          <w:sz w:val="20"/>
          <w:szCs w:val="20"/>
          <w:color w:val="auto"/>
        </w:rPr>
      </w:pPr>
      <w:r>
        <w:rPr>
          <w:rFonts w:ascii="Arial" w:cs="Arial" w:eastAsia="Arial" w:hAnsi="Arial"/>
          <w:sz w:val="17"/>
          <w:szCs w:val="17"/>
          <w:color w:val="auto"/>
        </w:rPr>
        <w:t>(v)  Notwithstanding anything to the contrary herein, (A) in no event will the Company be required to pay more than one Termination Fee, collectively, or one No Vote Fee, collectively, (B) in no event will the Company be required to pay the Termination Fee on more than one occasion or the No Vote Fee on more than one occasion, in each case, whether or not the Termination Fee or No Vote Fee, as applicable, may be payable pursuant to more than one provision of this Agreement at the same or at different times and upon the occurrence of different events or (C) if at the same time or after the Company has paid the No Vote Fee pursuant to this ‎Section 8.02(b) the Company is obligated to pay the Termination Fee, the payment of the No Vote Fee shall reduce on a dollar for dollar basis the payment by the Company of the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-291465</wp:posOffset>
            </wp:positionV>
            <wp:extent cx="774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41" w:lineRule="exact"/>
        <w:rPr>
          <w:sz w:val="20"/>
          <w:szCs w:val="20"/>
          <w:color w:val="auto"/>
        </w:rPr>
      </w:pPr>
    </w:p>
    <w:p>
      <w:pPr>
        <w:ind w:left="1020" w:right="319"/>
        <w:spacing w:after="0" w:line="238" w:lineRule="auto"/>
        <w:rPr>
          <w:sz w:val="20"/>
          <w:szCs w:val="20"/>
          <w:color w:val="auto"/>
        </w:rPr>
      </w:pPr>
      <w:r>
        <w:rPr>
          <w:rFonts w:ascii="Arial" w:cs="Arial" w:eastAsia="Arial" w:hAnsi="Arial"/>
          <w:sz w:val="18"/>
          <w:szCs w:val="18"/>
          <w:color w:val="auto"/>
        </w:rPr>
        <w:t xml:space="preserve">(vi)  In the event that this Agreement is terminated in any circumstance under which the Termination Fee or the No Vote Fee is payable to Lender in accordance with </w:t>
      </w:r>
      <w:r>
        <w:rPr>
          <w:rFonts w:ascii="Arial" w:cs="Arial" w:eastAsia="Arial" w:hAnsi="Arial"/>
          <w:sz w:val="18"/>
          <w:szCs w:val="18"/>
          <w:u w:val="single" w:color="auto"/>
          <w:color w:val="auto"/>
        </w:rPr>
        <w:t>Section 8.02(b)</w:t>
      </w:r>
      <w:r>
        <w:rPr>
          <w:rFonts w:ascii="Arial" w:cs="Arial" w:eastAsia="Arial" w:hAnsi="Arial"/>
          <w:sz w:val="18"/>
          <w:szCs w:val="18"/>
          <w:color w:val="auto"/>
        </w:rPr>
        <w:t>, Lender’s receipt of the Termination Fee or the No Vote Fee, as applicable, shall be the sole and exclusive remedy of Lender and its Affiliates, stockholders, affiliates, officers, directors, employees and other Representatives against the Company and its former, current and future directors, managers, officers, employees, counsel, financial advisors, auditors, agents, other authorized representatives, unitholders, stockholders, Affiliates and assignees (collectively, but excluding Lender, the “</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for any damages suffered as a result of the failure of the Closing to be consummated for any reason or for a breach or failure to perform hereunder, or for any other matter with respect to the Transactions or this Agreement and neither the Company nor any Company Related Party shall have any further liability or obligation relating to or arising out of this Agreement or the Transactions. The Company Related Parties are express third-party beneficiaries of this Section 8.02</w:t>
      </w:r>
      <w:r>
        <w:rPr>
          <w:rFonts w:ascii="Arial" w:cs="Arial" w:eastAsia="Arial" w:hAnsi="Arial"/>
          <w:sz w:val="18"/>
          <w:szCs w:val="18"/>
          <w:u w:val="single" w:color="auto"/>
          <w:color w:val="auto"/>
        </w:rPr>
        <w:t>(b)(vi)</w:t>
      </w:r>
      <w:r>
        <w:rPr>
          <w:rFonts w:ascii="Arial" w:cs="Arial" w:eastAsia="Arial" w:hAnsi="Arial"/>
          <w:sz w:val="18"/>
          <w:szCs w:val="18"/>
          <w:color w:val="auto"/>
        </w:rPr>
        <w:t>.</w:t>
      </w:r>
    </w:p>
    <w:p>
      <w:pPr>
        <w:spacing w:after="0" w:line="72"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at any time before or after receipt of the Company Stockholder Approval. This Agreement may not be amended except by an instrument in writing signed on behalf of each of the Parties.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Extension; Waiver</w:t>
      </w:r>
      <w:r>
        <w:rPr>
          <w:rFonts w:ascii="Arial" w:cs="Arial" w:eastAsia="Arial" w:hAnsi="Arial"/>
          <w:sz w:val="18"/>
          <w:szCs w:val="18"/>
          <w:color w:val="auto"/>
        </w:rPr>
        <w:t>. At any time prior to the Effective Time, the Parties may (i) extend the time for the performance of any of the obligations or other acts of the other Party, (ii) waive any inaccuracies in the representations and warranties contained in this Agreement or in any document delivered pursuant to this Agreement or (iii) waive compliance with any of the agreements or conditions contained in this Agreement. Any agreement on the part of a Party to any such extension or waiver shall be valid only if set forth in an instrument in writing signed on behalf of the Party or Parties entitled to the benefit of such obligation, agreement or condition. The failure of any Party to this Agreement to assert any of its rights under this Agreement or otherwise shall not constitute a waiver of such rights.</w:t>
      </w:r>
    </w:p>
    <w:p>
      <w:pPr>
        <w:spacing w:after="0" w:line="19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IX</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u w:val="single" w:color="auto"/>
          <w:color w:val="auto"/>
        </w:rPr>
        <w:t>General Provisions</w:t>
      </w:r>
    </w:p>
    <w:p>
      <w:pPr>
        <w:spacing w:after="0" w:line="86"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xml:space="preserve">. None of the representations, warranties, covenants and other agreements in this Agreement or in any instrument delivered pursuant to this Agreement, shall survive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shall not limit any covenant or agreement of the parties which by its terms contemplates performance at or after the Effective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(a)  All notices, requests, claims, demands and other communications hereunder shall be in writing and shall be deemed given when delivered, if delivered personally, emailed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email states that it is a notice sent pursuant to this </w:t>
      </w:r>
      <w:r>
        <w:rPr>
          <w:rFonts w:ascii="Arial" w:cs="Arial" w:eastAsia="Arial" w:hAnsi="Arial"/>
          <w:sz w:val="18"/>
          <w:szCs w:val="18"/>
          <w:u w:val="single" w:color="auto"/>
          <w:color w:val="auto"/>
        </w:rPr>
        <w:t>Section 9.02</w:t>
      </w:r>
      <w:r>
        <w:rPr>
          <w:rFonts w:ascii="Arial" w:cs="Arial" w:eastAsia="Arial" w:hAnsi="Arial"/>
          <w:sz w:val="18"/>
          <w:szCs w:val="18"/>
          <w:color w:val="auto"/>
        </w:rPr>
        <w:t>) or sent by overnight courier (providing proof of delivery) to the Parties at the following addresses (or at such other address for a Party as shall be specified by like notice):</w:t>
      </w:r>
    </w:p>
    <w:p>
      <w:pPr>
        <w:spacing w:after="0" w:line="217" w:lineRule="exact"/>
        <w:rPr>
          <w:sz w:val="20"/>
          <w:szCs w:val="20"/>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Rent the Runway, Inc.</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Attention:    ***</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3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Davis Polk &amp; Wardwell LLP</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to Lender, to:</w:t>
      </w: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CHS US Investments LLC</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with copies (which shall not constitute notice) to:</w:t>
      </w: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Proskauer Rose LLP</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300" w:right="1059"/>
        <w:spacing w:after="0" w:line="301"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Expenses</w:t>
      </w:r>
      <w:r>
        <w:rPr>
          <w:rFonts w:ascii="Arial" w:cs="Arial" w:eastAsia="Arial" w:hAnsi="Arial"/>
          <w:sz w:val="17"/>
          <w:szCs w:val="17"/>
          <w:color w:val="auto"/>
        </w:rPr>
        <w:t>. Except to the extent set forth in Section 12.4 of the Existing Credit Agreement, each Party shall pay its own fees and expenses in connection with the Transactions.</w:t>
      </w:r>
    </w:p>
    <w:p>
      <w:pPr>
        <w:spacing w:after="0" w:line="23"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72"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all of which shall be considered one and the same agreement and shall become effective when one or more counterparts have been signed by each of the Parties and delivered to the other Party. Delivery of an executed counterpart of a signature page to this Agreement by “.pdf” format, scanned pages or electronic signature shall be effective as delivery of a manually executed counterpart to this Agreement.</w:t>
      </w:r>
    </w:p>
    <w:p>
      <w:pPr>
        <w:spacing w:after="0" w:line="6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The Transaction Documents (including the schedules and exhibits hereto), taken together with the Company Disclosure Letter, constitute the entire agreement, and supersede all prior agreements, understandings and representations, both written and oral, between the Parties with respect to the Transactions. This Agreement (including the documents and instruments referred to herein) is not intended to, and does not, confer upon any Person other than the parties hereto any rights or remedies hereunder, including the right to rely upon the representations and warranties set forth in this Agreement, except as otherwise specifically provided in </w:t>
      </w:r>
      <w:r>
        <w:rPr>
          <w:rFonts w:ascii="Arial" w:cs="Arial" w:eastAsia="Arial" w:hAnsi="Arial"/>
          <w:sz w:val="18"/>
          <w:szCs w:val="18"/>
          <w:u w:val="single" w:color="auto"/>
          <w:color w:val="auto"/>
        </w:rPr>
        <w:t>Section 6.06</w:t>
      </w:r>
      <w:r>
        <w:rPr>
          <w:rFonts w:ascii="Arial" w:cs="Arial" w:eastAsia="Arial" w:hAnsi="Arial"/>
          <w:sz w:val="18"/>
          <w:szCs w:val="18"/>
          <w:color w:val="auto"/>
        </w:rPr>
        <w:t>, which is intended to benefit each Indemnified Person.</w:t>
      </w:r>
    </w:p>
    <w:p>
      <w:pPr>
        <w:spacing w:after="0" w:line="72"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under this Agreement shall be assigned, in whole or in part, by operation of law or otherwise by any of the Parties without the prior written consent of the other Party, except that Lender may, upon prior written notice to the Company, assign, in its sole discretion, any or all of its rights, interests and obligations under this Agreement to any Affiliate of Lender, so long as Lender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 Notwithstanding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499"/>
        <w:spacing w:after="0" w:line="253" w:lineRule="auto"/>
        <w:rPr>
          <w:sz w:val="20"/>
          <w:szCs w:val="20"/>
          <w:color w:val="auto"/>
        </w:rPr>
      </w:pPr>
      <w:r>
        <w:rPr>
          <w:rFonts w:ascii="Arial" w:cs="Arial" w:eastAsia="Arial" w:hAnsi="Arial"/>
          <w:sz w:val="18"/>
          <w:szCs w:val="18"/>
          <w:color w:val="auto"/>
        </w:rPr>
        <w:t>anything in this Agreement, the Existing Credit Agreement or the New Credit Agreement to the contrary, the Company hereby consents to the assignment after the Closing by Lender of New Term Loans to the Investor Group in accordance with the terms of the Debt and Equity Purchase Agreement.</w:t>
      </w:r>
    </w:p>
    <w:p>
      <w:pPr>
        <w:spacing w:after="0" w:line="61"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Enforcement; Exclusive Jurisdiction; Waiver of Jury Trial</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53" w:lineRule="auto"/>
        <w:rPr>
          <w:sz w:val="20"/>
          <w:szCs w:val="20"/>
          <w:color w:val="auto"/>
        </w:rPr>
      </w:pPr>
      <w:r>
        <w:rPr>
          <w:rFonts w:ascii="Arial" w:cs="Arial" w:eastAsia="Arial" w:hAnsi="Arial"/>
          <w:sz w:val="17"/>
          <w:szCs w:val="17"/>
          <w:color w:val="auto"/>
        </w:rPr>
        <w:t xml:space="preserve">(a)  Subject to </w:t>
      </w:r>
      <w:r>
        <w:rPr>
          <w:rFonts w:ascii="Arial" w:cs="Arial" w:eastAsia="Arial" w:hAnsi="Arial"/>
          <w:sz w:val="17"/>
          <w:szCs w:val="17"/>
          <w:u w:val="single" w:color="auto"/>
          <w:color w:val="auto"/>
        </w:rPr>
        <w:t>Section 8.02(b)(vi)</w:t>
      </w:r>
      <w:r>
        <w:rPr>
          <w:rFonts w:ascii="Arial" w:cs="Arial" w:eastAsia="Arial" w:hAnsi="Arial"/>
          <w:sz w:val="17"/>
          <w:szCs w:val="17"/>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62"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72" w:lineRule="exact"/>
        <w:rPr>
          <w:sz w:val="20"/>
          <w:szCs w:val="20"/>
          <w:color w:val="auto"/>
        </w:rPr>
      </w:pPr>
    </w:p>
    <w:p>
      <w:pPr>
        <w:ind w:left="660" w:right="859"/>
        <w:spacing w:after="0" w:line="247" w:lineRule="auto"/>
        <w:rPr>
          <w:sz w:val="20"/>
          <w:szCs w:val="20"/>
          <w:color w:val="auto"/>
        </w:rPr>
      </w:pPr>
      <w:r>
        <w:rPr>
          <w:rFonts w:ascii="Arial" w:cs="Arial" w:eastAsia="Arial" w:hAnsi="Arial"/>
          <w:sz w:val="18"/>
          <w:szCs w:val="18"/>
          <w:color w:val="auto"/>
        </w:rPr>
        <w:t>(c)  EACH OF THE PARTIES HEREBY KNOWINGLY, INTENTIONALLY AND VOLUNTARILY IRREVOCABLY WAIVES ANY AND ALL RIGHTS TO TRIAL BY JURY IN ANY LEGAL PROCEEDING ARISING OUT OF OR RELATED TO THIS AGREEMENT OR THE TRANSACTIONS.</w:t>
      </w:r>
    </w:p>
    <w:p>
      <w:pPr>
        <w:spacing w:after="0" w:line="66"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No Impairment</w:t>
      </w:r>
      <w:r>
        <w:rPr>
          <w:rFonts w:ascii="Arial" w:cs="Arial" w:eastAsia="Arial" w:hAnsi="Arial"/>
          <w:sz w:val="18"/>
          <w:szCs w:val="18"/>
          <w:color w:val="auto"/>
        </w:rPr>
        <w:t>. Notwithstanding anything to the contrary herein, nothing contained in this Agreement (including the termination hereof) shall affect, limit or impair the rights and remedies of Lender in its capacity as a lender to the Company or any of its Subsidiaries pursuant to the Existing Credit Agreement, the Existing Loan Documents, any other loan agreement under which the Company or any of its Subsidiaries has borrowed money from such Lender or any other documents delivered in connection with or related to any of the foregoing. Without limiting the generality of the foregoing, neither Lender nor Existing Agent, in exercising its rights as a lender or agent, will have any duty to consider the interests of the Company or any duty it may have to any direct or indirect equityholder of the Company or other Person, except as may be required under the applicable loan documents or by commercial law applicable to creditors generally.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(a)  Effective as of the Closing (but only if the Closing actually occurs), except for (i) a claim for fraud, willful misconduct or violation of Law, (ii) any rights or claims under the Existing Credit Agreement or the Existing Loan Documents, or (iii) any rights or claims under any of the Transaction Documents, Lender, on behalf of itself and each of its Affiliates and each of its and their respective past and present officers, directors and employees (collectively, but excluding the Company and its Subsidiaries, the “</w:t>
      </w:r>
      <w:r>
        <w:rPr>
          <w:rFonts w:ascii="Arial" w:cs="Arial" w:eastAsia="Arial" w:hAnsi="Arial"/>
          <w:sz w:val="18"/>
          <w:szCs w:val="18"/>
          <w:u w:val="single" w:color="auto"/>
          <w:color w:val="auto"/>
        </w:rPr>
        <w:t>Lender Releasing Parties</w:t>
      </w:r>
      <w:r>
        <w:rPr>
          <w:rFonts w:ascii="Arial" w:cs="Arial" w:eastAsia="Arial" w:hAnsi="Arial"/>
          <w:sz w:val="18"/>
          <w:szCs w:val="18"/>
          <w:color w:val="auto"/>
        </w:rPr>
        <w:t>”), to the fullest extent permitted under applicable Laws, hereby irrevocably and unconditionally releases and forever discharges the Company and its Affiliates, and each of the foregoing’s respective past and present officers, directors and employees (collectively, but excluding Lender and its Subsidiaries, the “</w:t>
      </w:r>
      <w:r>
        <w:rPr>
          <w:rFonts w:ascii="Arial" w:cs="Arial" w:eastAsia="Arial" w:hAnsi="Arial"/>
          <w:sz w:val="18"/>
          <w:szCs w:val="18"/>
          <w:u w:val="single" w:color="auto"/>
          <w:color w:val="auto"/>
        </w:rPr>
        <w:t>Company Released Parties</w:t>
      </w:r>
      <w:r>
        <w:rPr>
          <w:rFonts w:ascii="Arial" w:cs="Arial" w:eastAsia="Arial" w:hAnsi="Arial"/>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which the Lender Releasing Parties may have against each of the Company Released Parties, now or in the future, in each case in respect of any cause, matter or thing relating to the Company or the business of the Company and its Subsidiaries or any actions taken or failed to be taken by any of the Company Released Parties in any capacity relating to the Company or the business of the Company and its Subsidiaries occurring on or arising prior to the Closing Date.</w:t>
      </w:r>
    </w:p>
    <w:p>
      <w:pPr>
        <w:spacing w:after="0" w:line="76" w:lineRule="exact"/>
        <w:rPr>
          <w:sz w:val="20"/>
          <w:szCs w:val="20"/>
          <w:color w:val="auto"/>
        </w:rPr>
      </w:pPr>
    </w:p>
    <w:p>
      <w:pPr>
        <w:ind w:left="660" w:right="359"/>
        <w:spacing w:after="0" w:line="237" w:lineRule="auto"/>
        <w:rPr>
          <w:sz w:val="20"/>
          <w:szCs w:val="20"/>
          <w:color w:val="auto"/>
        </w:rPr>
      </w:pPr>
      <w:r>
        <w:rPr>
          <w:rFonts w:ascii="Arial" w:cs="Arial" w:eastAsia="Arial" w:hAnsi="Arial"/>
          <w:sz w:val="18"/>
          <w:szCs w:val="18"/>
          <w:color w:val="auto"/>
        </w:rPr>
        <w:t>(b)  Effective as of the Closing (but only if the Closing actually occurs), except for (i) a claim for fraud, willful misconduct or violation of Law, (ii) any rights or claims under the Existing Credit Agreement or the Existing Loan Documents, or (iii) any rights or claims under any of the Transaction Documents, the Company, on behalf of itself and each of its Affiliates and each of its and their respective past and present officers, directors and employees (collectively, but excluding Lender and its Subsidiaries, the “</w:t>
      </w:r>
      <w:r>
        <w:rPr>
          <w:rFonts w:ascii="Arial" w:cs="Arial" w:eastAsia="Arial" w:hAnsi="Arial"/>
          <w:sz w:val="18"/>
          <w:szCs w:val="18"/>
          <w:u w:val="single" w:color="auto"/>
          <w:color w:val="auto"/>
        </w:rPr>
        <w:t>Company Releasing Parties</w:t>
      </w:r>
      <w:r>
        <w:rPr>
          <w:rFonts w:ascii="Arial" w:cs="Arial" w:eastAsia="Arial" w:hAnsi="Arial"/>
          <w:sz w:val="18"/>
          <w:szCs w:val="18"/>
          <w:color w:val="auto"/>
        </w:rPr>
        <w:t>”), to the fullest extent permitted under applicable Laws, hereby irrevocably and unconditionally releases and forever discharges Lender and its Affiliates, and each of the foregoing’s respective past and present officers, directors and employees (collectively, but excluding the Company and its Subsidiaries, the “</w:t>
      </w:r>
      <w:r>
        <w:rPr>
          <w:rFonts w:ascii="Arial" w:cs="Arial" w:eastAsia="Arial" w:hAnsi="Arial"/>
          <w:sz w:val="18"/>
          <w:szCs w:val="18"/>
          <w:u w:val="single" w:color="auto"/>
          <w:color w:val="auto"/>
        </w:rPr>
        <w:t>Lender Released Parties</w:t>
      </w:r>
      <w:r>
        <w:rPr>
          <w:rFonts w:ascii="Arial" w:cs="Arial" w:eastAsia="Arial" w:hAnsi="Arial"/>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which the Company Releasing Parties may have against each of the Lender Released Parties, now or in the future, in each case in respect of any cause, matter or thing relating to the Company or the business of the Company and its Subsidiaries or any actions taken or failed to be taken by any of the Lender Released Parties in any capacity relating to the Company or the business of the Company and its Subsidiaries occurring on or arising prior to the Closing Date.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No Other Representations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(a)  The Company does not make, and has not made, any representations or warranties in connection with the Exchange Transactions and the other Transactions other than those expressly set forth herein (as qualified by the related portions of the Company Disclosure Letter), the other Transaction Documents or in any certificate delivered by the Company pursuant to the foregoing. Except as expressly set forth herein (as qualified by the related portions of the Company Disclosure Letter), the other Transaction Documents or in any certificate delivered by the Company pursuant to the foregoing, no person has been authorized by the Company to make any representation or warranty relating to the Company or its business, or otherwise in connection with the Exchange Transactions and the other Transactions, and, if made, such representation or warranty may not be relied upon as having been authorized by the Company. With respect to Lender, the Company is not relying on any representations or warranties of Lender, or the accuracy or completeness thereof, except as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the other Transaction Documents or in any certificate delivered by the Company pursuant to the foregoing.</w:t>
      </w:r>
    </w:p>
    <w:p>
      <w:pPr>
        <w:spacing w:after="0" w:line="72" w:lineRule="exact"/>
        <w:rPr>
          <w:sz w:val="20"/>
          <w:szCs w:val="20"/>
          <w:color w:val="auto"/>
        </w:rPr>
      </w:pPr>
    </w:p>
    <w:p>
      <w:pPr>
        <w:ind w:left="660" w:right="379"/>
        <w:spacing w:after="0" w:line="271" w:lineRule="auto"/>
        <w:rPr>
          <w:sz w:val="20"/>
          <w:szCs w:val="20"/>
          <w:color w:val="auto"/>
        </w:rPr>
      </w:pPr>
      <w:r>
        <w:rPr>
          <w:rFonts w:ascii="Arial" w:cs="Arial" w:eastAsia="Arial" w:hAnsi="Arial"/>
          <w:sz w:val="18"/>
          <w:szCs w:val="18"/>
          <w:color w:val="auto"/>
        </w:rPr>
        <w:t>(b)  Lender does not make, and has not made, any representations or warranties in connection with the Exchange Transactions and the other Transactions other than those expressly set forth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59"/>
        <w:spacing w:after="0" w:line="255" w:lineRule="auto"/>
        <w:rPr>
          <w:sz w:val="20"/>
          <w:szCs w:val="20"/>
          <w:color w:val="auto"/>
        </w:rPr>
      </w:pPr>
      <w:r>
        <w:rPr>
          <w:rFonts w:ascii="Arial" w:cs="Arial" w:eastAsia="Arial" w:hAnsi="Arial"/>
          <w:sz w:val="17"/>
          <w:szCs w:val="17"/>
          <w:color w:val="auto"/>
        </w:rPr>
        <w:t xml:space="preserve">herein, the other Transaction Documents or in any certificate delivered by Lender pursuant to the foregoing. Except as expressly set forth herein, the other Transaction Documents or in any certificate delivered by Lender pursuant to the foregoing, no person has been authorized by Lender to make any representation or warranty relating to Lender or its business, or otherwise in connection with the Exchange Transactions and the other Transactions, and, if made, such representation or warranty may not be relied upon as having been authorized by Lender. With respect to the Company, Lender, on behalf of itself and its Affiliates, is not relying on any representations or warranties of the Company, or the accuracy or completeness thereof, except as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the other Transaction Documents or in any certificate delivered by Lender pursuant to the foregoing.</w:t>
      </w:r>
    </w:p>
    <w:p>
      <w:pPr>
        <w:spacing w:after="0" w:line="61"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(c)  In connection with Lender’s investigation of the Company, Lender has received from the Company and its Representatives certain projections and other forecasts and certain business plan information of the Company and its Subsidiaries. Lender acknowledges that there are uncertainties inherent in attempting to make such projections and other forecasts and plans and accordingly is not relying on them, that Lender is familiar with such uncertainties, that Lender is taking full responsibility for making its own evaluation of the adequacy and accuracy of all projections and other forecasts and plans so furnished to it, and that Lender and its Representatives will have no claim against any person with respect thereto. Accordingly, Lender acknowledges that, without limiting the generality of this </w:t>
      </w:r>
      <w:r>
        <w:rPr>
          <w:rFonts w:ascii="Arial" w:cs="Arial" w:eastAsia="Arial" w:hAnsi="Arial"/>
          <w:sz w:val="18"/>
          <w:szCs w:val="18"/>
          <w:u w:val="single" w:color="auto"/>
          <w:color w:val="auto"/>
        </w:rPr>
        <w:t>Section 9.12(c)</w:t>
      </w:r>
      <w:r>
        <w:rPr>
          <w:rFonts w:ascii="Arial" w:cs="Arial" w:eastAsia="Arial" w:hAnsi="Arial"/>
          <w:sz w:val="18"/>
          <w:szCs w:val="18"/>
          <w:color w:val="auto"/>
        </w:rPr>
        <w:t>, neither the Company nor any person acting on behalf of the Company has made any representation or warranty with respect to such projections and other forecasts and plans. Lender acknowledges that it has had the opportunity to conduct an independent investigation regarding the Company and its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IN WITNESS WHEREOF, the Parties have duly executed and delivered this Agreement, all as of the date first written above.</w:t>
      </w:r>
    </w:p>
    <w:p>
      <w:pPr>
        <w:spacing w:after="0" w:line="12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Rent the Runway, Inc.</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8"/>
          <w:szCs w:val="18"/>
          <w:color w:val="auto"/>
        </w:rPr>
        <w:t>By</w:t>
        <w:tab/>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69215</wp:posOffset>
            </wp:positionV>
            <wp:extent cx="2554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5" w:lineRule="exact"/>
        <w:rPr>
          <w:sz w:val="20"/>
          <w:szCs w:val="20"/>
          <w:color w:val="auto"/>
        </w:rPr>
      </w:pPr>
    </w:p>
    <w:p>
      <w:pPr>
        <w:ind w:left="4580"/>
        <w:spacing w:after="0"/>
        <w:tabs>
          <w:tab w:leader="none" w:pos="5320" w:val="left"/>
        </w:tabs>
        <w:rPr>
          <w:sz w:val="20"/>
          <w:szCs w:val="20"/>
          <w:color w:val="auto"/>
        </w:rPr>
      </w:pPr>
      <w:r>
        <w:rPr>
          <w:rFonts w:ascii="Arial" w:cs="Arial" w:eastAsia="Arial" w:hAnsi="Arial"/>
          <w:sz w:val="18"/>
          <w:szCs w:val="18"/>
          <w:color w:val="auto"/>
        </w:rPr>
        <w:t>Name:</w:t>
        <w:tab/>
        <w:t>Siddharth Thacker</w:t>
      </w:r>
    </w:p>
    <w:p>
      <w:pPr>
        <w:sectPr>
          <w:pgSz w:w="11900" w:h="16838" w:orient="portrait"/>
          <w:cols w:equalWidth="0" w:num="1">
            <w:col w:w="9019"/>
          </w:cols>
          <w:pgMar w:left="1440" w:top="263" w:right="1440" w:bottom="1440" w:gutter="0" w:footer="0" w:header="0"/>
        </w:sectPr>
      </w:pPr>
    </w:p>
    <w:p>
      <w:pPr>
        <w:spacing w:after="0" w:line="18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sectPr>
          <w:pgSz w:w="11900" w:h="16838" w:orient="portrait"/>
          <w:cols w:equalWidth="0" w:num="2">
            <w:col w:w="4960" w:space="380"/>
            <w:col w:w="3679"/>
          </w:cols>
          <w:pgMar w:left="1440" w:top="263" w:right="1440" w:bottom="1440" w:gutter="0" w:footer="0" w:header="0"/>
          <w:type w:val="continuous"/>
        </w:sectPr>
      </w:pPr>
    </w:p>
    <w:p>
      <w:pPr>
        <w:ind w:left="4100"/>
        <w:spacing w:after="0"/>
        <w:rPr>
          <w:sz w:val="20"/>
          <w:szCs w:val="20"/>
          <w:color w:val="auto"/>
        </w:rPr>
      </w:pPr>
      <w:r>
        <w:rPr>
          <w:rFonts w:ascii="Arial" w:cs="Arial" w:eastAsia="Arial" w:hAnsi="Arial"/>
          <w:sz w:val="18"/>
          <w:szCs w:val="18"/>
          <w:color w:val="auto"/>
        </w:rPr>
        <w:t>CHS US INVESTMENTS LLC</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8"/>
          <w:szCs w:val="18"/>
          <w:color w:val="auto"/>
        </w:rPr>
        <w:t>By:</w:t>
        <w:tab/>
        <w:t>CHS GP LP, as manager</w:t>
      </w:r>
    </w:p>
    <w:p>
      <w:pPr>
        <w:spacing w:after="0" w:line="185"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7"/>
          <w:szCs w:val="17"/>
          <w:color w:val="auto"/>
        </w:rPr>
        <w:t>By:</w:t>
        <w:tab/>
        <w:t>CHS UGP LLC, as general partner</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8"/>
          <w:szCs w:val="18"/>
          <w:color w:val="auto"/>
        </w:rPr>
        <w:t>By</w:t>
        <w:tab/>
        <w:t>/s/ Brady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69215</wp:posOffset>
            </wp:positionV>
            <wp:extent cx="25546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5" w:lineRule="exact"/>
        <w:rPr>
          <w:sz w:val="20"/>
          <w:szCs w:val="20"/>
          <w:color w:val="auto"/>
        </w:rPr>
      </w:pPr>
    </w:p>
    <w:p>
      <w:pPr>
        <w:ind w:left="4580"/>
        <w:spacing w:after="0"/>
        <w:tabs>
          <w:tab w:leader="none" w:pos="5320" w:val="left"/>
        </w:tabs>
        <w:rPr>
          <w:sz w:val="20"/>
          <w:szCs w:val="20"/>
          <w:color w:val="auto"/>
        </w:rPr>
      </w:pPr>
      <w:r>
        <w:rPr>
          <w:rFonts w:ascii="Arial" w:cs="Arial" w:eastAsia="Arial" w:hAnsi="Arial"/>
          <w:sz w:val="18"/>
          <w:szCs w:val="18"/>
          <w:color w:val="auto"/>
        </w:rPr>
        <w:t>Name:</w:t>
        <w:tab/>
        <w:t>Brady Schuck</w:t>
      </w:r>
    </w:p>
    <w:p>
      <w:pPr>
        <w:spacing w:after="0" w:line="185" w:lineRule="exact"/>
        <w:rPr>
          <w:sz w:val="20"/>
          <w:szCs w:val="20"/>
          <w:color w:val="auto"/>
        </w:rPr>
      </w:pPr>
    </w:p>
    <w:p>
      <w:pPr>
        <w:ind w:left="4580"/>
        <w:spacing w:after="0"/>
        <w:tabs>
          <w:tab w:leader="none" w:pos="5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Exchange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Schedule 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w:t>
      </w:r>
    </w:p>
    <w:p>
      <w:pPr>
        <w:jc w:val="right"/>
        <w:ind w:right="3739"/>
        <w:spacing w:after="0"/>
        <w:rPr>
          <w:sz w:val="20"/>
          <w:szCs w:val="20"/>
          <w:color w:val="auto"/>
        </w:rPr>
      </w:pPr>
      <w:r>
        <w:rPr>
          <w:rFonts w:ascii="Arial" w:cs="Arial" w:eastAsia="Arial" w:hAnsi="Arial"/>
          <w:sz w:val="18"/>
          <w:szCs w:val="18"/>
          <w:u w:val="single" w:color="auto"/>
          <w:color w:val="auto"/>
        </w:rPr>
        <w:t>Proxy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Schedule B</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ind w:left="3720"/>
        <w:spacing w:after="0"/>
        <w:rPr>
          <w:sz w:val="20"/>
          <w:szCs w:val="20"/>
          <w:color w:val="auto"/>
        </w:rPr>
      </w:pPr>
      <w:r>
        <w:rPr>
          <w:rFonts w:ascii="Arial" w:cs="Arial" w:eastAsia="Arial" w:hAnsi="Arial"/>
          <w:sz w:val="18"/>
          <w:szCs w:val="18"/>
          <w:color w:val="auto"/>
        </w:rPr>
        <w:t>Post-Closing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5349240" cy="23444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49240" cy="2344420"/>
                    </a:xfrm>
                    <a:prstGeom prst="rect">
                      <a:avLst/>
                    </a:prstGeom>
                    <a:noFill/>
                  </pic:spPr>
                </pic:pic>
              </a:graphicData>
            </a:graphic>
          </wp:anchor>
        </w:drawing>
      </w:r>
    </w:p>
    <w:p>
      <w:pPr>
        <w:spacing w:after="0" w:line="214" w:lineRule="exact"/>
        <w:rPr>
          <w:sz w:val="20"/>
          <w:szCs w:val="20"/>
          <w:color w:val="auto"/>
        </w:rPr>
      </w:pPr>
    </w:p>
    <w:p>
      <w:pPr>
        <w:ind w:left="640"/>
        <w:spacing w:after="0"/>
        <w:tabs>
          <w:tab w:leader="none" w:pos="46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Director</w:t>
      </w:r>
    </w:p>
    <w:p>
      <w:pPr>
        <w:spacing w:after="0" w:line="51" w:lineRule="exact"/>
        <w:rPr>
          <w:sz w:val="20"/>
          <w:szCs w:val="20"/>
          <w:color w:val="auto"/>
        </w:rPr>
      </w:pPr>
    </w:p>
    <w:p>
      <w:pPr>
        <w:ind w:left="1300" w:hanging="558"/>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Jennifer Y. Hyman</w:t>
      </w:r>
    </w:p>
    <w:p>
      <w:pPr>
        <w:spacing w:after="0" w:line="42" w:lineRule="exact"/>
        <w:rPr>
          <w:sz w:val="20"/>
          <w:szCs w:val="20"/>
          <w:color w:val="auto"/>
        </w:rPr>
      </w:pPr>
    </w:p>
    <w:p>
      <w:pPr>
        <w:ind w:left="1420" w:right="659" w:hanging="678"/>
        <w:spacing w:after="0" w:line="253"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Incumbent member of the Company Board to be selected by Jennifer Y. Hyman prior to the Closing and approved by the Investor Majority (as defined in the Investor Rights Agreement)</w:t>
      </w:r>
    </w:p>
    <w:p>
      <w:pPr>
        <w:spacing w:after="0" w:line="22" w:lineRule="exact"/>
        <w:rPr>
          <w:sz w:val="20"/>
          <w:szCs w:val="20"/>
          <w:color w:val="auto"/>
        </w:rPr>
      </w:pPr>
    </w:p>
    <w:p>
      <w:pPr>
        <w:ind w:left="1300" w:hanging="558"/>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Damian Giangiacomo (Nexus Director)</w:t>
      </w:r>
    </w:p>
    <w:p>
      <w:pPr>
        <w:spacing w:after="0" w:line="42" w:lineRule="exact"/>
        <w:rPr>
          <w:sz w:val="20"/>
          <w:szCs w:val="20"/>
          <w:color w:val="auto"/>
        </w:rPr>
      </w:pPr>
    </w:p>
    <w:p>
      <w:pPr>
        <w:ind w:left="1420" w:hanging="678"/>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Peter Comisar (Story3 Director)</w:t>
      </w:r>
    </w:p>
    <w:p>
      <w:pPr>
        <w:spacing w:after="0" w:line="64" w:lineRule="exact"/>
        <w:rPr>
          <w:sz w:val="20"/>
          <w:szCs w:val="20"/>
          <w:color w:val="auto"/>
        </w:rPr>
      </w:pPr>
    </w:p>
    <w:p>
      <w:pPr>
        <w:ind w:left="1300" w:hanging="558"/>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Independent director to be selected by the Investor Majority prior to the Closing</w:t>
      </w:r>
    </w:p>
    <w:p>
      <w:pPr>
        <w:spacing w:after="0" w:line="42" w:lineRule="exact"/>
        <w:rPr>
          <w:sz w:val="20"/>
          <w:szCs w:val="20"/>
          <w:color w:val="auto"/>
        </w:rPr>
      </w:pPr>
    </w:p>
    <w:p>
      <w:pPr>
        <w:ind w:left="1420" w:hanging="678"/>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 to be selected by the Investor Majority prior to the Closing</w:t>
      </w:r>
    </w:p>
    <w:p>
      <w:pPr>
        <w:spacing w:after="0" w:line="18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7Independent director to be selected by the Investor Majority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B</w:t>
      </w:r>
    </w:p>
    <w:p>
      <w:pPr>
        <w:spacing w:after="0" w:line="104" w:lineRule="exact"/>
        <w:rPr>
          <w:sz w:val="20"/>
          <w:szCs w:val="20"/>
          <w:color w:val="auto"/>
        </w:rPr>
      </w:pPr>
    </w:p>
    <w:p>
      <w:pPr>
        <w:ind w:left="300" w:right="479"/>
        <w:spacing w:after="0" w:line="269" w:lineRule="auto"/>
        <w:rPr>
          <w:sz w:val="20"/>
          <w:szCs w:val="20"/>
          <w:color w:val="auto"/>
        </w:rPr>
      </w:pPr>
      <w:r>
        <w:rPr>
          <w:rFonts w:ascii="Arial" w:cs="Arial" w:eastAsia="Arial" w:hAnsi="Arial"/>
          <w:sz w:val="17"/>
          <w:szCs w:val="17"/>
          <w:b w:val="1"/>
          <w:bCs w:val="1"/>
          <w:color w:val="auto"/>
        </w:rPr>
        <w:t>THIS CREDIT AGREEMENT AND THE RIGHTS AND OBLIGATIONS EVIDENCED HEREBY MAY BECOME SUBORDINATE IN THE MANNER AND TO THE EXTENT SET FORTH IN THE SPECIFIED SUBORDINATION AGREEMENT (AS HEREINAFTER DEFINED) TO THE OBLIGATIONS OWED BY BORROWER UNDER ANY SENIOR CREDIT AGREEMENT (AS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2181225</wp:posOffset>
            </wp:positionV>
            <wp:extent cx="5349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 </w:t>
      </w:r>
    </w:p>
    <w:p>
      <w:pPr>
        <w:ind w:left="3300"/>
        <w:spacing w:after="0" w:line="234" w:lineRule="auto"/>
        <w:rPr>
          <w:sz w:val="20"/>
          <w:szCs w:val="20"/>
          <w:color w:val="auto"/>
        </w:rPr>
      </w:pPr>
      <w:r>
        <w:rPr>
          <w:rFonts w:ascii="Arial" w:cs="Arial" w:eastAsia="Arial" w:hAnsi="Arial"/>
          <w:sz w:val="18"/>
          <w:szCs w:val="18"/>
          <w:b w:val="1"/>
          <w:bCs w:val="1"/>
          <w:color w:val="auto"/>
        </w:rPr>
        <w:t>DATED AS OF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-15240</wp:posOffset>
            </wp:positionV>
            <wp:extent cx="3429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3780"/>
        <w:spacing w:after="0" w:line="235" w:lineRule="auto"/>
        <w:rPr>
          <w:sz w:val="20"/>
          <w:szCs w:val="20"/>
          <w:color w:val="auto"/>
        </w:rPr>
      </w:pPr>
      <w:r>
        <w:rPr>
          <w:rFonts w:ascii="Arial" w:cs="Arial" w:eastAsia="Arial" w:hAnsi="Arial"/>
          <w:sz w:val="18"/>
          <w:szCs w:val="18"/>
          <w:b w:val="1"/>
          <w:bCs w:val="1"/>
          <w:color w:val="auto"/>
        </w:rPr>
        <w:t>BY AND AMONG</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3360"/>
        <w:spacing w:after="0" w:line="235" w:lineRule="auto"/>
        <w:rPr>
          <w:sz w:val="20"/>
          <w:szCs w:val="20"/>
          <w:color w:val="auto"/>
        </w:rPr>
      </w:pPr>
      <w:r>
        <w:rPr>
          <w:rFonts w:ascii="Arial" w:cs="Arial" w:eastAsia="Arial" w:hAnsi="Arial"/>
          <w:sz w:val="18"/>
          <w:szCs w:val="18"/>
          <w:b w:val="1"/>
          <w:bCs w:val="1"/>
          <w:color w:val="auto"/>
        </w:rPr>
        <w:t>RENT THE RUNWAY, INC.,</w:t>
      </w:r>
    </w:p>
    <w:p>
      <w:pPr>
        <w:ind w:left="3780"/>
        <w:spacing w:after="0" w:line="234" w:lineRule="auto"/>
        <w:rPr>
          <w:sz w:val="20"/>
          <w:szCs w:val="20"/>
          <w:color w:val="auto"/>
        </w:rPr>
      </w:pPr>
      <w:r>
        <w:rPr>
          <w:rFonts w:ascii="Arial" w:cs="Arial" w:eastAsia="Arial" w:hAnsi="Arial"/>
          <w:sz w:val="18"/>
          <w:szCs w:val="18"/>
          <w:b w:val="1"/>
          <w:bCs w:val="1"/>
          <w:color w:val="auto"/>
        </w:rPr>
        <w:t>AS BORROWER,</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2180"/>
        <w:spacing w:after="0" w:line="235" w:lineRule="auto"/>
        <w:rPr>
          <w:sz w:val="20"/>
          <w:szCs w:val="20"/>
          <w:color w:val="auto"/>
        </w:rPr>
      </w:pPr>
      <w:r>
        <w:rPr>
          <w:rFonts w:ascii="Arial" w:cs="Arial" w:eastAsia="Arial" w:hAnsi="Arial"/>
          <w:sz w:val="18"/>
          <w:szCs w:val="18"/>
          <w:b w:val="1"/>
          <w:bCs w:val="1"/>
          <w:color w:val="auto"/>
        </w:rPr>
        <w:t>THE LENDERS FROM TIME TO TIME PARTY HERETO,</w:t>
      </w:r>
    </w:p>
    <w:p>
      <w:pPr>
        <w:ind w:left="3900"/>
        <w:spacing w:after="0" w:line="235" w:lineRule="auto"/>
        <w:rPr>
          <w:sz w:val="20"/>
          <w:szCs w:val="20"/>
          <w:color w:val="auto"/>
        </w:rPr>
      </w:pPr>
      <w:r>
        <w:rPr>
          <w:rFonts w:ascii="Arial" w:cs="Arial" w:eastAsia="Arial" w:hAnsi="Arial"/>
          <w:sz w:val="18"/>
          <w:szCs w:val="18"/>
          <w:b w:val="1"/>
          <w:bCs w:val="1"/>
          <w:color w:val="auto"/>
        </w:rPr>
        <w:t>AS LENDERS,</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4300"/>
        <w:spacing w:after="0" w:line="234" w:lineRule="auto"/>
        <w:rPr>
          <w:sz w:val="20"/>
          <w:szCs w:val="20"/>
          <w:color w:val="auto"/>
        </w:rPr>
      </w:pPr>
      <w:r>
        <w:rPr>
          <w:rFonts w:ascii="Arial" w:cs="Arial" w:eastAsia="Arial" w:hAnsi="Arial"/>
          <w:sz w:val="18"/>
          <w:szCs w:val="18"/>
          <w:b w:val="1"/>
          <w:bCs w:val="1"/>
          <w:color w:val="auto"/>
        </w:rPr>
        <w:t>AND</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3200"/>
        <w:spacing w:after="0" w:line="235" w:lineRule="auto"/>
        <w:rPr>
          <w:sz w:val="20"/>
          <w:szCs w:val="20"/>
          <w:color w:val="auto"/>
        </w:rPr>
      </w:pPr>
      <w:r>
        <w:rPr>
          <w:rFonts w:ascii="Arial" w:cs="Arial" w:eastAsia="Arial" w:hAnsi="Arial"/>
          <w:sz w:val="18"/>
          <w:szCs w:val="18"/>
          <w:b w:val="1"/>
          <w:bCs w:val="1"/>
          <w:color w:val="auto"/>
        </w:rPr>
        <w:t>CHS (US) MANAGEMENT LLC,</w:t>
      </w:r>
    </w:p>
    <w:p>
      <w:pPr>
        <w:ind w:left="3260"/>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83"/>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gridSpan w:val="4"/>
          </w:tcPr>
          <w:p>
            <w:pPr>
              <w:jc w:val="right"/>
              <w:ind w:right="120"/>
              <w:spacing w:after="0"/>
              <w:rPr>
                <w:sz w:val="20"/>
                <w:szCs w:val="20"/>
                <w:color w:val="auto"/>
              </w:rPr>
            </w:pPr>
            <w:r>
              <w:rPr>
                <w:rFonts w:ascii="Arial" w:cs="Arial" w:eastAsia="Arial" w:hAnsi="Arial"/>
                <w:sz w:val="18"/>
                <w:szCs w:val="18"/>
                <w:color w:val="auto"/>
              </w:rPr>
              <w:t>Page</w:t>
            </w:r>
          </w:p>
        </w:tc>
      </w:tr>
      <w:tr>
        <w:trPr>
          <w:trHeight w:val="77"/>
        </w:trPr>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1.</w:t>
            </w:r>
          </w:p>
        </w:tc>
        <w:tc>
          <w:tcPr>
            <w:tcW w:w="6060" w:type="dxa"/>
            <w:vAlign w:val="bottom"/>
            <w:gridSpan w:val="32"/>
          </w:tcPr>
          <w:p>
            <w:pPr>
              <w:spacing w:after="0"/>
              <w:rPr>
                <w:sz w:val="20"/>
                <w:szCs w:val="20"/>
                <w:color w:val="auto"/>
              </w:rPr>
            </w:pPr>
            <w:r>
              <w:rPr>
                <w:rFonts w:ascii="Arial" w:cs="Arial" w:eastAsia="Arial" w:hAnsi="Arial"/>
                <w:sz w:val="14"/>
                <w:szCs w:val="14"/>
                <w:color w:val="0000EE"/>
              </w:rPr>
              <w:t>DEFINITIONS.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B-2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Certain Defined Terms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B-2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Other Interpretive Provisions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B-28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Accounting Terms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B-29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Rounding</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Times of Day</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Divisions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Senior Loan Documents and Specified Subordination Agreement</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1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Rates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2.</w:t>
            </w:r>
          </w:p>
        </w:tc>
        <w:tc>
          <w:tcPr>
            <w:tcW w:w="6060" w:type="dxa"/>
            <w:vAlign w:val="bottom"/>
            <w:gridSpan w:val="32"/>
          </w:tcPr>
          <w:p>
            <w:pPr>
              <w:spacing w:after="0"/>
              <w:rPr>
                <w:sz w:val="20"/>
                <w:szCs w:val="20"/>
                <w:color w:val="auto"/>
              </w:rPr>
            </w:pPr>
            <w:r>
              <w:rPr>
                <w:rFonts w:ascii="Arial" w:cs="Arial" w:eastAsia="Arial" w:hAnsi="Arial"/>
                <w:sz w:val="14"/>
                <w:szCs w:val="14"/>
                <w:color w:val="0000EE"/>
              </w:rPr>
              <w:t>TERM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Restatement Date Transactions; Loans and Commitments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1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Accrual of Interest and Maturity; Evidence of Indebtedness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1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Requests for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Disbursement of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Fees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Interest Payments; Default Interest</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Optional Prepayments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Mandatory Repayment of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Application of Payments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2.10</w:t>
            </w:r>
          </w:p>
        </w:tc>
        <w:tc>
          <w:tcPr>
            <w:tcW w:w="5420" w:type="dxa"/>
            <w:vAlign w:val="bottom"/>
            <w:gridSpan w:val="28"/>
          </w:tcPr>
          <w:p>
            <w:pPr>
              <w:spacing w:after="0"/>
              <w:rPr>
                <w:sz w:val="20"/>
                <w:szCs w:val="20"/>
                <w:color w:val="auto"/>
              </w:rPr>
            </w:pPr>
            <w:r>
              <w:rPr>
                <w:rFonts w:ascii="Arial" w:cs="Arial" w:eastAsia="Arial" w:hAnsi="Arial"/>
                <w:sz w:val="14"/>
                <w:szCs w:val="14"/>
                <w:color w:val="0000EE"/>
              </w:rPr>
              <w:t>Use of Proceeds of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2.11</w:t>
            </w: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Incremental Facilities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2.12</w:t>
            </w:r>
          </w:p>
        </w:tc>
        <w:tc>
          <w:tcPr>
            <w:tcW w:w="5420" w:type="dxa"/>
            <w:vAlign w:val="bottom"/>
            <w:gridSpan w:val="28"/>
          </w:tcPr>
          <w:p>
            <w:pPr>
              <w:spacing w:after="0"/>
              <w:rPr>
                <w:sz w:val="20"/>
                <w:szCs w:val="20"/>
                <w:color w:val="auto"/>
              </w:rPr>
            </w:pPr>
            <w:r>
              <w:rPr>
                <w:rFonts w:ascii="Arial" w:cs="Arial" w:eastAsia="Arial" w:hAnsi="Arial"/>
                <w:sz w:val="14"/>
                <w:szCs w:val="14"/>
                <w:color w:val="0000EE"/>
              </w:rPr>
              <w:t>SOFR Option</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2.13</w:t>
            </w:r>
          </w:p>
        </w:tc>
        <w:tc>
          <w:tcPr>
            <w:tcW w:w="5420" w:type="dxa"/>
            <w:vAlign w:val="bottom"/>
            <w:gridSpan w:val="28"/>
          </w:tcPr>
          <w:p>
            <w:pPr>
              <w:spacing w:after="0"/>
              <w:rPr>
                <w:sz w:val="20"/>
                <w:szCs w:val="20"/>
                <w:color w:val="auto"/>
              </w:rPr>
            </w:pPr>
            <w:r>
              <w:rPr>
                <w:rFonts w:ascii="Arial" w:cs="Arial" w:eastAsia="Arial" w:hAnsi="Arial"/>
                <w:sz w:val="14"/>
                <w:szCs w:val="14"/>
                <w:color w:val="0000EE"/>
              </w:rPr>
              <w:t>Funding Losses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2.14</w:t>
            </w:r>
          </w:p>
        </w:tc>
        <w:tc>
          <w:tcPr>
            <w:tcW w:w="5420" w:type="dxa"/>
            <w:vAlign w:val="bottom"/>
            <w:gridSpan w:val="28"/>
          </w:tcPr>
          <w:p>
            <w:pPr>
              <w:spacing w:after="0"/>
              <w:rPr>
                <w:sz w:val="20"/>
                <w:szCs w:val="20"/>
                <w:color w:val="auto"/>
              </w:rPr>
            </w:pPr>
            <w:r>
              <w:rPr>
                <w:rFonts w:ascii="Arial" w:cs="Arial" w:eastAsia="Arial" w:hAnsi="Arial"/>
                <w:sz w:val="14"/>
                <w:szCs w:val="14"/>
                <w:color w:val="0000EE"/>
              </w:rPr>
              <w:t>Impracticability or Illegality</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3.</w:t>
            </w:r>
          </w:p>
        </w:tc>
        <w:tc>
          <w:tcPr>
            <w:tcW w:w="6060" w:type="dxa"/>
            <w:vAlign w:val="bottom"/>
            <w:gridSpan w:val="32"/>
          </w:tcPr>
          <w:p>
            <w:pPr>
              <w:spacing w:after="0"/>
              <w:rPr>
                <w:sz w:val="20"/>
                <w:szCs w:val="20"/>
                <w:color w:val="auto"/>
              </w:rPr>
            </w:pPr>
            <w:r>
              <w:rPr>
                <w:rFonts w:ascii="Arial" w:cs="Arial" w:eastAsia="Arial" w:hAnsi="Arial"/>
                <w:sz w:val="14"/>
                <w:szCs w:val="14"/>
                <w:color w:val="0000EE"/>
              </w:rPr>
              <w:t>[INTENTIONALLY OMITTED].</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4.</w:t>
            </w:r>
          </w:p>
        </w:tc>
        <w:tc>
          <w:tcPr>
            <w:tcW w:w="6060" w:type="dxa"/>
            <w:vAlign w:val="bottom"/>
            <w:gridSpan w:val="32"/>
          </w:tcPr>
          <w:p>
            <w:pPr>
              <w:spacing w:after="0"/>
              <w:rPr>
                <w:sz w:val="20"/>
                <w:szCs w:val="20"/>
                <w:color w:val="auto"/>
              </w:rPr>
            </w:pPr>
            <w:r>
              <w:rPr>
                <w:rFonts w:ascii="Arial" w:cs="Arial" w:eastAsia="Arial" w:hAnsi="Arial"/>
                <w:sz w:val="14"/>
                <w:szCs w:val="14"/>
                <w:color w:val="0000EE"/>
              </w:rPr>
              <w:t>CONDITIONS.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Conditions to Effectiveness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Conditions to all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Conditions Subsequent to Effectiveness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B-44</w:t>
            </w:r>
          </w:p>
        </w:tc>
      </w:tr>
      <w:tr>
        <w:trPr>
          <w:trHeight w:val="48"/>
        </w:trPr>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00" w:type="dxa"/>
            <w:vAlign w:val="bottom"/>
            <w:gridSpan w:val="3"/>
          </w:tcPr>
          <w:p>
            <w:pPr>
              <w:ind w:left="1760"/>
              <w:spacing w:after="0"/>
              <w:rPr>
                <w:sz w:val="20"/>
                <w:szCs w:val="20"/>
                <w:color w:val="auto"/>
              </w:rPr>
            </w:pPr>
            <w:r>
              <w:rPr>
                <w:rFonts w:ascii="Arial" w:cs="Arial" w:eastAsia="Arial" w:hAnsi="Arial"/>
                <w:sz w:val="18"/>
                <w:szCs w:val="18"/>
                <w:color w:val="auto"/>
              </w:rPr>
              <w:t>Page</w:t>
            </w:r>
          </w:p>
        </w:tc>
      </w:tr>
      <w:tr>
        <w:trPr>
          <w:trHeight w:val="77"/>
        </w:trPr>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60" w:type="dxa"/>
            <w:vAlign w:val="bottom"/>
          </w:tcPr>
          <w:p>
            <w:pPr>
              <w:spacing w:after="0"/>
              <w:rPr>
                <w:sz w:val="19"/>
                <w:szCs w:val="19"/>
                <w:color w:val="auto"/>
              </w:rPr>
            </w:pPr>
          </w:p>
        </w:tc>
        <w:tc>
          <w:tcPr>
            <w:tcW w:w="5960" w:type="dxa"/>
            <w:vAlign w:val="bottom"/>
            <w:gridSpan w:val="34"/>
          </w:tcPr>
          <w:p>
            <w:pPr>
              <w:spacing w:after="0"/>
              <w:rPr>
                <w:sz w:val="20"/>
                <w:szCs w:val="20"/>
                <w:color w:val="auto"/>
              </w:rPr>
            </w:pPr>
            <w:r>
              <w:rPr>
                <w:rFonts w:ascii="Arial" w:cs="Arial" w:eastAsia="Arial" w:hAnsi="Arial"/>
                <w:sz w:val="14"/>
                <w:szCs w:val="14"/>
                <w:color w:val="0000EE"/>
              </w:rPr>
              <w:t>5.    REPRESENTATIONS AND WARRANTIES.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Corporate Authority</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Due Authorization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Good Title; Leases; Assets; No Liens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Taxes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No Defaults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Enforceability of Agreement and Loan Documents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Compliance with Laws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Non-contravention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Litigation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5.10</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Consents, Approvals and Filings, Etc</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20" w:type="dxa"/>
            <w:vAlign w:val="bottom"/>
            <w:gridSpan w:val="6"/>
          </w:tcPr>
          <w:p>
            <w:pPr>
              <w:ind w:left="540"/>
              <w:spacing w:after="0"/>
              <w:rPr>
                <w:sz w:val="20"/>
                <w:szCs w:val="20"/>
                <w:color w:val="auto"/>
              </w:rPr>
            </w:pPr>
            <w:r>
              <w:rPr>
                <w:rFonts w:ascii="Arial" w:cs="Arial" w:eastAsia="Arial" w:hAnsi="Arial"/>
                <w:sz w:val="14"/>
                <w:szCs w:val="14"/>
                <w:color w:val="0000EE"/>
                <w:w w:val="95"/>
              </w:rPr>
              <w:t>5.11</w:t>
            </w: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Agreements Affecting Financial Condition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5.12</w:t>
            </w:r>
          </w:p>
        </w:tc>
        <w:tc>
          <w:tcPr>
            <w:tcW w:w="4940" w:type="dxa"/>
            <w:vAlign w:val="bottom"/>
            <w:gridSpan w:val="28"/>
          </w:tcPr>
          <w:p>
            <w:pPr>
              <w:spacing w:after="0"/>
              <w:rPr>
                <w:sz w:val="20"/>
                <w:szCs w:val="20"/>
                <w:color w:val="auto"/>
              </w:rPr>
            </w:pPr>
            <w:r>
              <w:rPr>
                <w:rFonts w:ascii="Arial" w:cs="Arial" w:eastAsia="Arial" w:hAnsi="Arial"/>
                <w:sz w:val="14"/>
                <w:szCs w:val="14"/>
                <w:color w:val="0000EE"/>
              </w:rPr>
              <w:t>No Investment Company or Margin Stock</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5.13</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ERISA</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5.14</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Conditions Affecting Business or Properties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5.15</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Environmental and Safety Matters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5.16</w:t>
            </w:r>
          </w:p>
        </w:tc>
        <w:tc>
          <w:tcPr>
            <w:tcW w:w="4940" w:type="dxa"/>
            <w:vAlign w:val="bottom"/>
            <w:gridSpan w:val="28"/>
          </w:tcPr>
          <w:p>
            <w:pPr>
              <w:spacing w:after="0"/>
              <w:rPr>
                <w:sz w:val="20"/>
                <w:szCs w:val="20"/>
                <w:color w:val="auto"/>
              </w:rPr>
            </w:pPr>
            <w:r>
              <w:rPr>
                <w:rFonts w:ascii="Arial" w:cs="Arial" w:eastAsia="Arial" w:hAnsi="Arial"/>
                <w:sz w:val="14"/>
                <w:szCs w:val="14"/>
                <w:color w:val="0000EE"/>
              </w:rPr>
              <w:t>Subsidiaries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5.17</w:t>
            </w:r>
          </w:p>
        </w:tc>
        <w:tc>
          <w:tcPr>
            <w:tcW w:w="4940" w:type="dxa"/>
            <w:vAlign w:val="bottom"/>
            <w:gridSpan w:val="28"/>
          </w:tcPr>
          <w:p>
            <w:pPr>
              <w:spacing w:after="0"/>
              <w:rPr>
                <w:sz w:val="20"/>
                <w:szCs w:val="20"/>
                <w:color w:val="auto"/>
              </w:rPr>
            </w:pPr>
            <w:r>
              <w:rPr>
                <w:rFonts w:ascii="Arial" w:cs="Arial" w:eastAsia="Arial" w:hAnsi="Arial"/>
                <w:sz w:val="14"/>
                <w:szCs w:val="14"/>
                <w:color w:val="0000EE"/>
              </w:rPr>
              <w:t>Adverse Agreements, Etc</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5.18</w:t>
            </w:r>
          </w:p>
        </w:tc>
        <w:tc>
          <w:tcPr>
            <w:tcW w:w="4940" w:type="dxa"/>
            <w:vAlign w:val="bottom"/>
            <w:gridSpan w:val="28"/>
          </w:tcPr>
          <w:p>
            <w:pPr>
              <w:spacing w:after="0"/>
              <w:rPr>
                <w:sz w:val="20"/>
                <w:szCs w:val="20"/>
                <w:color w:val="auto"/>
              </w:rPr>
            </w:pPr>
            <w:r>
              <w:rPr>
                <w:rFonts w:ascii="Arial" w:cs="Arial" w:eastAsia="Arial" w:hAnsi="Arial"/>
                <w:sz w:val="14"/>
                <w:szCs w:val="14"/>
                <w:color w:val="0000EE"/>
              </w:rPr>
              <w:t>Material Contracts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5.19</w:t>
            </w:r>
          </w:p>
        </w:tc>
        <w:tc>
          <w:tcPr>
            <w:tcW w:w="4940" w:type="dxa"/>
            <w:vAlign w:val="bottom"/>
            <w:gridSpan w:val="28"/>
          </w:tcPr>
          <w:p>
            <w:pPr>
              <w:spacing w:after="0"/>
              <w:rPr>
                <w:sz w:val="20"/>
                <w:szCs w:val="20"/>
                <w:color w:val="auto"/>
              </w:rPr>
            </w:pPr>
            <w:r>
              <w:rPr>
                <w:rFonts w:ascii="Arial" w:cs="Arial" w:eastAsia="Arial" w:hAnsi="Arial"/>
                <w:sz w:val="14"/>
                <w:szCs w:val="14"/>
                <w:color w:val="0000EE"/>
              </w:rPr>
              <w:t>Insurance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5.20</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Capital Structure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5.21</w:t>
            </w:r>
          </w:p>
        </w:tc>
        <w:tc>
          <w:tcPr>
            <w:tcW w:w="4940" w:type="dxa"/>
            <w:vAlign w:val="bottom"/>
            <w:gridSpan w:val="28"/>
          </w:tcPr>
          <w:p>
            <w:pPr>
              <w:spacing w:after="0"/>
              <w:rPr>
                <w:sz w:val="20"/>
                <w:szCs w:val="20"/>
                <w:color w:val="auto"/>
              </w:rPr>
            </w:pPr>
            <w:r>
              <w:rPr>
                <w:rFonts w:ascii="Arial" w:cs="Arial" w:eastAsia="Arial" w:hAnsi="Arial"/>
                <w:sz w:val="14"/>
                <w:szCs w:val="14"/>
                <w:color w:val="0000EE"/>
              </w:rPr>
              <w:t>Accuracy of Information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5.22</w:t>
            </w:r>
          </w:p>
        </w:tc>
        <w:tc>
          <w:tcPr>
            <w:tcW w:w="4940" w:type="dxa"/>
            <w:vAlign w:val="bottom"/>
            <w:gridSpan w:val="28"/>
          </w:tcPr>
          <w:p>
            <w:pPr>
              <w:spacing w:after="0"/>
              <w:rPr>
                <w:sz w:val="20"/>
                <w:szCs w:val="20"/>
                <w:color w:val="auto"/>
              </w:rPr>
            </w:pPr>
            <w:r>
              <w:rPr>
                <w:rFonts w:ascii="Arial" w:cs="Arial" w:eastAsia="Arial" w:hAnsi="Arial"/>
                <w:sz w:val="14"/>
                <w:szCs w:val="14"/>
                <w:color w:val="0000EE"/>
              </w:rPr>
              <w:t>Solvency</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5.23</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Employee Matters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5.24</w:t>
            </w:r>
          </w:p>
        </w:tc>
        <w:tc>
          <w:tcPr>
            <w:tcW w:w="4940" w:type="dxa"/>
            <w:vAlign w:val="bottom"/>
            <w:gridSpan w:val="28"/>
          </w:tcPr>
          <w:p>
            <w:pPr>
              <w:spacing w:after="0"/>
              <w:rPr>
                <w:sz w:val="20"/>
                <w:szCs w:val="20"/>
                <w:color w:val="auto"/>
              </w:rPr>
            </w:pPr>
            <w:r>
              <w:rPr>
                <w:rFonts w:ascii="Arial" w:cs="Arial" w:eastAsia="Arial" w:hAnsi="Arial"/>
                <w:sz w:val="14"/>
                <w:szCs w:val="14"/>
                <w:color w:val="0000EE"/>
              </w:rPr>
              <w:t>Disclosure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5.25</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Corporate Documents and Corporate Existence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5.26</w:t>
            </w:r>
          </w:p>
        </w:tc>
        <w:tc>
          <w:tcPr>
            <w:tcW w:w="4940" w:type="dxa"/>
            <w:vAlign w:val="bottom"/>
            <w:gridSpan w:val="28"/>
          </w:tcPr>
          <w:p>
            <w:pPr>
              <w:spacing w:after="0"/>
              <w:rPr>
                <w:sz w:val="20"/>
                <w:szCs w:val="20"/>
                <w:color w:val="auto"/>
              </w:rPr>
            </w:pPr>
            <w:r>
              <w:rPr>
                <w:rFonts w:ascii="Arial" w:cs="Arial" w:eastAsia="Arial" w:hAnsi="Arial"/>
                <w:sz w:val="14"/>
                <w:szCs w:val="14"/>
                <w:color w:val="0000EE"/>
              </w:rPr>
              <w:t>Anti-Money Laundering/Anti-Terrorism</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5.27</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EEA Financial Institution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5.28</w:t>
            </w:r>
          </w:p>
        </w:tc>
        <w:tc>
          <w:tcPr>
            <w:tcW w:w="4940" w:type="dxa"/>
            <w:vAlign w:val="bottom"/>
            <w:gridSpan w:val="28"/>
          </w:tcPr>
          <w:p>
            <w:pPr>
              <w:spacing w:after="0"/>
              <w:rPr>
                <w:sz w:val="20"/>
                <w:szCs w:val="20"/>
                <w:color w:val="auto"/>
              </w:rPr>
            </w:pPr>
            <w:r>
              <w:rPr>
                <w:rFonts w:ascii="Arial" w:cs="Arial" w:eastAsia="Arial" w:hAnsi="Arial"/>
                <w:sz w:val="14"/>
                <w:szCs w:val="14"/>
                <w:color w:val="0000EE"/>
              </w:rPr>
              <w:t>Intellectual Property</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5.29</w:t>
            </w:r>
          </w:p>
        </w:tc>
        <w:tc>
          <w:tcPr>
            <w:tcW w:w="4940" w:type="dxa"/>
            <w:vAlign w:val="bottom"/>
            <w:gridSpan w:val="28"/>
          </w:tcPr>
          <w:p>
            <w:pPr>
              <w:spacing w:after="0"/>
              <w:rPr>
                <w:sz w:val="20"/>
                <w:szCs w:val="20"/>
                <w:color w:val="auto"/>
              </w:rPr>
            </w:pPr>
            <w:r>
              <w:rPr>
                <w:rFonts w:ascii="Arial" w:cs="Arial" w:eastAsia="Arial" w:hAnsi="Arial"/>
                <w:sz w:val="14"/>
                <w:szCs w:val="14"/>
                <w:color w:val="0000EE"/>
              </w:rPr>
              <w:t>Inbound Licenses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5.30</w:t>
            </w:r>
          </w:p>
        </w:tc>
        <w:tc>
          <w:tcPr>
            <w:tcW w:w="4940" w:type="dxa"/>
            <w:vAlign w:val="bottom"/>
            <w:gridSpan w:val="28"/>
          </w:tcPr>
          <w:p>
            <w:pPr>
              <w:spacing w:after="0"/>
              <w:rPr>
                <w:sz w:val="20"/>
                <w:szCs w:val="20"/>
                <w:color w:val="auto"/>
              </w:rPr>
            </w:pPr>
            <w:r>
              <w:rPr>
                <w:rFonts w:ascii="Arial" w:cs="Arial" w:eastAsia="Arial" w:hAnsi="Arial"/>
                <w:sz w:val="14"/>
                <w:szCs w:val="14"/>
                <w:color w:val="0000EE"/>
              </w:rPr>
              <w:t>Use of Proceeds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5.31</w:t>
            </w:r>
          </w:p>
        </w:tc>
        <w:tc>
          <w:tcPr>
            <w:tcW w:w="4940" w:type="dxa"/>
            <w:vAlign w:val="bottom"/>
            <w:gridSpan w:val="28"/>
          </w:tcPr>
          <w:p>
            <w:pPr>
              <w:spacing w:after="0"/>
              <w:rPr>
                <w:sz w:val="20"/>
                <w:szCs w:val="20"/>
                <w:color w:val="auto"/>
              </w:rPr>
            </w:pPr>
            <w:r>
              <w:rPr>
                <w:rFonts w:ascii="Arial" w:cs="Arial" w:eastAsia="Arial" w:hAnsi="Arial"/>
                <w:sz w:val="14"/>
                <w:szCs w:val="14"/>
                <w:color w:val="0000EE"/>
              </w:rPr>
              <w:t>Security Documents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48"/>
        </w:trPr>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ind w:left="960"/>
              <w:spacing w:after="0"/>
              <w:rPr>
                <w:sz w:val="20"/>
                <w:szCs w:val="20"/>
                <w:color w:val="auto"/>
              </w:rPr>
            </w:pPr>
            <w:r>
              <w:rPr>
                <w:rFonts w:ascii="Arial" w:cs="Arial" w:eastAsia="Arial" w:hAnsi="Arial"/>
                <w:sz w:val="18"/>
                <w:szCs w:val="18"/>
                <w:color w:val="auto"/>
              </w:rPr>
              <w:t>Page</w:t>
            </w:r>
          </w:p>
        </w:tc>
      </w:tr>
      <w:tr>
        <w:trPr>
          <w:trHeight w:val="77"/>
        </w:trPr>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5.32</w:t>
            </w:r>
          </w:p>
        </w:tc>
        <w:tc>
          <w:tcPr>
            <w:tcW w:w="5740" w:type="dxa"/>
            <w:vAlign w:val="bottom"/>
            <w:gridSpan w:val="29"/>
          </w:tcPr>
          <w:p>
            <w:pPr>
              <w:spacing w:after="0"/>
              <w:rPr>
                <w:sz w:val="20"/>
                <w:szCs w:val="20"/>
                <w:color w:val="auto"/>
              </w:rPr>
            </w:pPr>
            <w:r>
              <w:rPr>
                <w:rFonts w:ascii="Arial" w:cs="Arial" w:eastAsia="Arial" w:hAnsi="Arial"/>
                <w:sz w:val="14"/>
                <w:szCs w:val="14"/>
                <w:color w:val="0000EE"/>
              </w:rPr>
              <w:t>Customers and Suppliers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5.33</w:t>
            </w:r>
          </w:p>
        </w:tc>
        <w:tc>
          <w:tcPr>
            <w:tcW w:w="5740" w:type="dxa"/>
            <w:vAlign w:val="bottom"/>
            <w:gridSpan w:val="29"/>
          </w:tcPr>
          <w:p>
            <w:pPr>
              <w:spacing w:after="0"/>
              <w:rPr>
                <w:sz w:val="20"/>
                <w:szCs w:val="20"/>
                <w:color w:val="auto"/>
              </w:rPr>
            </w:pPr>
            <w:r>
              <w:rPr>
                <w:rFonts w:ascii="Arial" w:cs="Arial" w:eastAsia="Arial" w:hAnsi="Arial"/>
                <w:sz w:val="14"/>
                <w:szCs w:val="14"/>
                <w:color w:val="0000EE"/>
              </w:rPr>
              <w:t>Technology Security Systems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6.</w:t>
            </w:r>
          </w:p>
        </w:tc>
        <w:tc>
          <w:tcPr>
            <w:tcW w:w="6380" w:type="dxa"/>
            <w:vAlign w:val="bottom"/>
            <w:gridSpan w:val="33"/>
          </w:tcPr>
          <w:p>
            <w:pPr>
              <w:spacing w:after="0"/>
              <w:rPr>
                <w:sz w:val="20"/>
                <w:szCs w:val="20"/>
                <w:color w:val="auto"/>
              </w:rPr>
            </w:pPr>
            <w:r>
              <w:rPr>
                <w:rFonts w:ascii="Arial" w:cs="Arial" w:eastAsia="Arial" w:hAnsi="Arial"/>
                <w:sz w:val="14"/>
                <w:szCs w:val="14"/>
                <w:color w:val="0000EE"/>
              </w:rPr>
              <w:t>AFFIRMATIVE COVENANTS.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Financial Statements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Certificates; Other Information</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Payment of Taxes and Other Obligations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Conduct of Business and Maintenance of Existence; Compliance with Laws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220" w:type="dxa"/>
            <w:vAlign w:val="bottom"/>
            <w:tcBorders>
              <w:top w:val="single" w:sz="8" w:color="0000EE"/>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Maintenance of Property; Insurance</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Inspection of Property; Books and Records, Discussions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Notices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Hazardous Material Laws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Board Observation Rights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6.10</w:t>
            </w:r>
          </w:p>
        </w:tc>
        <w:tc>
          <w:tcPr>
            <w:tcW w:w="5740" w:type="dxa"/>
            <w:vAlign w:val="bottom"/>
            <w:gridSpan w:val="29"/>
          </w:tcPr>
          <w:p>
            <w:pPr>
              <w:spacing w:after="0"/>
              <w:rPr>
                <w:sz w:val="20"/>
                <w:szCs w:val="20"/>
                <w:color w:val="auto"/>
              </w:rPr>
            </w:pPr>
            <w:r>
              <w:rPr>
                <w:rFonts w:ascii="Arial" w:cs="Arial" w:eastAsia="Arial" w:hAnsi="Arial"/>
                <w:sz w:val="14"/>
                <w:szCs w:val="14"/>
                <w:color w:val="0000EE"/>
              </w:rPr>
              <w:t>Governmental and Other Approvals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6.11</w:t>
            </w: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Compliance with ERISA; ERISA Notices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6.12</w:t>
            </w:r>
          </w:p>
        </w:tc>
        <w:tc>
          <w:tcPr>
            <w:tcW w:w="5740" w:type="dxa"/>
            <w:vAlign w:val="bottom"/>
            <w:gridSpan w:val="29"/>
          </w:tcPr>
          <w:p>
            <w:pPr>
              <w:spacing w:after="0"/>
              <w:rPr>
                <w:sz w:val="20"/>
                <w:szCs w:val="20"/>
                <w:color w:val="auto"/>
              </w:rPr>
            </w:pPr>
            <w:r>
              <w:rPr>
                <w:rFonts w:ascii="Arial" w:cs="Arial" w:eastAsia="Arial" w:hAnsi="Arial"/>
                <w:sz w:val="14"/>
                <w:szCs w:val="14"/>
                <w:color w:val="0000EE"/>
              </w:rPr>
              <w:t>Defense of Collateral</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6.13</w:t>
            </w:r>
          </w:p>
        </w:tc>
        <w:tc>
          <w:tcPr>
            <w:tcW w:w="5740" w:type="dxa"/>
            <w:vAlign w:val="bottom"/>
            <w:gridSpan w:val="29"/>
          </w:tcPr>
          <w:p>
            <w:pPr>
              <w:spacing w:after="0"/>
              <w:rPr>
                <w:sz w:val="20"/>
                <w:szCs w:val="20"/>
                <w:color w:val="auto"/>
              </w:rPr>
            </w:pPr>
            <w:r>
              <w:rPr>
                <w:rFonts w:ascii="Arial" w:cs="Arial" w:eastAsia="Arial" w:hAnsi="Arial"/>
                <w:sz w:val="14"/>
                <w:szCs w:val="14"/>
                <w:color w:val="0000EE"/>
              </w:rPr>
              <w:t>Future Subsidiaries; Additional Collateral</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6.14</w:t>
            </w:r>
          </w:p>
        </w:tc>
        <w:tc>
          <w:tcPr>
            <w:tcW w:w="5740" w:type="dxa"/>
            <w:vAlign w:val="bottom"/>
            <w:gridSpan w:val="29"/>
          </w:tcPr>
          <w:p>
            <w:pPr>
              <w:spacing w:after="0"/>
              <w:rPr>
                <w:sz w:val="20"/>
                <w:szCs w:val="20"/>
                <w:color w:val="auto"/>
              </w:rPr>
            </w:pPr>
            <w:r>
              <w:rPr>
                <w:rFonts w:ascii="Arial" w:cs="Arial" w:eastAsia="Arial" w:hAnsi="Arial"/>
                <w:sz w:val="14"/>
                <w:szCs w:val="14"/>
                <w:color w:val="0000EE"/>
              </w:rPr>
              <w:t>Accounts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6.15</w:t>
            </w:r>
          </w:p>
        </w:tc>
        <w:tc>
          <w:tcPr>
            <w:tcW w:w="5740" w:type="dxa"/>
            <w:vAlign w:val="bottom"/>
            <w:gridSpan w:val="29"/>
          </w:tcPr>
          <w:p>
            <w:pPr>
              <w:spacing w:after="0"/>
              <w:rPr>
                <w:sz w:val="20"/>
                <w:szCs w:val="20"/>
                <w:color w:val="auto"/>
              </w:rPr>
            </w:pPr>
            <w:r>
              <w:rPr>
                <w:rFonts w:ascii="Arial" w:cs="Arial" w:eastAsia="Arial" w:hAnsi="Arial"/>
                <w:sz w:val="14"/>
                <w:szCs w:val="14"/>
                <w:color w:val="0000EE"/>
              </w:rPr>
              <w:t>Use of Proceeds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6.16</w:t>
            </w:r>
          </w:p>
        </w:tc>
        <w:tc>
          <w:tcPr>
            <w:tcW w:w="5740" w:type="dxa"/>
            <w:vAlign w:val="bottom"/>
            <w:gridSpan w:val="29"/>
          </w:tcPr>
          <w:p>
            <w:pPr>
              <w:spacing w:after="0"/>
              <w:rPr>
                <w:sz w:val="20"/>
                <w:szCs w:val="20"/>
                <w:color w:val="auto"/>
              </w:rPr>
            </w:pPr>
            <w:r>
              <w:rPr>
                <w:rFonts w:ascii="Arial" w:cs="Arial" w:eastAsia="Arial" w:hAnsi="Arial"/>
                <w:sz w:val="14"/>
                <w:szCs w:val="14"/>
                <w:color w:val="0000EE"/>
              </w:rPr>
              <w:t>Intellectual Property</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6.17</w:t>
            </w:r>
          </w:p>
        </w:tc>
        <w:tc>
          <w:tcPr>
            <w:tcW w:w="5740" w:type="dxa"/>
            <w:vAlign w:val="bottom"/>
            <w:gridSpan w:val="29"/>
          </w:tcPr>
          <w:p>
            <w:pPr>
              <w:spacing w:after="0"/>
              <w:rPr>
                <w:sz w:val="20"/>
                <w:szCs w:val="20"/>
                <w:color w:val="auto"/>
              </w:rPr>
            </w:pPr>
            <w:r>
              <w:rPr>
                <w:rFonts w:ascii="Arial" w:cs="Arial" w:eastAsia="Arial" w:hAnsi="Arial"/>
                <w:sz w:val="14"/>
                <w:szCs w:val="14"/>
                <w:color w:val="0000EE"/>
              </w:rPr>
              <w:t>Consent of Inbound Licensors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6.18</w:t>
            </w:r>
          </w:p>
        </w:tc>
        <w:tc>
          <w:tcPr>
            <w:tcW w:w="5740" w:type="dxa"/>
            <w:vAlign w:val="bottom"/>
            <w:gridSpan w:val="29"/>
          </w:tcPr>
          <w:p>
            <w:pPr>
              <w:spacing w:after="0"/>
              <w:rPr>
                <w:sz w:val="20"/>
                <w:szCs w:val="20"/>
                <w:color w:val="auto"/>
              </w:rPr>
            </w:pPr>
            <w:r>
              <w:rPr>
                <w:rFonts w:ascii="Arial" w:cs="Arial" w:eastAsia="Arial" w:hAnsi="Arial"/>
                <w:sz w:val="14"/>
                <w:szCs w:val="14"/>
                <w:color w:val="0000EE"/>
              </w:rPr>
              <w:t>Anti-Terrorism</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6.19</w:t>
            </w:r>
          </w:p>
        </w:tc>
        <w:tc>
          <w:tcPr>
            <w:tcW w:w="5740" w:type="dxa"/>
            <w:vAlign w:val="bottom"/>
            <w:gridSpan w:val="29"/>
          </w:tcPr>
          <w:p>
            <w:pPr>
              <w:spacing w:after="0"/>
              <w:rPr>
                <w:sz w:val="20"/>
                <w:szCs w:val="20"/>
                <w:color w:val="auto"/>
              </w:rPr>
            </w:pPr>
            <w:r>
              <w:rPr>
                <w:rFonts w:ascii="Arial" w:cs="Arial" w:eastAsia="Arial" w:hAnsi="Arial"/>
                <w:sz w:val="14"/>
                <w:szCs w:val="14"/>
                <w:color w:val="0000EE"/>
              </w:rPr>
              <w:t>Further Assurances and Information</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7.</w:t>
            </w:r>
          </w:p>
        </w:tc>
        <w:tc>
          <w:tcPr>
            <w:tcW w:w="6380" w:type="dxa"/>
            <w:vAlign w:val="bottom"/>
            <w:gridSpan w:val="33"/>
          </w:tcPr>
          <w:p>
            <w:pPr>
              <w:spacing w:after="0"/>
              <w:rPr>
                <w:sz w:val="20"/>
                <w:szCs w:val="20"/>
                <w:color w:val="auto"/>
              </w:rPr>
            </w:pPr>
            <w:r>
              <w:rPr>
                <w:rFonts w:ascii="Arial" w:cs="Arial" w:eastAsia="Arial" w:hAnsi="Arial"/>
                <w:sz w:val="14"/>
                <w:szCs w:val="14"/>
                <w:color w:val="0000EE"/>
              </w:rPr>
              <w:t>NEGATIVE COVENANTS.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Debt</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Liens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Transfers of Assets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Mergers, Dissolution or Sale of Assets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Restricted Payments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Investments, Loans and Advances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Transactions with Affiliates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Sale-Leaseback Transactions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Limitations on Other Restrictions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B-66</w:t>
            </w:r>
          </w:p>
        </w:tc>
      </w:tr>
      <w:tr>
        <w:trPr>
          <w:trHeight w:val="48"/>
        </w:trPr>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gridSpan w:val="3"/>
          </w:tcPr>
          <w:p>
            <w:pPr>
              <w:ind w:left="940"/>
              <w:spacing w:after="0"/>
              <w:rPr>
                <w:sz w:val="20"/>
                <w:szCs w:val="20"/>
                <w:color w:val="auto"/>
              </w:rPr>
            </w:pPr>
            <w:r>
              <w:rPr>
                <w:rFonts w:ascii="Arial" w:cs="Arial" w:eastAsia="Arial" w:hAnsi="Arial"/>
                <w:sz w:val="18"/>
                <w:szCs w:val="18"/>
                <w:color w:val="auto"/>
              </w:rPr>
              <w:t>Page</w:t>
            </w:r>
          </w:p>
        </w:tc>
      </w:tr>
      <w:tr>
        <w:trPr>
          <w:trHeight w:val="77"/>
        </w:trPr>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7.10</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Prepayment of Subordinated Debt</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7.11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Amendment of Senior Loan Documents and Subordinated Debt Documents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7.12</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Modification of Certain Agreements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7.13</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Fiscal Year</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7.14</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Liquidity</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7.15</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Divisions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7.16</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[Reserved]</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7.17</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ERISA</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7.18</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Environmental</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7.19</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Accounting Methods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7.20</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Sanctioned Persons; Anti-Corruption Laws; Anti-Money Laundering Laws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7.21</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Federal Reserve Regulations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320" w:type="dxa"/>
            <w:vAlign w:val="bottom"/>
            <w:gridSpan w:val="3"/>
          </w:tcPr>
          <w:p>
            <w:pPr>
              <w:ind w:left="140"/>
              <w:spacing w:after="0"/>
              <w:rPr>
                <w:sz w:val="20"/>
                <w:szCs w:val="20"/>
                <w:color w:val="auto"/>
              </w:rPr>
            </w:pPr>
            <w:r>
              <w:rPr>
                <w:rFonts w:ascii="Arial" w:cs="Arial" w:eastAsia="Arial" w:hAnsi="Arial"/>
                <w:sz w:val="14"/>
                <w:szCs w:val="14"/>
                <w:color w:val="0000EE"/>
              </w:rPr>
              <w:t>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gridSpan w:val="35"/>
          </w:tcPr>
          <w:p>
            <w:pPr>
              <w:spacing w:after="0"/>
              <w:rPr>
                <w:sz w:val="20"/>
                <w:szCs w:val="20"/>
                <w:color w:val="auto"/>
              </w:rPr>
            </w:pPr>
            <w:r>
              <w:rPr>
                <w:rFonts w:ascii="Arial" w:cs="Arial" w:eastAsia="Arial" w:hAnsi="Arial"/>
                <w:sz w:val="14"/>
                <w:szCs w:val="14"/>
                <w:color w:val="0000EE"/>
              </w:rPr>
              <w:t>DEFAULTS.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Events of Default</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Exercise of Remedies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B-70</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Rights Cumulative</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B-70</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Waiver by the Borrower of Certain Laws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Waiver of Defaults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Set Off</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320" w:type="dxa"/>
            <w:vAlign w:val="bottom"/>
            <w:gridSpan w:val="3"/>
          </w:tcPr>
          <w:p>
            <w:pPr>
              <w:ind w:left="140"/>
              <w:spacing w:after="0"/>
              <w:rPr>
                <w:sz w:val="20"/>
                <w:szCs w:val="20"/>
                <w:color w:val="auto"/>
              </w:rPr>
            </w:pPr>
            <w:r>
              <w:rPr>
                <w:rFonts w:ascii="Arial" w:cs="Arial" w:eastAsia="Arial" w:hAnsi="Arial"/>
                <w:sz w:val="14"/>
                <w:szCs w:val="14"/>
                <w:color w:val="0000EE"/>
              </w:rPr>
              <w:t>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gridSpan w:val="35"/>
          </w:tcPr>
          <w:p>
            <w:pPr>
              <w:spacing w:after="0"/>
              <w:rPr>
                <w:sz w:val="20"/>
                <w:szCs w:val="20"/>
                <w:color w:val="auto"/>
              </w:rPr>
            </w:pPr>
            <w:r>
              <w:rPr>
                <w:rFonts w:ascii="Arial" w:cs="Arial" w:eastAsia="Arial" w:hAnsi="Arial"/>
                <w:sz w:val="14"/>
                <w:szCs w:val="14"/>
                <w:color w:val="0000EE"/>
              </w:rPr>
              <w:t>PAYMENTS, RECOVERIES AND COLLECTIONS.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Payment Procedure</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Application of Payments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B-72</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Ratable Sharing</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B-73</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Treatment of a Defaulting Lender</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B-73</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60" w:type="dxa"/>
            <w:vAlign w:val="bottom"/>
            <w:gridSpan w:val="5"/>
          </w:tcPr>
          <w:p>
            <w:pPr>
              <w:ind w:left="140"/>
              <w:spacing w:after="0"/>
              <w:rPr>
                <w:sz w:val="20"/>
                <w:szCs w:val="20"/>
                <w:color w:val="auto"/>
              </w:rPr>
            </w:pPr>
            <w:r>
              <w:rPr>
                <w:rFonts w:ascii="Arial" w:cs="Arial" w:eastAsia="Arial" w:hAnsi="Arial"/>
                <w:sz w:val="14"/>
                <w:szCs w:val="14"/>
                <w:color w:val="0000EE"/>
              </w:rPr>
              <w:t>10.</w:t>
            </w:r>
          </w:p>
        </w:tc>
        <w:tc>
          <w:tcPr>
            <w:tcW w:w="6380" w:type="dxa"/>
            <w:vAlign w:val="bottom"/>
            <w:gridSpan w:val="35"/>
          </w:tcPr>
          <w:p>
            <w:pPr>
              <w:spacing w:after="0"/>
              <w:rPr>
                <w:sz w:val="20"/>
                <w:szCs w:val="20"/>
                <w:color w:val="auto"/>
              </w:rPr>
            </w:pPr>
            <w:r>
              <w:rPr>
                <w:rFonts w:ascii="Arial" w:cs="Arial" w:eastAsia="Arial" w:hAnsi="Arial"/>
                <w:sz w:val="14"/>
                <w:szCs w:val="14"/>
                <w:color w:val="0000EE"/>
              </w:rPr>
              <w:t>YIELD PROTECTION; INCREASED COSTS; MARGIN ADJUSTMENTS; TAXES.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10.1</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Capital Adequacy and Other Increased Costs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10.2</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Right of Lenders to Fund through Branches and Affiliates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10.3</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Delay in Requests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10.4</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Taxes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B-75</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340" w:type="dxa"/>
            <w:vAlign w:val="bottom"/>
            <w:gridSpan w:val="4"/>
          </w:tcPr>
          <w:p>
            <w:pPr>
              <w:ind w:left="140"/>
              <w:spacing w:after="0"/>
              <w:rPr>
                <w:sz w:val="20"/>
                <w:szCs w:val="20"/>
                <w:color w:val="auto"/>
              </w:rPr>
            </w:pPr>
            <w:r>
              <w:rPr>
                <w:rFonts w:ascii="Arial" w:cs="Arial" w:eastAsia="Arial" w:hAnsi="Arial"/>
                <w:sz w:val="14"/>
                <w:szCs w:val="14"/>
                <w:color w:val="0000EE"/>
                <w:w w:val="92"/>
              </w:rPr>
              <w:t>11.</w:t>
            </w:r>
          </w:p>
        </w:tc>
        <w:tc>
          <w:tcPr>
            <w:tcW w:w="220" w:type="dxa"/>
            <w:vAlign w:val="bottom"/>
          </w:tcPr>
          <w:p>
            <w:pPr>
              <w:spacing w:after="0"/>
              <w:rPr>
                <w:sz w:val="19"/>
                <w:szCs w:val="19"/>
                <w:color w:val="auto"/>
              </w:rPr>
            </w:pPr>
          </w:p>
        </w:tc>
        <w:tc>
          <w:tcPr>
            <w:tcW w:w="640" w:type="dxa"/>
            <w:vAlign w:val="bottom"/>
            <w:gridSpan w:val="5"/>
          </w:tcPr>
          <w:p>
            <w:pPr>
              <w:spacing w:after="0"/>
              <w:rPr>
                <w:sz w:val="20"/>
                <w:szCs w:val="20"/>
                <w:color w:val="auto"/>
              </w:rPr>
            </w:pPr>
            <w:r>
              <w:rPr>
                <w:rFonts w:ascii="Arial" w:cs="Arial" w:eastAsia="Arial" w:hAnsi="Arial"/>
                <w:sz w:val="14"/>
                <w:szCs w:val="14"/>
                <w:color w:val="0000EE"/>
              </w:rPr>
              <w:t>AGENT.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B-76</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11.1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Appointment of the Agent</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B-76</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11.2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Agency for Perfection</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B-76</w:t>
            </w:r>
          </w:p>
        </w:tc>
      </w:tr>
      <w:tr>
        <w:trPr>
          <w:trHeight w:val="48"/>
        </w:trPr>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40" w:type="dxa"/>
            <w:vAlign w:val="bottom"/>
            <w:gridSpan w:val="3"/>
          </w:tcPr>
          <w:p>
            <w:pPr>
              <w:ind w:left="1200"/>
              <w:spacing w:after="0"/>
              <w:rPr>
                <w:sz w:val="20"/>
                <w:szCs w:val="20"/>
                <w:color w:val="auto"/>
              </w:rPr>
            </w:pPr>
            <w:r>
              <w:rPr>
                <w:rFonts w:ascii="Arial" w:cs="Arial" w:eastAsia="Arial" w:hAnsi="Arial"/>
                <w:sz w:val="18"/>
                <w:szCs w:val="18"/>
                <w:color w:val="auto"/>
              </w:rPr>
              <w:t>Page</w:t>
            </w:r>
          </w:p>
        </w:tc>
      </w:tr>
      <w:tr>
        <w:trPr>
          <w:trHeight w:val="77"/>
        </w:trPr>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Scope of the Agent’s Duties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B-76</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Successor Agent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B-77</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Credit Decisions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B-78</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Authority of the Agent to Enforce This Agreement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B-78</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Indemnification of the Agent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B-78</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Knowledge of Default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B-79</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The Agent’s Authorization; Action by Lenders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B-79</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11.10</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Enforcement Actions by the Agent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w w:val="91"/>
              </w:rPr>
              <w:t>11.11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Collateral Matters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11.12</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The Agent in its Individual Capacity</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11.13</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Specified Subordination Agreement and Subordination Agreements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40" w:type="dxa"/>
            <w:vAlign w:val="bottom"/>
            <w:tcBorders>
              <w:top w:val="single" w:sz="8" w:color="0000EE"/>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11.14</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No Reliance on the Agent’s Customer Identification Program</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6680" w:type="dxa"/>
            <w:vAlign w:val="bottom"/>
            <w:gridSpan w:val="37"/>
          </w:tcPr>
          <w:p>
            <w:pPr>
              <w:ind w:left="140"/>
              <w:spacing w:after="0"/>
              <w:rPr>
                <w:sz w:val="20"/>
                <w:szCs w:val="20"/>
                <w:color w:val="auto"/>
              </w:rPr>
            </w:pPr>
            <w:r>
              <w:rPr>
                <w:rFonts w:ascii="Arial" w:cs="Arial" w:eastAsia="Arial" w:hAnsi="Arial"/>
                <w:sz w:val="14"/>
                <w:szCs w:val="14"/>
                <w:color w:val="0000EE"/>
              </w:rPr>
              <w:t>12.   MISCELLANEOUS.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[Reserved]</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Consent to Jurisdiction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Governing Law</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Closing Costs and Other Costs; Indemnification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Notices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Further Action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B-84</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Successors and Assigns; Participations; Assignments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B-84</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Counterparts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B-87</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Amendment and Waiver</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B-87</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12.10</w:t>
            </w:r>
          </w:p>
        </w:tc>
        <w:tc>
          <w:tcPr>
            <w:tcW w:w="5480" w:type="dxa"/>
            <w:vAlign w:val="bottom"/>
            <w:gridSpan w:val="29"/>
          </w:tcPr>
          <w:p>
            <w:pPr>
              <w:spacing w:after="0"/>
              <w:rPr>
                <w:sz w:val="20"/>
                <w:szCs w:val="20"/>
                <w:color w:val="auto"/>
              </w:rPr>
            </w:pPr>
            <w:r>
              <w:rPr>
                <w:rFonts w:ascii="Arial" w:cs="Arial" w:eastAsia="Arial" w:hAnsi="Arial"/>
                <w:sz w:val="14"/>
                <w:szCs w:val="14"/>
                <w:color w:val="0000EE"/>
              </w:rPr>
              <w:t>Confidentiality</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B-89</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12.11</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Substitution or Removal of Lenders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12.12</w:t>
            </w:r>
          </w:p>
        </w:tc>
        <w:tc>
          <w:tcPr>
            <w:tcW w:w="5480" w:type="dxa"/>
            <w:vAlign w:val="bottom"/>
            <w:gridSpan w:val="29"/>
          </w:tcPr>
          <w:p>
            <w:pPr>
              <w:spacing w:after="0"/>
              <w:rPr>
                <w:sz w:val="20"/>
                <w:szCs w:val="20"/>
                <w:color w:val="auto"/>
              </w:rPr>
            </w:pPr>
            <w:r>
              <w:rPr>
                <w:rFonts w:ascii="Arial" w:cs="Arial" w:eastAsia="Arial" w:hAnsi="Arial"/>
                <w:sz w:val="14"/>
                <w:szCs w:val="14"/>
                <w:color w:val="0000EE"/>
              </w:rPr>
              <w:t>Withholding Taxes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12.13</w:t>
            </w:r>
          </w:p>
        </w:tc>
        <w:tc>
          <w:tcPr>
            <w:tcW w:w="5480" w:type="dxa"/>
            <w:vAlign w:val="bottom"/>
            <w:gridSpan w:val="29"/>
          </w:tcPr>
          <w:p>
            <w:pPr>
              <w:spacing w:after="0"/>
              <w:rPr>
                <w:sz w:val="20"/>
                <w:szCs w:val="20"/>
                <w:color w:val="auto"/>
              </w:rPr>
            </w:pPr>
            <w:r>
              <w:rPr>
                <w:rFonts w:ascii="Arial" w:cs="Arial" w:eastAsia="Arial" w:hAnsi="Arial"/>
                <w:sz w:val="14"/>
                <w:szCs w:val="14"/>
                <w:color w:val="0000EE"/>
              </w:rPr>
              <w:t>WAIVER OF JURY TRIAL</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12.14</w:t>
            </w:r>
          </w:p>
        </w:tc>
        <w:tc>
          <w:tcPr>
            <w:tcW w:w="5480" w:type="dxa"/>
            <w:vAlign w:val="bottom"/>
            <w:gridSpan w:val="29"/>
          </w:tcPr>
          <w:p>
            <w:pPr>
              <w:spacing w:after="0"/>
              <w:rPr>
                <w:sz w:val="20"/>
                <w:szCs w:val="20"/>
                <w:color w:val="auto"/>
              </w:rPr>
            </w:pPr>
            <w:r>
              <w:rPr>
                <w:rFonts w:ascii="Arial" w:cs="Arial" w:eastAsia="Arial" w:hAnsi="Arial"/>
                <w:sz w:val="14"/>
                <w:szCs w:val="14"/>
                <w:color w:val="0000EE"/>
              </w:rPr>
              <w:t>USA Patriot Act Notice; Beneficial Ownership Certification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12.15</w:t>
            </w:r>
          </w:p>
        </w:tc>
        <w:tc>
          <w:tcPr>
            <w:tcW w:w="5480" w:type="dxa"/>
            <w:vAlign w:val="bottom"/>
            <w:gridSpan w:val="29"/>
          </w:tcPr>
          <w:p>
            <w:pPr>
              <w:spacing w:after="0"/>
              <w:rPr>
                <w:sz w:val="20"/>
                <w:szCs w:val="20"/>
                <w:color w:val="auto"/>
              </w:rPr>
            </w:pPr>
            <w:r>
              <w:rPr>
                <w:rFonts w:ascii="Arial" w:cs="Arial" w:eastAsia="Arial" w:hAnsi="Arial"/>
                <w:sz w:val="14"/>
                <w:szCs w:val="14"/>
                <w:color w:val="0000EE"/>
              </w:rPr>
              <w:t>Complete Agreement; Conflicts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12.16</w:t>
            </w:r>
          </w:p>
        </w:tc>
        <w:tc>
          <w:tcPr>
            <w:tcW w:w="5480" w:type="dxa"/>
            <w:vAlign w:val="bottom"/>
            <w:gridSpan w:val="29"/>
          </w:tcPr>
          <w:p>
            <w:pPr>
              <w:spacing w:after="0"/>
              <w:rPr>
                <w:sz w:val="20"/>
                <w:szCs w:val="20"/>
                <w:color w:val="auto"/>
              </w:rPr>
            </w:pPr>
            <w:r>
              <w:rPr>
                <w:rFonts w:ascii="Arial" w:cs="Arial" w:eastAsia="Arial" w:hAnsi="Arial"/>
                <w:sz w:val="14"/>
                <w:szCs w:val="14"/>
                <w:color w:val="0000EE"/>
              </w:rPr>
              <w:t>Severability</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12.17</w:t>
            </w:r>
          </w:p>
        </w:tc>
        <w:tc>
          <w:tcPr>
            <w:tcW w:w="5480" w:type="dxa"/>
            <w:vAlign w:val="bottom"/>
            <w:gridSpan w:val="29"/>
          </w:tcPr>
          <w:p>
            <w:pPr>
              <w:spacing w:after="0"/>
              <w:rPr>
                <w:sz w:val="20"/>
                <w:szCs w:val="20"/>
                <w:color w:val="auto"/>
              </w:rPr>
            </w:pPr>
            <w:r>
              <w:rPr>
                <w:rFonts w:ascii="Arial" w:cs="Arial" w:eastAsia="Arial" w:hAnsi="Arial"/>
                <w:sz w:val="14"/>
                <w:szCs w:val="14"/>
                <w:color w:val="0000EE"/>
              </w:rPr>
              <w:t>Table of Contents and Headings; Section References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12.18</w:t>
            </w:r>
          </w:p>
        </w:tc>
        <w:tc>
          <w:tcPr>
            <w:tcW w:w="5480" w:type="dxa"/>
            <w:vAlign w:val="bottom"/>
            <w:gridSpan w:val="29"/>
          </w:tcPr>
          <w:p>
            <w:pPr>
              <w:spacing w:after="0"/>
              <w:rPr>
                <w:sz w:val="20"/>
                <w:szCs w:val="20"/>
                <w:color w:val="auto"/>
              </w:rPr>
            </w:pPr>
            <w:r>
              <w:rPr>
                <w:rFonts w:ascii="Arial" w:cs="Arial" w:eastAsia="Arial" w:hAnsi="Arial"/>
                <w:sz w:val="14"/>
                <w:szCs w:val="14"/>
                <w:color w:val="0000EE"/>
              </w:rPr>
              <w:t>Construction of Certain Provisions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12.19</w:t>
            </w:r>
          </w:p>
        </w:tc>
        <w:tc>
          <w:tcPr>
            <w:tcW w:w="5480" w:type="dxa"/>
            <w:vAlign w:val="bottom"/>
            <w:gridSpan w:val="29"/>
          </w:tcPr>
          <w:p>
            <w:pPr>
              <w:spacing w:after="0"/>
              <w:rPr>
                <w:sz w:val="20"/>
                <w:szCs w:val="20"/>
                <w:color w:val="auto"/>
              </w:rPr>
            </w:pPr>
            <w:r>
              <w:rPr>
                <w:rFonts w:ascii="Arial" w:cs="Arial" w:eastAsia="Arial" w:hAnsi="Arial"/>
                <w:sz w:val="14"/>
                <w:szCs w:val="14"/>
                <w:color w:val="0000EE"/>
              </w:rPr>
              <w:t>Independence of Covenants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48"/>
        </w:trPr>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gridSpan w:val="3"/>
          </w:tcPr>
          <w:p>
            <w:pPr>
              <w:ind w:left="1160"/>
              <w:spacing w:after="0"/>
              <w:rPr>
                <w:sz w:val="20"/>
                <w:szCs w:val="20"/>
                <w:color w:val="auto"/>
              </w:rPr>
            </w:pPr>
            <w:r>
              <w:rPr>
                <w:rFonts w:ascii="Arial" w:cs="Arial" w:eastAsia="Arial" w:hAnsi="Arial"/>
                <w:sz w:val="18"/>
                <w:szCs w:val="18"/>
                <w:color w:val="auto"/>
              </w:rPr>
              <w:t>Page</w:t>
            </w:r>
          </w:p>
        </w:tc>
      </w:tr>
      <w:tr>
        <w:trPr>
          <w:trHeight w:val="77"/>
        </w:trPr>
        <w:tc>
          <w:tcPr>
            <w:tcW w:w="5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12.20</w:t>
            </w:r>
          </w:p>
        </w:tc>
        <w:tc>
          <w:tcPr>
            <w:tcW w:w="5540" w:type="dxa"/>
            <w:vAlign w:val="bottom"/>
            <w:gridSpan w:val="8"/>
          </w:tcPr>
          <w:p>
            <w:pPr>
              <w:spacing w:after="0"/>
              <w:rPr>
                <w:sz w:val="20"/>
                <w:szCs w:val="20"/>
                <w:color w:val="auto"/>
              </w:rPr>
            </w:pPr>
            <w:r>
              <w:rPr>
                <w:rFonts w:ascii="Arial" w:cs="Arial" w:eastAsia="Arial" w:hAnsi="Arial"/>
                <w:sz w:val="14"/>
                <w:szCs w:val="14"/>
                <w:color w:val="0000EE"/>
              </w:rPr>
              <w:t>Electronic Transmissions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B-93</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12.21</w:t>
            </w:r>
          </w:p>
        </w:tc>
        <w:tc>
          <w:tcPr>
            <w:tcW w:w="5540" w:type="dxa"/>
            <w:vAlign w:val="bottom"/>
            <w:gridSpan w:val="8"/>
          </w:tcPr>
          <w:p>
            <w:pPr>
              <w:spacing w:after="0"/>
              <w:rPr>
                <w:sz w:val="20"/>
                <w:szCs w:val="20"/>
                <w:color w:val="auto"/>
              </w:rPr>
            </w:pPr>
            <w:r>
              <w:rPr>
                <w:rFonts w:ascii="Arial" w:cs="Arial" w:eastAsia="Arial" w:hAnsi="Arial"/>
                <w:sz w:val="14"/>
                <w:szCs w:val="14"/>
                <w:color w:val="0000EE"/>
              </w:rPr>
              <w:t>Advertisements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12.22</w:t>
            </w:r>
          </w:p>
        </w:tc>
        <w:tc>
          <w:tcPr>
            <w:tcW w:w="5540" w:type="dxa"/>
            <w:vAlign w:val="bottom"/>
            <w:gridSpan w:val="8"/>
          </w:tcPr>
          <w:p>
            <w:pPr>
              <w:spacing w:after="0"/>
              <w:rPr>
                <w:sz w:val="20"/>
                <w:szCs w:val="20"/>
                <w:color w:val="auto"/>
              </w:rPr>
            </w:pPr>
            <w:r>
              <w:rPr>
                <w:rFonts w:ascii="Arial" w:cs="Arial" w:eastAsia="Arial" w:hAnsi="Arial"/>
                <w:sz w:val="14"/>
                <w:szCs w:val="14"/>
                <w:color w:val="0000EE"/>
              </w:rPr>
              <w:t>Reliance on and Survival of Provisions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12.23</w:t>
            </w:r>
          </w:p>
        </w:tc>
        <w:tc>
          <w:tcPr>
            <w:tcW w:w="5540" w:type="dxa"/>
            <w:vAlign w:val="bottom"/>
            <w:gridSpan w:val="8"/>
          </w:tcPr>
          <w:p>
            <w:pPr>
              <w:spacing w:after="0"/>
              <w:rPr>
                <w:sz w:val="20"/>
                <w:szCs w:val="20"/>
                <w:color w:val="auto"/>
              </w:rPr>
            </w:pPr>
            <w:r>
              <w:rPr>
                <w:rFonts w:ascii="Arial" w:cs="Arial" w:eastAsia="Arial" w:hAnsi="Arial"/>
                <w:sz w:val="14"/>
                <w:szCs w:val="14"/>
                <w:color w:val="0000EE"/>
              </w:rPr>
              <w:t>Interest</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12.24</w:t>
            </w:r>
          </w:p>
        </w:tc>
        <w:tc>
          <w:tcPr>
            <w:tcW w:w="5540" w:type="dxa"/>
            <w:vAlign w:val="bottom"/>
            <w:gridSpan w:val="8"/>
          </w:tcPr>
          <w:p>
            <w:pPr>
              <w:spacing w:after="0"/>
              <w:rPr>
                <w:sz w:val="20"/>
                <w:szCs w:val="20"/>
                <w:color w:val="auto"/>
              </w:rPr>
            </w:pPr>
            <w:r>
              <w:rPr>
                <w:rFonts w:ascii="Arial" w:cs="Arial" w:eastAsia="Arial" w:hAnsi="Arial"/>
                <w:sz w:val="14"/>
                <w:szCs w:val="14"/>
                <w:color w:val="0000EE"/>
              </w:rPr>
              <w:t>Acknowledgment and Consent to Bail-In of EEA Financial Institutions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720" w:type="dxa"/>
            <w:vAlign w:val="bottom"/>
            <w:tcBorders>
              <w:top w:val="single" w:sz="8" w:color="0000EE"/>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12.25</w:t>
            </w:r>
          </w:p>
        </w:tc>
        <w:tc>
          <w:tcPr>
            <w:tcW w:w="5540" w:type="dxa"/>
            <w:vAlign w:val="bottom"/>
            <w:gridSpan w:val="8"/>
          </w:tcPr>
          <w:p>
            <w:pPr>
              <w:spacing w:after="0"/>
              <w:rPr>
                <w:sz w:val="20"/>
                <w:szCs w:val="20"/>
                <w:color w:val="auto"/>
              </w:rPr>
            </w:pPr>
            <w:r>
              <w:rPr>
                <w:rFonts w:ascii="Arial" w:cs="Arial" w:eastAsia="Arial" w:hAnsi="Arial"/>
                <w:sz w:val="14"/>
                <w:szCs w:val="14"/>
                <w:color w:val="0000EE"/>
              </w:rPr>
              <w:t>Specified Subordination Agreement</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B-95</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12.26</w:t>
            </w:r>
          </w:p>
        </w:tc>
        <w:tc>
          <w:tcPr>
            <w:tcW w:w="5540" w:type="dxa"/>
            <w:vAlign w:val="bottom"/>
            <w:gridSpan w:val="8"/>
          </w:tcPr>
          <w:p>
            <w:pPr>
              <w:spacing w:after="0"/>
              <w:rPr>
                <w:sz w:val="20"/>
                <w:szCs w:val="20"/>
                <w:color w:val="auto"/>
              </w:rPr>
            </w:pPr>
            <w:r>
              <w:rPr>
                <w:rFonts w:ascii="Arial" w:cs="Arial" w:eastAsia="Arial" w:hAnsi="Arial"/>
                <w:sz w:val="14"/>
                <w:szCs w:val="14"/>
                <w:color w:val="0000EE"/>
              </w:rPr>
              <w:t>Restatement of Original Credit Agreement</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B-95</w:t>
            </w:r>
          </w:p>
        </w:tc>
      </w:tr>
      <w:tr>
        <w:trPr>
          <w:trHeight w:val="48"/>
        </w:trPr>
        <w:tc>
          <w:tcPr>
            <w:tcW w:w="540" w:type="dxa"/>
            <w:vAlign w:val="bottom"/>
            <w:tcBorders>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66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EXHIBITS</w:t>
      </w:r>
    </w:p>
    <w:p>
      <w:pPr>
        <w:spacing w:after="0" w:line="235" w:lineRule="exact"/>
        <w:rPr>
          <w:sz w:val="20"/>
          <w:szCs w:val="20"/>
          <w:color w:val="auto"/>
        </w:rPr>
      </w:pPr>
    </w:p>
    <w:p>
      <w:pPr>
        <w:ind w:left="840" w:hanging="386"/>
        <w:spacing w:after="0"/>
        <w:tabs>
          <w:tab w:leader="none" w:pos="8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FORM OF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3492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70" w:lineRule="exact"/>
        <w:rPr>
          <w:sz w:val="20"/>
          <w:szCs w:val="20"/>
          <w:color w:val="auto"/>
        </w:rPr>
      </w:pPr>
    </w:p>
    <w:p>
      <w:pPr>
        <w:ind w:left="460" w:right="5579" w:hanging="6"/>
        <w:spacing w:after="0" w:line="523" w:lineRule="auto"/>
        <w:tabs>
          <w:tab w:leader="none" w:pos="838"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FORM OF ASSIGNMENT AGREEMENT C FORM OF GUARANTY</w:t>
      </w:r>
    </w:p>
    <w:p>
      <w:pPr>
        <w:ind w:left="460"/>
        <w:spacing w:after="0"/>
        <w:rPr>
          <w:rFonts w:ascii="Arial" w:cs="Arial" w:eastAsia="Arial" w:hAnsi="Arial"/>
          <w:sz w:val="14"/>
          <w:szCs w:val="14"/>
          <w:color w:val="auto"/>
        </w:rPr>
      </w:pPr>
      <w:r>
        <w:rPr>
          <w:rFonts w:ascii="Arial" w:cs="Arial" w:eastAsia="Arial" w:hAnsi="Arial"/>
          <w:sz w:val="14"/>
          <w:szCs w:val="14"/>
          <w:color w:val="auto"/>
        </w:rPr>
        <w:t>DFORM OF REQUEST FOR LOAN</w:t>
      </w:r>
    </w:p>
    <w:p>
      <w:pPr>
        <w:spacing w:after="0" w:line="190" w:lineRule="exact"/>
        <w:rPr>
          <w:rFonts w:ascii="Arial" w:cs="Arial" w:eastAsia="Arial" w:hAnsi="Arial"/>
          <w:sz w:val="14"/>
          <w:szCs w:val="14"/>
          <w:color w:val="auto"/>
        </w:rPr>
      </w:pPr>
    </w:p>
    <w:p>
      <w:pPr>
        <w:ind w:left="460" w:right="5739"/>
        <w:spacing w:after="0" w:line="523" w:lineRule="auto"/>
        <w:rPr>
          <w:rFonts w:ascii="Arial" w:cs="Arial" w:eastAsia="Arial" w:hAnsi="Arial"/>
          <w:sz w:val="14"/>
          <w:szCs w:val="14"/>
          <w:color w:val="auto"/>
        </w:rPr>
      </w:pPr>
      <w:r>
        <w:rPr>
          <w:rFonts w:ascii="Arial" w:cs="Arial" w:eastAsia="Arial" w:hAnsi="Arial"/>
          <w:sz w:val="14"/>
          <w:szCs w:val="14"/>
          <w:color w:val="auto"/>
        </w:rPr>
        <w:t>E FORMS OF U.S. TAX CERTIFICATES F FORM OF NOTE</w:t>
      </w:r>
    </w:p>
    <w:p>
      <w:pPr>
        <w:ind w:left="460"/>
        <w:spacing w:after="0"/>
        <w:rPr>
          <w:rFonts w:ascii="Arial" w:cs="Arial" w:eastAsia="Arial" w:hAnsi="Arial"/>
          <w:sz w:val="14"/>
          <w:szCs w:val="14"/>
          <w:color w:val="auto"/>
        </w:rPr>
      </w:pPr>
      <w:r>
        <w:rPr>
          <w:rFonts w:ascii="Arial" w:cs="Arial" w:eastAsia="Arial" w:hAnsi="Arial"/>
          <w:sz w:val="14"/>
          <w:szCs w:val="14"/>
          <w:color w:val="auto"/>
        </w:rPr>
        <w:t>G    FORM OF SOFR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-1047115</wp:posOffset>
            </wp:positionV>
            <wp:extent cx="53492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-824230</wp:posOffset>
            </wp:positionV>
            <wp:extent cx="53492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-601345</wp:posOffset>
            </wp:positionV>
            <wp:extent cx="5349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-378460</wp:posOffset>
            </wp:positionV>
            <wp:extent cx="5349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-155575</wp:posOffset>
            </wp:positionV>
            <wp:extent cx="53492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ANNEXES</w:t>
      </w:r>
    </w:p>
    <w:p>
      <w:pPr>
        <w:spacing w:after="0" w:line="235" w:lineRule="exact"/>
        <w:rPr>
          <w:sz w:val="20"/>
          <w:szCs w:val="20"/>
          <w:color w:val="auto"/>
        </w:rPr>
      </w:pPr>
    </w:p>
    <w:p>
      <w:pPr>
        <w:ind w:left="460" w:right="6579" w:hanging="6"/>
        <w:spacing w:after="0" w:line="523" w:lineRule="auto"/>
        <w:tabs>
          <w:tab w:leader="none" w:pos="838" w:val="left"/>
        </w:tabs>
        <w:numPr>
          <w:ilvl w:val="0"/>
          <w:numId w:val="53"/>
        </w:numPr>
        <w:rPr>
          <w:rFonts w:ascii="Arial" w:cs="Arial" w:eastAsia="Arial" w:hAnsi="Arial"/>
          <w:sz w:val="14"/>
          <w:szCs w:val="14"/>
          <w:color w:val="auto"/>
        </w:rPr>
      </w:pPr>
      <w:r>
        <w:rPr>
          <w:rFonts w:ascii="Arial" w:cs="Arial" w:eastAsia="Arial" w:hAnsi="Arial"/>
          <w:sz w:val="14"/>
          <w:szCs w:val="14"/>
          <w:color w:val="auto"/>
        </w:rPr>
        <w:t>Loans and Commitments II Notices</w:t>
      </w:r>
    </w:p>
    <w:p>
      <w:pPr>
        <w:ind w:left="460"/>
        <w:spacing w:after="0"/>
        <w:rPr>
          <w:rFonts w:ascii="Arial" w:cs="Arial" w:eastAsia="Arial" w:hAnsi="Arial"/>
          <w:sz w:val="14"/>
          <w:szCs w:val="14"/>
          <w:color w:val="auto"/>
        </w:rPr>
      </w:pPr>
      <w:r>
        <w:rPr>
          <w:rFonts w:ascii="Arial" w:cs="Arial" w:eastAsia="Arial" w:hAnsi="Arial"/>
          <w:sz w:val="14"/>
          <w:szCs w:val="14"/>
          <w:color w:val="auto"/>
        </w:rPr>
        <w:t>III    Principal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-378460</wp:posOffset>
            </wp:positionV>
            <wp:extent cx="53492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-155575</wp:posOffset>
            </wp:positionV>
            <wp:extent cx="53492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SCHEDULES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40" w:type="dxa"/>
            <w:vAlign w:val="bottom"/>
          </w:tcPr>
          <w:p>
            <w:pPr>
              <w:ind w:left="160"/>
              <w:spacing w:after="0"/>
              <w:rPr>
                <w:sz w:val="20"/>
                <w:szCs w:val="20"/>
                <w:color w:val="auto"/>
              </w:rPr>
            </w:pPr>
            <w:r>
              <w:rPr>
                <w:rFonts w:ascii="Arial" w:cs="Arial" w:eastAsia="Arial" w:hAnsi="Arial"/>
                <w:sz w:val="14"/>
                <w:szCs w:val="14"/>
                <w:color w:val="auto"/>
              </w:rPr>
              <w:t>1.1</w:t>
            </w:r>
          </w:p>
        </w:tc>
        <w:tc>
          <w:tcPr>
            <w:tcW w:w="7580" w:type="dxa"/>
            <w:vAlign w:val="bottom"/>
          </w:tcPr>
          <w:p>
            <w:pPr>
              <w:ind w:left="120"/>
              <w:spacing w:after="0"/>
              <w:rPr>
                <w:sz w:val="20"/>
                <w:szCs w:val="20"/>
                <w:color w:val="auto"/>
              </w:rPr>
            </w:pPr>
            <w:r>
              <w:rPr>
                <w:rFonts w:ascii="Arial" w:cs="Arial" w:eastAsia="Arial" w:hAnsi="Arial"/>
                <w:sz w:val="14"/>
                <w:szCs w:val="14"/>
                <w:color w:val="auto"/>
              </w:rPr>
              <w:t>Compliance Information</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4.1(b)</w:t>
            </w:r>
          </w:p>
        </w:tc>
        <w:tc>
          <w:tcPr>
            <w:tcW w:w="7580" w:type="dxa"/>
            <w:vAlign w:val="bottom"/>
          </w:tcPr>
          <w:p>
            <w:pPr>
              <w:ind w:left="120"/>
              <w:spacing w:after="0"/>
              <w:rPr>
                <w:sz w:val="20"/>
                <w:szCs w:val="20"/>
                <w:color w:val="auto"/>
              </w:rPr>
            </w:pPr>
            <w:r>
              <w:rPr>
                <w:rFonts w:ascii="Arial" w:cs="Arial" w:eastAsia="Arial" w:hAnsi="Arial"/>
                <w:sz w:val="14"/>
                <w:szCs w:val="14"/>
                <w:color w:val="auto"/>
              </w:rPr>
              <w:t>Qualified Jurisdictions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4.1(c)(iii)</w:t>
            </w:r>
          </w:p>
        </w:tc>
        <w:tc>
          <w:tcPr>
            <w:tcW w:w="7580" w:type="dxa"/>
            <w:vAlign w:val="bottom"/>
          </w:tcPr>
          <w:p>
            <w:pPr>
              <w:ind w:left="120"/>
              <w:spacing w:after="0"/>
              <w:rPr>
                <w:sz w:val="20"/>
                <w:szCs w:val="20"/>
                <w:color w:val="auto"/>
              </w:rPr>
            </w:pPr>
            <w:r>
              <w:rPr>
                <w:rFonts w:ascii="Arial" w:cs="Arial" w:eastAsia="Arial" w:hAnsi="Arial"/>
                <w:sz w:val="14"/>
                <w:szCs w:val="14"/>
                <w:color w:val="auto"/>
              </w:rPr>
              <w:t>UCC Filing Jurisdictions</w:t>
            </w:r>
          </w:p>
        </w:tc>
      </w:tr>
      <w:tr>
        <w:trPr>
          <w:trHeight w:val="76"/>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5.3(b)</w:t>
            </w:r>
          </w:p>
        </w:tc>
        <w:tc>
          <w:tcPr>
            <w:tcW w:w="7580" w:type="dxa"/>
            <w:vAlign w:val="bottom"/>
          </w:tcPr>
          <w:p>
            <w:pPr>
              <w:ind w:left="120"/>
              <w:spacing w:after="0"/>
              <w:rPr>
                <w:sz w:val="20"/>
                <w:szCs w:val="20"/>
                <w:color w:val="auto"/>
              </w:rPr>
            </w:pPr>
            <w:r>
              <w:rPr>
                <w:rFonts w:ascii="Arial" w:cs="Arial" w:eastAsia="Arial" w:hAnsi="Arial"/>
                <w:sz w:val="14"/>
                <w:szCs w:val="14"/>
                <w:color w:val="auto"/>
              </w:rPr>
              <w:t>Real Property</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5.7</w:t>
            </w:r>
          </w:p>
        </w:tc>
        <w:tc>
          <w:tcPr>
            <w:tcW w:w="7580" w:type="dxa"/>
            <w:vAlign w:val="bottom"/>
          </w:tcPr>
          <w:p>
            <w:pPr>
              <w:ind w:left="120"/>
              <w:spacing w:after="0"/>
              <w:rPr>
                <w:sz w:val="20"/>
                <w:szCs w:val="20"/>
                <w:color w:val="auto"/>
              </w:rPr>
            </w:pPr>
            <w:r>
              <w:rPr>
                <w:rFonts w:ascii="Arial" w:cs="Arial" w:eastAsia="Arial" w:hAnsi="Arial"/>
                <w:sz w:val="14"/>
                <w:szCs w:val="14"/>
                <w:color w:val="auto"/>
              </w:rPr>
              <w:t>Compliance with Laws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5.9</w:t>
            </w:r>
          </w:p>
        </w:tc>
        <w:tc>
          <w:tcPr>
            <w:tcW w:w="7580" w:type="dxa"/>
            <w:vAlign w:val="bottom"/>
          </w:tcPr>
          <w:p>
            <w:pPr>
              <w:ind w:left="120"/>
              <w:spacing w:after="0"/>
              <w:rPr>
                <w:sz w:val="20"/>
                <w:szCs w:val="20"/>
                <w:color w:val="auto"/>
              </w:rPr>
            </w:pPr>
            <w:r>
              <w:rPr>
                <w:rFonts w:ascii="Arial" w:cs="Arial" w:eastAsia="Arial" w:hAnsi="Arial"/>
                <w:sz w:val="14"/>
                <w:szCs w:val="14"/>
                <w:color w:val="auto"/>
              </w:rPr>
              <w:t>Litigation</w:t>
            </w:r>
          </w:p>
        </w:tc>
      </w:tr>
      <w:tr>
        <w:trPr>
          <w:trHeight w:val="76"/>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5.10</w:t>
            </w:r>
          </w:p>
        </w:tc>
        <w:tc>
          <w:tcPr>
            <w:tcW w:w="7580" w:type="dxa"/>
            <w:vAlign w:val="bottom"/>
          </w:tcPr>
          <w:p>
            <w:pPr>
              <w:ind w:left="120"/>
              <w:spacing w:after="0"/>
              <w:rPr>
                <w:sz w:val="20"/>
                <w:szCs w:val="20"/>
                <w:color w:val="auto"/>
              </w:rPr>
            </w:pPr>
            <w:r>
              <w:rPr>
                <w:rFonts w:ascii="Arial" w:cs="Arial" w:eastAsia="Arial" w:hAnsi="Arial"/>
                <w:sz w:val="14"/>
                <w:szCs w:val="14"/>
                <w:color w:val="auto"/>
              </w:rPr>
              <w:t>Required Consents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5.15</w:t>
            </w:r>
          </w:p>
        </w:tc>
        <w:tc>
          <w:tcPr>
            <w:tcW w:w="7580" w:type="dxa"/>
            <w:vAlign w:val="bottom"/>
          </w:tcPr>
          <w:p>
            <w:pPr>
              <w:ind w:left="120"/>
              <w:spacing w:after="0"/>
              <w:rPr>
                <w:sz w:val="20"/>
                <w:szCs w:val="20"/>
                <w:color w:val="auto"/>
              </w:rPr>
            </w:pPr>
            <w:r>
              <w:rPr>
                <w:rFonts w:ascii="Arial" w:cs="Arial" w:eastAsia="Arial" w:hAnsi="Arial"/>
                <w:sz w:val="14"/>
                <w:szCs w:val="14"/>
                <w:color w:val="auto"/>
              </w:rPr>
              <w:t>Environmental and Safety Matters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5.16</w:t>
            </w:r>
          </w:p>
        </w:tc>
        <w:tc>
          <w:tcPr>
            <w:tcW w:w="7580" w:type="dxa"/>
            <w:vAlign w:val="bottom"/>
          </w:tcPr>
          <w:p>
            <w:pPr>
              <w:ind w:left="120"/>
              <w:spacing w:after="0"/>
              <w:rPr>
                <w:sz w:val="20"/>
                <w:szCs w:val="20"/>
                <w:color w:val="auto"/>
              </w:rPr>
            </w:pPr>
            <w:r>
              <w:rPr>
                <w:rFonts w:ascii="Arial" w:cs="Arial" w:eastAsia="Arial" w:hAnsi="Arial"/>
                <w:sz w:val="14"/>
                <w:szCs w:val="14"/>
                <w:color w:val="auto"/>
              </w:rPr>
              <w:t>Subsidiaries</w:t>
            </w:r>
          </w:p>
        </w:tc>
      </w:tr>
      <w:tr>
        <w:trPr>
          <w:trHeight w:val="76"/>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5.17</w:t>
            </w:r>
          </w:p>
        </w:tc>
        <w:tc>
          <w:tcPr>
            <w:tcW w:w="7580" w:type="dxa"/>
            <w:vAlign w:val="bottom"/>
          </w:tcPr>
          <w:p>
            <w:pPr>
              <w:ind w:left="120"/>
              <w:spacing w:after="0"/>
              <w:rPr>
                <w:sz w:val="20"/>
                <w:szCs w:val="20"/>
                <w:color w:val="auto"/>
              </w:rPr>
            </w:pPr>
            <w:r>
              <w:rPr>
                <w:rFonts w:ascii="Arial" w:cs="Arial" w:eastAsia="Arial" w:hAnsi="Arial"/>
                <w:sz w:val="14"/>
                <w:szCs w:val="14"/>
                <w:color w:val="auto"/>
              </w:rPr>
              <w:t>Employment Agreements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6"/>
        </w:trPr>
        <w:tc>
          <w:tcPr>
            <w:tcW w:w="840" w:type="dxa"/>
            <w:vAlign w:val="bottom"/>
          </w:tcPr>
          <w:p>
            <w:pPr>
              <w:ind w:left="160"/>
              <w:spacing w:after="0"/>
              <w:rPr>
                <w:sz w:val="20"/>
                <w:szCs w:val="20"/>
                <w:color w:val="auto"/>
              </w:rPr>
            </w:pPr>
            <w:r>
              <w:rPr>
                <w:rFonts w:ascii="Arial" w:cs="Arial" w:eastAsia="Arial" w:hAnsi="Arial"/>
                <w:sz w:val="14"/>
                <w:szCs w:val="14"/>
                <w:color w:val="auto"/>
              </w:rPr>
              <w:t>5.18</w:t>
            </w:r>
          </w:p>
        </w:tc>
        <w:tc>
          <w:tcPr>
            <w:tcW w:w="7580" w:type="dxa"/>
            <w:vAlign w:val="bottom"/>
          </w:tcPr>
          <w:p>
            <w:pPr>
              <w:ind w:left="120"/>
              <w:spacing w:after="0"/>
              <w:rPr>
                <w:sz w:val="20"/>
                <w:szCs w:val="20"/>
                <w:color w:val="auto"/>
              </w:rPr>
            </w:pPr>
            <w:r>
              <w:rPr>
                <w:rFonts w:ascii="Arial" w:cs="Arial" w:eastAsia="Arial" w:hAnsi="Arial"/>
                <w:sz w:val="14"/>
                <w:szCs w:val="14"/>
                <w:color w:val="auto"/>
              </w:rPr>
              <w:t>Material Contracts</w:t>
            </w:r>
          </w:p>
        </w:tc>
      </w:tr>
      <w:tr>
        <w:trPr>
          <w:trHeight w:val="35"/>
        </w:trPr>
        <w:tc>
          <w:tcPr>
            <w:tcW w:w="840" w:type="dxa"/>
            <w:vAlign w:val="bottom"/>
            <w:tcBorders>
              <w:bottom w:val="single" w:sz="8" w:color="auto"/>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80" w:type="dxa"/>
            <w:vAlign w:val="bottom"/>
          </w:tcPr>
          <w:p>
            <w:pPr>
              <w:ind w:left="160"/>
              <w:spacing w:after="0"/>
              <w:rPr>
                <w:sz w:val="20"/>
                <w:szCs w:val="20"/>
                <w:color w:val="auto"/>
              </w:rPr>
            </w:pPr>
            <w:r>
              <w:rPr>
                <w:rFonts w:ascii="Arial" w:cs="Arial" w:eastAsia="Arial" w:hAnsi="Arial"/>
                <w:sz w:val="14"/>
                <w:szCs w:val="14"/>
                <w:color w:val="auto"/>
              </w:rPr>
              <w:t>5.20</w:t>
            </w:r>
          </w:p>
        </w:tc>
        <w:tc>
          <w:tcPr>
            <w:tcW w:w="7640" w:type="dxa"/>
            <w:vAlign w:val="bottom"/>
          </w:tcPr>
          <w:p>
            <w:pPr>
              <w:ind w:left="180"/>
              <w:spacing w:after="0"/>
              <w:rPr>
                <w:sz w:val="20"/>
                <w:szCs w:val="20"/>
                <w:color w:val="auto"/>
              </w:rPr>
            </w:pPr>
            <w:r>
              <w:rPr>
                <w:rFonts w:ascii="Arial" w:cs="Arial" w:eastAsia="Arial" w:hAnsi="Arial"/>
                <w:sz w:val="14"/>
                <w:szCs w:val="14"/>
                <w:color w:val="auto"/>
              </w:rPr>
              <w:t>Capital Structure</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5.23</w:t>
            </w:r>
          </w:p>
        </w:tc>
        <w:tc>
          <w:tcPr>
            <w:tcW w:w="7640" w:type="dxa"/>
            <w:vAlign w:val="bottom"/>
          </w:tcPr>
          <w:p>
            <w:pPr>
              <w:ind w:left="180"/>
              <w:spacing w:after="0"/>
              <w:rPr>
                <w:sz w:val="20"/>
                <w:szCs w:val="20"/>
                <w:color w:val="auto"/>
              </w:rPr>
            </w:pPr>
            <w:r>
              <w:rPr>
                <w:rFonts w:ascii="Arial" w:cs="Arial" w:eastAsia="Arial" w:hAnsi="Arial"/>
                <w:sz w:val="14"/>
                <w:szCs w:val="14"/>
                <w:color w:val="auto"/>
              </w:rPr>
              <w:t>Employment Matters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5.29</w:t>
            </w:r>
          </w:p>
        </w:tc>
        <w:tc>
          <w:tcPr>
            <w:tcW w:w="7640" w:type="dxa"/>
            <w:vAlign w:val="bottom"/>
          </w:tcPr>
          <w:p>
            <w:pPr>
              <w:ind w:left="180"/>
              <w:spacing w:after="0"/>
              <w:rPr>
                <w:sz w:val="20"/>
                <w:szCs w:val="20"/>
                <w:color w:val="auto"/>
              </w:rPr>
            </w:pPr>
            <w:r>
              <w:rPr>
                <w:rFonts w:ascii="Arial" w:cs="Arial" w:eastAsia="Arial" w:hAnsi="Arial"/>
                <w:sz w:val="14"/>
                <w:szCs w:val="14"/>
                <w:color w:val="auto"/>
              </w:rPr>
              <w:t>Licenses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6"/>
        </w:trPr>
        <w:tc>
          <w:tcPr>
            <w:tcW w:w="780" w:type="dxa"/>
            <w:vAlign w:val="bottom"/>
          </w:tcPr>
          <w:p>
            <w:pPr>
              <w:ind w:left="160"/>
              <w:spacing w:after="0"/>
              <w:rPr>
                <w:sz w:val="20"/>
                <w:szCs w:val="20"/>
                <w:color w:val="auto"/>
              </w:rPr>
            </w:pPr>
            <w:r>
              <w:rPr>
                <w:rFonts w:ascii="Arial" w:cs="Arial" w:eastAsia="Arial" w:hAnsi="Arial"/>
                <w:sz w:val="14"/>
                <w:szCs w:val="14"/>
                <w:color w:val="auto"/>
              </w:rPr>
              <w:t>5.33(b)</w:t>
            </w:r>
          </w:p>
        </w:tc>
        <w:tc>
          <w:tcPr>
            <w:tcW w:w="7640" w:type="dxa"/>
            <w:vAlign w:val="bottom"/>
          </w:tcPr>
          <w:p>
            <w:pPr>
              <w:ind w:left="180"/>
              <w:spacing w:after="0"/>
              <w:rPr>
                <w:sz w:val="20"/>
                <w:szCs w:val="20"/>
                <w:color w:val="auto"/>
              </w:rPr>
            </w:pPr>
            <w:r>
              <w:rPr>
                <w:rFonts w:ascii="Arial" w:cs="Arial" w:eastAsia="Arial" w:hAnsi="Arial"/>
                <w:sz w:val="14"/>
                <w:szCs w:val="14"/>
                <w:color w:val="auto"/>
              </w:rPr>
              <w:t>Credit Party Data</w:t>
            </w:r>
          </w:p>
        </w:tc>
      </w:tr>
      <w:tr>
        <w:trPr>
          <w:trHeight w:val="75"/>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6"/>
        </w:trPr>
        <w:tc>
          <w:tcPr>
            <w:tcW w:w="780" w:type="dxa"/>
            <w:vAlign w:val="bottom"/>
          </w:tcPr>
          <w:p>
            <w:pPr>
              <w:ind w:left="160"/>
              <w:spacing w:after="0"/>
              <w:rPr>
                <w:sz w:val="20"/>
                <w:szCs w:val="20"/>
                <w:color w:val="auto"/>
              </w:rPr>
            </w:pPr>
            <w:r>
              <w:rPr>
                <w:rFonts w:ascii="Arial" w:cs="Arial" w:eastAsia="Arial" w:hAnsi="Arial"/>
                <w:sz w:val="14"/>
                <w:szCs w:val="14"/>
                <w:color w:val="auto"/>
              </w:rPr>
              <w:t>7.1</w:t>
            </w:r>
          </w:p>
        </w:tc>
        <w:tc>
          <w:tcPr>
            <w:tcW w:w="7640" w:type="dxa"/>
            <w:vAlign w:val="bottom"/>
          </w:tcPr>
          <w:p>
            <w:pPr>
              <w:ind w:left="180"/>
              <w:spacing w:after="0"/>
              <w:rPr>
                <w:sz w:val="20"/>
                <w:szCs w:val="20"/>
                <w:color w:val="auto"/>
              </w:rPr>
            </w:pPr>
            <w:r>
              <w:rPr>
                <w:rFonts w:ascii="Arial" w:cs="Arial" w:eastAsia="Arial" w:hAnsi="Arial"/>
                <w:sz w:val="14"/>
                <w:szCs w:val="14"/>
                <w:color w:val="auto"/>
              </w:rPr>
              <w:t>Existing Debt</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7.2</w:t>
            </w:r>
          </w:p>
        </w:tc>
        <w:tc>
          <w:tcPr>
            <w:tcW w:w="7640" w:type="dxa"/>
            <w:vAlign w:val="bottom"/>
          </w:tcPr>
          <w:p>
            <w:pPr>
              <w:ind w:left="180"/>
              <w:spacing w:after="0"/>
              <w:rPr>
                <w:sz w:val="20"/>
                <w:szCs w:val="20"/>
                <w:color w:val="auto"/>
              </w:rPr>
            </w:pPr>
            <w:r>
              <w:rPr>
                <w:rFonts w:ascii="Arial" w:cs="Arial" w:eastAsia="Arial" w:hAnsi="Arial"/>
                <w:sz w:val="14"/>
                <w:szCs w:val="14"/>
                <w:color w:val="auto"/>
              </w:rPr>
              <w:t>Existing Liens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7.6</w:t>
            </w:r>
          </w:p>
        </w:tc>
        <w:tc>
          <w:tcPr>
            <w:tcW w:w="7640" w:type="dxa"/>
            <w:vAlign w:val="bottom"/>
          </w:tcPr>
          <w:p>
            <w:pPr>
              <w:ind w:left="180"/>
              <w:spacing w:after="0"/>
              <w:rPr>
                <w:sz w:val="20"/>
                <w:szCs w:val="20"/>
                <w:color w:val="auto"/>
              </w:rPr>
            </w:pPr>
            <w:r>
              <w:rPr>
                <w:rFonts w:ascii="Arial" w:cs="Arial" w:eastAsia="Arial" w:hAnsi="Arial"/>
                <w:sz w:val="14"/>
                <w:szCs w:val="14"/>
                <w:color w:val="auto"/>
              </w:rPr>
              <w:t>Existing Investments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7.7</w:t>
            </w:r>
          </w:p>
        </w:tc>
        <w:tc>
          <w:tcPr>
            <w:tcW w:w="7640" w:type="dxa"/>
            <w:vAlign w:val="bottom"/>
          </w:tcPr>
          <w:p>
            <w:pPr>
              <w:ind w:left="180"/>
              <w:spacing w:after="0"/>
              <w:rPr>
                <w:sz w:val="20"/>
                <w:szCs w:val="20"/>
                <w:color w:val="auto"/>
              </w:rPr>
            </w:pPr>
            <w:r>
              <w:rPr>
                <w:rFonts w:ascii="Arial" w:cs="Arial" w:eastAsia="Arial" w:hAnsi="Arial"/>
                <w:sz w:val="14"/>
                <w:szCs w:val="14"/>
                <w:color w:val="auto"/>
              </w:rPr>
              <w:t>Affiliate Transactions</w:t>
            </w:r>
          </w:p>
        </w:tc>
      </w:tr>
      <w:tr>
        <w:trPr>
          <w:trHeight w:val="35"/>
        </w:trPr>
        <w:tc>
          <w:tcPr>
            <w:tcW w:w="78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Amended and Restated Credit Agreement is made as of [      ], 2025, by and among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-7620</wp:posOffset>
            </wp:positionV>
            <wp:extent cx="228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from time to time party hereto (individually a “</w:t>
      </w:r>
      <w:r>
        <w:rPr>
          <w:rFonts w:ascii="Arial" w:cs="Arial" w:eastAsia="Arial" w:hAnsi="Arial"/>
          <w:sz w:val="18"/>
          <w:szCs w:val="18"/>
          <w:b w:val="1"/>
          <w:bCs w:val="1"/>
          <w:color w:val="auto"/>
        </w:rPr>
        <w:t>Lender</w:t>
      </w:r>
      <w:r>
        <w:rPr>
          <w:rFonts w:ascii="Arial" w:cs="Arial" w:eastAsia="Arial" w:hAnsi="Arial"/>
          <w:sz w:val="18"/>
          <w:szCs w:val="18"/>
          <w:color w:val="auto"/>
        </w:rPr>
        <w:t>,” and any and all such lenders collectively the</w:t>
      </w:r>
    </w:p>
    <w:p>
      <w:pPr>
        <w:ind w:left="3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CHS (US) Management LLC (“</w:t>
      </w:r>
      <w:r>
        <w:rPr>
          <w:rFonts w:ascii="Arial" w:cs="Arial" w:eastAsia="Arial" w:hAnsi="Arial"/>
          <w:sz w:val="18"/>
          <w:szCs w:val="18"/>
          <w:b w:val="1"/>
          <w:bCs w:val="1"/>
          <w:color w:val="auto"/>
        </w:rPr>
        <w:t>CHS</w:t>
      </w:r>
      <w:r>
        <w:rPr>
          <w:rFonts w:ascii="Arial" w:cs="Arial" w:eastAsia="Arial" w:hAnsi="Arial"/>
          <w:sz w:val="18"/>
          <w:szCs w:val="18"/>
          <w:color w:val="auto"/>
        </w:rPr>
        <w:t>”), as the administrative agent for the Lenders (in such</w:t>
      </w:r>
    </w:p>
    <w:p>
      <w:pPr>
        <w:ind w:left="300"/>
        <w:spacing w:after="0" w:line="235" w:lineRule="auto"/>
        <w:rPr>
          <w:sz w:val="20"/>
          <w:szCs w:val="20"/>
          <w:color w:val="auto"/>
        </w:rPr>
      </w:pPr>
      <w:r>
        <w:rPr>
          <w:rFonts w:ascii="Arial" w:cs="Arial" w:eastAsia="Arial" w:hAnsi="Arial"/>
          <w:sz w:val="18"/>
          <w:szCs w:val="18"/>
          <w:color w:val="auto"/>
        </w:rPr>
        <w:t>capacity, together with its successors and assigns in such capacity, the “</w:t>
      </w:r>
      <w:r>
        <w:rPr>
          <w:rFonts w:ascii="Arial" w:cs="Arial" w:eastAsia="Arial" w:hAnsi="Arial"/>
          <w:sz w:val="18"/>
          <w:szCs w:val="18"/>
          <w:b w:val="1"/>
          <w:bCs w:val="1"/>
          <w:color w:val="auto"/>
        </w:rPr>
        <w:t>Agent</w:t>
      </w:r>
      <w:r>
        <w:rPr>
          <w:rFonts w:ascii="Arial" w:cs="Arial" w:eastAsia="Arial" w:hAnsi="Arial"/>
          <w:sz w:val="18"/>
          <w:szCs w:val="18"/>
          <w:color w:val="auto"/>
        </w:rPr>
        <w:t>”), and Rent the Runway,</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WHEREAS, reference is made to that certain Credit Agreement, dated as of July 23, 2018, by and among the lenders from time to time party thereto (individually, an “</w:t>
      </w:r>
      <w:r>
        <w:rPr>
          <w:rFonts w:ascii="Arial" w:cs="Arial" w:eastAsia="Arial" w:hAnsi="Arial"/>
          <w:sz w:val="18"/>
          <w:szCs w:val="18"/>
          <w:b w:val="1"/>
          <w:bCs w:val="1"/>
          <w:color w:val="auto"/>
        </w:rPr>
        <w:t>Existing Lender</w:t>
      </w:r>
      <w:r>
        <w:rPr>
          <w:rFonts w:ascii="Arial" w:cs="Arial" w:eastAsia="Arial" w:hAnsi="Arial"/>
          <w:sz w:val="18"/>
          <w:szCs w:val="18"/>
          <w:color w:val="auto"/>
        </w:rPr>
        <w:t>” and any and all such lenders collectively, the “</w:t>
      </w:r>
      <w:r>
        <w:rPr>
          <w:rFonts w:ascii="Arial" w:cs="Arial" w:eastAsia="Arial" w:hAnsi="Arial"/>
          <w:sz w:val="18"/>
          <w:szCs w:val="18"/>
          <w:b w:val="1"/>
          <w:bCs w:val="1"/>
          <w:color w:val="auto"/>
        </w:rPr>
        <w:t>Existing Lenders</w:t>
      </w:r>
      <w:r>
        <w:rPr>
          <w:rFonts w:ascii="Arial" w:cs="Arial" w:eastAsia="Arial" w:hAnsi="Arial"/>
          <w:sz w:val="18"/>
          <w:szCs w:val="18"/>
          <w:color w:val="auto"/>
        </w:rPr>
        <w:t>”; it being understood that each Existing Lender is a Lender hereunder), the Agent and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the Ninth Amendment to Credit Agreement, dated as of January 31, 2023, the Tenth Amendment to Credit Agreement, dated as of December 1, 2023, the Eleventh Amendment to Credit Agreement, dated as of March 31, 2025, the Twelfth Amendment to Credit Agreement, dated as of May 29, 2025, and as further amended, amended and restated, supplemented or otherwise modified prior to the date hereof, the “</w:t>
      </w:r>
      <w:r>
        <w:rPr>
          <w:rFonts w:ascii="Arial" w:cs="Arial" w:eastAsia="Arial" w:hAnsi="Arial"/>
          <w:sz w:val="18"/>
          <w:szCs w:val="18"/>
          <w:b w:val="1"/>
          <w:bCs w:val="1"/>
          <w:color w:val="auto"/>
        </w:rPr>
        <w:t>Original Credit Agreement</w:t>
      </w:r>
      <w:r>
        <w:rPr>
          <w:rFonts w:ascii="Arial" w:cs="Arial" w:eastAsia="Arial" w:hAnsi="Arial"/>
          <w:sz w:val="18"/>
          <w:szCs w:val="18"/>
          <w:color w:val="auto"/>
        </w:rPr>
        <w:t>”);</w:t>
      </w:r>
    </w:p>
    <w:p>
      <w:pPr>
        <w:spacing w:after="0" w:line="64" w:lineRule="exact"/>
        <w:rPr>
          <w:sz w:val="20"/>
          <w:szCs w:val="20"/>
          <w:color w:val="auto"/>
        </w:rPr>
      </w:pPr>
    </w:p>
    <w:p>
      <w:pPr>
        <w:ind w:left="300" w:right="479"/>
        <w:spacing w:after="0" w:line="281" w:lineRule="auto"/>
        <w:rPr>
          <w:sz w:val="20"/>
          <w:szCs w:val="20"/>
          <w:color w:val="auto"/>
        </w:rPr>
      </w:pPr>
      <w:r>
        <w:rPr>
          <w:rFonts w:ascii="Arial" w:cs="Arial" w:eastAsia="Arial" w:hAnsi="Arial"/>
          <w:sz w:val="18"/>
          <w:szCs w:val="18"/>
          <w:color w:val="auto"/>
        </w:rPr>
        <w:t>WHEREAS, pursuant to the Original Credit Agreement, the Existing Lenders extended a credit facility to the Borrower consisting of term loans (the “</w:t>
      </w:r>
      <w:r>
        <w:rPr>
          <w:rFonts w:ascii="Arial" w:cs="Arial" w:eastAsia="Arial" w:hAnsi="Arial"/>
          <w:sz w:val="18"/>
          <w:szCs w:val="18"/>
          <w:b w:val="1"/>
          <w:bCs w:val="1"/>
          <w:color w:val="auto"/>
        </w:rPr>
        <w:t>Existing Term Loans</w:t>
      </w:r>
      <w:r>
        <w:rPr>
          <w:rFonts w:ascii="Arial" w:cs="Arial" w:eastAsia="Arial" w:hAnsi="Arial"/>
          <w:sz w:val="18"/>
          <w:szCs w:val="18"/>
          <w:color w:val="auto"/>
        </w:rPr>
        <w:t>”);</w:t>
      </w:r>
    </w:p>
    <w:p>
      <w:pPr>
        <w:spacing w:after="0" w:line="2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WHEREAS, the Borrower and the Existing Lenders hereby agree that notwithstanding the terms of the Original Credit Agreement, pursuant to Section 2.1(a), all accrued but unpaid interest on the Existing Term Loans under the Original Credit Agreement shall be deemed to have been paid by capitalizing such interest and adding such capitalized interest to the outstanding principal amount of the Existing Term Loans (the “</w:t>
      </w:r>
      <w:r>
        <w:rPr>
          <w:rFonts w:ascii="Arial" w:cs="Arial" w:eastAsia="Arial" w:hAnsi="Arial"/>
          <w:sz w:val="18"/>
          <w:szCs w:val="18"/>
          <w:b w:val="1"/>
          <w:bCs w:val="1"/>
          <w:color w:val="auto"/>
        </w:rPr>
        <w:t>Interest Capitalization</w:t>
      </w:r>
      <w:r>
        <w:rPr>
          <w:rFonts w:ascii="Arial" w:cs="Arial" w:eastAsia="Arial" w:hAnsi="Arial"/>
          <w:sz w:val="18"/>
          <w:szCs w:val="18"/>
          <w:color w:val="auto"/>
        </w:rPr>
        <w:t xml:space="preserve">”), and after giving effect to such capitalization, the aggregate principal amount of Existing Term Loans is set forth opposite each Existing Lender’s name in Section 1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77"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WHEREAS, immediately after the Interest Capitalization on the Restatement Date (as hereinafter defined), the Existing Lenders exchanged a portion of their Existing Term Loans in an aggregate principal amount equal to $[          ] for [    ] shares of Class A Common Stock of the Borrower representing approximately 86% of the issued and outstanding Equity Interests of the Borrower on a fully diluted basis as of the Restatement Date (such exchange, the “</w:t>
      </w:r>
      <w:r>
        <w:rPr>
          <w:rFonts w:ascii="Arial" w:cs="Arial" w:eastAsia="Arial" w:hAnsi="Arial"/>
          <w:sz w:val="18"/>
          <w:szCs w:val="18"/>
          <w:b w:val="1"/>
          <w:bCs w:val="1"/>
          <w:color w:val="auto"/>
        </w:rPr>
        <w:t>Debt for Equity Exchange</w:t>
      </w:r>
      <w:r>
        <w:rPr>
          <w:rFonts w:ascii="Arial" w:cs="Arial" w:eastAsia="Arial" w:hAnsi="Arial"/>
          <w:sz w:val="18"/>
          <w:szCs w:val="18"/>
          <w:color w:val="auto"/>
        </w:rPr>
        <w:t>”) in accordance with the terms and subject to the conditions in the Exchange Agreement (as hereinafter defined). After giving effect to the Debt for Equity Exchange, the aggregate outstanding principal amount of Existing Term Loans is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-670560</wp:posOffset>
            </wp:positionV>
            <wp:extent cx="10598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52" w:lineRule="exact"/>
        <w:rPr>
          <w:sz w:val="20"/>
          <w:szCs w:val="20"/>
          <w:color w:val="auto"/>
        </w:rPr>
      </w:pPr>
    </w:p>
    <w:p>
      <w:pPr>
        <w:ind w:left="300" w:right="499"/>
        <w:spacing w:after="0" w:line="250" w:lineRule="auto"/>
        <w:rPr>
          <w:sz w:val="20"/>
          <w:szCs w:val="20"/>
          <w:color w:val="auto"/>
        </w:rPr>
      </w:pPr>
      <w:r>
        <w:rPr>
          <w:rFonts w:ascii="Arial" w:cs="Arial" w:eastAsia="Arial" w:hAnsi="Arial"/>
          <w:sz w:val="18"/>
          <w:szCs w:val="18"/>
          <w:color w:val="auto"/>
        </w:rPr>
        <w:t>WHEREAS, immediately after giving effect to the Debt for Equity Exchange, each Existing Lender is deemed, pursuant to Section 2.1(b) of this Agreement, to have exchanged all of its Existing Term Loans on a dollar-for-dollar cashless basis for Term Loans under this Agreement (such exchange,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Loan Exchange</w:t>
      </w:r>
      <w:r>
        <w:rPr>
          <w:rFonts w:ascii="Arial" w:cs="Arial" w:eastAsia="Arial" w:hAnsi="Arial"/>
          <w:sz w:val="18"/>
          <w:szCs w:val="18"/>
          <w:color w:val="auto"/>
        </w:rPr>
        <w:t>”);</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WHEREAS, immediately following the Initial Loan Exchange on the Restatement Date, the Existing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Lenders shall (a) assign a portion of their Term Loans in an aggregate principal amount equal to</w:t>
      </w:r>
    </w:p>
    <w:p>
      <w:pPr>
        <w:ind w:left="300"/>
        <w:spacing w:after="0" w:line="234" w:lineRule="auto"/>
        <w:rPr>
          <w:sz w:val="20"/>
          <w:szCs w:val="20"/>
          <w:color w:val="auto"/>
        </w:rPr>
      </w:pPr>
      <w:r>
        <w:rPr>
          <w:rFonts w:ascii="Arial" w:cs="Arial" w:eastAsia="Arial" w:hAnsi="Arial"/>
          <w:sz w:val="18"/>
          <w:szCs w:val="18"/>
          <w:color w:val="auto"/>
        </w:rPr>
        <w:t>$30,000,000 to the Restatement Date Assignees (as hereinafter defined) and (b) sell [      ]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-15240</wp:posOffset>
            </wp:positionV>
            <wp:extent cx="2286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color w:val="auto"/>
        </w:rPr>
        <w:t>Class A Common Stock of the Borrower to the Restatement Date Assignees, in each case, in accordance</w:t>
      </w:r>
    </w:p>
    <w:p>
      <w:pPr>
        <w:ind w:left="300"/>
        <w:spacing w:after="0" w:line="235" w:lineRule="auto"/>
        <w:rPr>
          <w:sz w:val="20"/>
          <w:szCs w:val="20"/>
          <w:color w:val="auto"/>
        </w:rPr>
      </w:pPr>
      <w:r>
        <w:rPr>
          <w:rFonts w:ascii="Arial" w:cs="Arial" w:eastAsia="Arial" w:hAnsi="Arial"/>
          <w:sz w:val="18"/>
          <w:szCs w:val="18"/>
          <w:color w:val="auto"/>
        </w:rPr>
        <w:t>with the terms and subject to the conditions in the Purchase and Sale Agreement (as hereinafter defined)</w:t>
      </w:r>
    </w:p>
    <w:p>
      <w:pPr>
        <w:ind w:left="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Restatement Date Assignment</w:t>
      </w:r>
      <w:r>
        <w:rPr>
          <w:rFonts w:ascii="Arial" w:cs="Arial" w:eastAsia="Arial" w:hAnsi="Arial"/>
          <w:sz w:val="18"/>
          <w:szCs w:val="18"/>
          <w:color w:val="auto"/>
        </w:rPr>
        <w:t>”);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WHEREAS, the Borrower has requested that, immediately following the Restatement Date Assignment, the Lenders with Restatement Date Term Loan Commitments (as hereinafter defined) extend credit to the Borrower consisting of Term Loans in the original principal amount of $20,000,000 on the Restatement Date in accordance with the terms and subject to the conditions set forth herein.</w:t>
      </w:r>
    </w:p>
    <w:p>
      <w:pPr>
        <w:spacing w:after="0" w:line="66" w:lineRule="exact"/>
        <w:rPr>
          <w:sz w:val="20"/>
          <w:szCs w:val="20"/>
          <w:color w:val="auto"/>
        </w:rPr>
      </w:pPr>
    </w:p>
    <w:p>
      <w:pPr>
        <w:ind w:left="300" w:right="619"/>
        <w:spacing w:after="0" w:line="271" w:lineRule="auto"/>
        <w:rPr>
          <w:sz w:val="20"/>
          <w:szCs w:val="20"/>
          <w:color w:val="auto"/>
        </w:rPr>
      </w:pPr>
      <w:r>
        <w:rPr>
          <w:rFonts w:ascii="Arial" w:cs="Arial" w:eastAsia="Arial" w:hAnsi="Arial"/>
          <w:sz w:val="18"/>
          <w:szCs w:val="18"/>
          <w:color w:val="auto"/>
        </w:rPr>
        <w:t>The Lenders are prepared to extend such credit as aforesaid, but only on the terms and conditions set forth in this Agreement.</w:t>
      </w:r>
    </w:p>
    <w:p>
      <w:pPr>
        <w:spacing w:after="0" w:line="46"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NOW THEREFORE, in consideration of the covenants contained herein, the Borrower, the Lenders, and the Agent agree as follows: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1.   DEFINITIONS.</w:t>
      </w:r>
    </w:p>
    <w:p>
      <w:pPr>
        <w:spacing w:after="0" w:line="104" w:lineRule="exact"/>
        <w:rPr>
          <w:sz w:val="20"/>
          <w:szCs w:val="20"/>
          <w:color w:val="auto"/>
        </w:rPr>
      </w:pPr>
    </w:p>
    <w:p>
      <w:pPr>
        <w:ind w:left="300" w:right="999"/>
        <w:spacing w:after="0" w:line="27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the purposes of this Agreement the following terms will have the following meanings:</w:t>
      </w:r>
    </w:p>
    <w:p>
      <w:pPr>
        <w:spacing w:after="0" w:line="46"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44"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Control Agreement(s)</w:t>
      </w:r>
      <w:r>
        <w:rPr>
          <w:rFonts w:ascii="Arial" w:cs="Arial" w:eastAsia="Arial" w:hAnsi="Arial"/>
          <w:sz w:val="18"/>
          <w:szCs w:val="18"/>
          <w:color w:val="auto"/>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spacing w:after="0" w:line="7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Term SOFR</w:t>
      </w:r>
      <w:r>
        <w:rPr>
          <w:rFonts w:ascii="Arial" w:cs="Arial" w:eastAsia="Arial" w:hAnsi="Arial"/>
          <w:sz w:val="18"/>
          <w:szCs w:val="18"/>
          <w:color w:val="auto"/>
        </w:rPr>
        <w:t>” means, for purposes of any calculation, the rate per annum equal to Term SOFR for such calculation; provided that if Adjusted Term SOFR as so determined shall ever be less than the Floor, then Adjusted Term SOFR shall be deemed to be the Floor.</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shall have the meaning set forth in Section 12.11 hereof.</w:t>
      </w:r>
    </w:p>
    <w:p>
      <w:pPr>
        <w:spacing w:after="0" w:line="104" w:lineRule="exact"/>
        <w:rPr>
          <w:sz w:val="20"/>
          <w:szCs w:val="20"/>
          <w:color w:val="auto"/>
        </w:rPr>
      </w:pPr>
    </w:p>
    <w:p>
      <w:pPr>
        <w:ind w:left="300" w:right="41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or their respective Affiliates or Related Funds be considered an “Affiliate” of any Credit Party.</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have the meaning set forth in the preamble.</w:t>
      </w:r>
    </w:p>
    <w:p>
      <w:pPr>
        <w:spacing w:after="0" w:line="104" w:lineRule="exact"/>
        <w:rPr>
          <w:sz w:val="20"/>
          <w:szCs w:val="20"/>
          <w:color w:val="auto"/>
        </w:rPr>
      </w:pPr>
    </w:p>
    <w:p>
      <w:pPr>
        <w:jc w:val="both"/>
        <w:ind w:left="300" w:right="6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Account</w:t>
      </w:r>
      <w:r>
        <w:rPr>
          <w:rFonts w:ascii="Arial" w:cs="Arial" w:eastAsia="Arial" w:hAnsi="Arial"/>
          <w:sz w:val="18"/>
          <w:szCs w:val="18"/>
          <w:color w:val="auto"/>
        </w:rPr>
        <w:t>” shall mean an account at a bank designated by the Agent from time to time as the account into which the Credit Parties shall make all payments to the Agent for the benefit of the Agent and the Lenders under this Agreement and the other Loan Documents.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Amounts Due</w:t>
      </w:r>
      <w:r>
        <w:rPr>
          <w:rFonts w:ascii="Arial" w:cs="Arial" w:eastAsia="Arial" w:hAnsi="Arial"/>
          <w:sz w:val="18"/>
          <w:szCs w:val="18"/>
          <w:color w:val="auto"/>
        </w:rPr>
        <w:t>” shall have the meaning set forth in Section 9.3 hereof.</w:t>
      </w:r>
    </w:p>
    <w:p>
      <w:pPr>
        <w:spacing w:after="0" w:line="104" w:lineRule="exact"/>
        <w:rPr>
          <w:sz w:val="20"/>
          <w:szCs w:val="20"/>
          <w:color w:val="auto"/>
        </w:rPr>
      </w:pPr>
    </w:p>
    <w:p>
      <w:pPr>
        <w:ind w:left="300" w:right="8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Credit Agreement and any annexes, exhibits and schedules attached hereto, as it may be amended, supplemented or otherwise modified from time to time.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 in Yield</w:t>
      </w:r>
      <w:r>
        <w:rPr>
          <w:rFonts w:ascii="Arial" w:cs="Arial" w:eastAsia="Arial" w:hAnsi="Arial"/>
          <w:sz w:val="18"/>
          <w:szCs w:val="18"/>
          <w:color w:val="auto"/>
        </w:rPr>
        <w:t>” shall have the meaning set forth in Section 2.11(b)(v) hereof.</w:t>
      </w:r>
    </w:p>
    <w:p>
      <w:pPr>
        <w:spacing w:after="0" w:line="104"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as of any date of determination, with respect to the interest rate of (a) any Reference Rate Loan or any portion thereof, 4.00% per annum and (b) any SOFR Loan or any portion thereof, 5.00% per annum.</w:t>
      </w:r>
    </w:p>
    <w:p>
      <w:pPr>
        <w:spacing w:after="0" w:line="61" w:lineRule="exact"/>
        <w:rPr>
          <w:sz w:val="20"/>
          <w:szCs w:val="20"/>
          <w:color w:val="auto"/>
        </w:rPr>
      </w:pPr>
    </w:p>
    <w:p>
      <w:pPr>
        <w:ind w:left="300" w:right="5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Application Event</w:t>
      </w:r>
      <w:r>
        <w:rPr>
          <w:rFonts w:ascii="Arial" w:cs="Arial" w:eastAsia="Arial" w:hAnsi="Arial"/>
          <w:sz w:val="18"/>
          <w:szCs w:val="18"/>
          <w:color w:val="auto"/>
        </w:rPr>
        <w:t>” shall mean the (a) occurrence of an Event of Default and (b) the election by the Agent or the Majority Lenders during the continuance of such Event of Default to require that payments and proceeds of Collateral be applied pursuant to Section 9.2(a).</w:t>
      </w:r>
    </w:p>
    <w:p>
      <w:pPr>
        <w:spacing w:after="0" w:line="6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spacing w:after="0" w:line="72" w:lineRule="exact"/>
        <w:rPr>
          <w:sz w:val="20"/>
          <w:szCs w:val="20"/>
          <w:color w:val="auto"/>
        </w:rPr>
      </w:pPr>
    </w:p>
    <w:p>
      <w:pPr>
        <w:ind w:left="30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shall mean an Assignment Agreement substantially in the form of Exhibit B hereto.</w:t>
      </w:r>
    </w:p>
    <w:p>
      <w:pPr>
        <w:spacing w:after="0" w:line="46"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Business Interruption Insurance Policy</w:t>
      </w:r>
      <w:r>
        <w:rPr>
          <w:rFonts w:ascii="Arial" w:cs="Arial" w:eastAsia="Arial" w:hAnsi="Arial"/>
          <w:sz w:val="18"/>
          <w:szCs w:val="18"/>
          <w:color w:val="auto"/>
        </w:rPr>
        <w:t>” means that certain Assignment of Business Interruption Insurance Policy as Collateral Security, dated as of the Restatement Date, made by the Borrower in favor of the Agent, in form and substance reasonably satisfactory to the Agent.</w:t>
      </w:r>
    </w:p>
    <w:p>
      <w:pPr>
        <w:spacing w:after="0" w:line="61" w:lineRule="exact"/>
        <w:rPr>
          <w:sz w:val="20"/>
          <w:szCs w:val="20"/>
          <w:color w:val="auto"/>
        </w:rPr>
      </w:pPr>
    </w:p>
    <w:p>
      <w:pPr>
        <w:jc w:val="both"/>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spacing w:after="0" w:line="6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Tenor</w:t>
      </w:r>
      <w:r>
        <w:rPr>
          <w:rFonts w:ascii="Arial" w:cs="Arial" w:eastAsia="Arial" w:hAnsi="Arial"/>
          <w:sz w:val="18"/>
          <w:szCs w:val="18"/>
          <w:color w:val="auto"/>
        </w:rPr>
        <w:t>” shall mean,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2.12(g)(iv).</w:t>
      </w:r>
    </w:p>
    <w:p>
      <w:pPr>
        <w:spacing w:after="0" w:line="72" w:lineRule="exact"/>
        <w:rPr>
          <w:sz w:val="20"/>
          <w:szCs w:val="20"/>
          <w:color w:val="auto"/>
        </w:rPr>
      </w:pPr>
    </w:p>
    <w:p>
      <w:pPr>
        <w:ind w:left="300" w:right="6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46"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shall mean Title 11 of the United States Code and the rules promulgated thereunder.</w:t>
      </w:r>
    </w:p>
    <w:p>
      <w:pPr>
        <w:spacing w:after="0" w:line="104"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w:t>
      </w:r>
      <w:r>
        <w:rPr>
          <w:rFonts w:ascii="Arial" w:cs="Arial" w:eastAsia="Arial" w:hAnsi="Arial"/>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2.12(g)(i).</w:t>
      </w:r>
    </w:p>
    <w:p>
      <w:pPr>
        <w:spacing w:after="0" w:line="66" w:lineRule="exact"/>
        <w:rPr>
          <w:sz w:val="20"/>
          <w:szCs w:val="20"/>
          <w:color w:val="auto"/>
        </w:rPr>
      </w:pPr>
    </w:p>
    <w:p>
      <w:pPr>
        <w:ind w:left="300" w:right="3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 with respect to any Benchmark Transition Event, the sum of: (a) the alternate benchmark rate that has been selected by the Agent in consultation with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 xml:space="preserve">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77"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in consultation with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72"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shall mean the earliest to occur of the following events with respect to the then-current Benchmark:</w:t>
      </w:r>
    </w:p>
    <w:p>
      <w:pPr>
        <w:spacing w:after="0" w:line="46" w:lineRule="exact"/>
        <w:rPr>
          <w:sz w:val="20"/>
          <w:szCs w:val="20"/>
          <w:color w:val="auto"/>
        </w:rPr>
      </w:pPr>
    </w:p>
    <w:p>
      <w:pPr>
        <w:ind w:left="660" w:right="519"/>
        <w:spacing w:after="0" w:line="244" w:lineRule="auto"/>
        <w:rPr>
          <w:sz w:val="20"/>
          <w:szCs w:val="20"/>
          <w:color w:val="auto"/>
        </w:rPr>
      </w:pPr>
      <w:r>
        <w:rPr>
          <w:rFonts w:ascii="Arial" w:cs="Arial" w:eastAsia="Arial" w:hAnsi="Arial"/>
          <w:sz w:val="18"/>
          <w:szCs w:val="18"/>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68"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77" w:lineRule="exact"/>
        <w:rPr>
          <w:sz w:val="20"/>
          <w:szCs w:val="20"/>
          <w:color w:val="auto"/>
        </w:rPr>
      </w:pPr>
    </w:p>
    <w:p>
      <w:pPr>
        <w:ind w:left="300" w:right="479"/>
        <w:spacing w:after="0" w:line="247" w:lineRule="auto"/>
        <w:rPr>
          <w:sz w:val="20"/>
          <w:szCs w:val="20"/>
          <w:color w:val="auto"/>
        </w:rPr>
      </w:pPr>
      <w:r>
        <w:rPr>
          <w:rFonts w:ascii="Arial" w:cs="Arial" w:eastAsia="Arial" w:hAnsi="Arial"/>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66" w:lineRule="exact"/>
        <w:rPr>
          <w:sz w:val="20"/>
          <w:szCs w:val="20"/>
          <w:color w:val="auto"/>
        </w:rPr>
      </w:pPr>
    </w:p>
    <w:p>
      <w:pPr>
        <w:ind w:left="30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shall mean the occurrence of one or more of the following events with respect to the then-current Benchmark:</w:t>
      </w:r>
    </w:p>
    <w:p>
      <w:pPr>
        <w:spacing w:after="0" w:line="46" w:lineRule="exact"/>
        <w:rPr>
          <w:sz w:val="20"/>
          <w:szCs w:val="20"/>
          <w:color w:val="auto"/>
        </w:rPr>
      </w:pPr>
    </w:p>
    <w:p>
      <w:pPr>
        <w:ind w:left="660" w:right="579"/>
        <w:spacing w:after="0" w:line="242" w:lineRule="auto"/>
        <w:rPr>
          <w:sz w:val="20"/>
          <w:szCs w:val="20"/>
          <w:color w:val="auto"/>
        </w:rPr>
      </w:pPr>
      <w:r>
        <w:rPr>
          <w:rFonts w:ascii="Arial" w:cs="Arial" w:eastAsia="Arial" w:hAnsi="Arial"/>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 xml:space="preserve">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66"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6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Start Date</w:t>
      </w:r>
      <w:r>
        <w:rPr>
          <w:rFonts w:ascii="Arial" w:cs="Arial" w:eastAsia="Arial" w:hAnsi="Arial"/>
          <w:sz w:val="18"/>
          <w:szCs w:val="18"/>
          <w:color w:val="auto"/>
        </w:rPr>
        <w:t>” means, in the case of a Benchmark Transition Event, the earlier of</w:t>
      </w:r>
    </w:p>
    <w:p>
      <w:pPr>
        <w:spacing w:after="0" w:line="14" w:lineRule="exact"/>
        <w:rPr>
          <w:sz w:val="20"/>
          <w:szCs w:val="20"/>
          <w:color w:val="auto"/>
        </w:rPr>
      </w:pPr>
    </w:p>
    <w:p>
      <w:pPr>
        <w:ind w:left="300" w:right="339" w:hanging="8"/>
        <w:spacing w:after="0" w:line="239" w:lineRule="auto"/>
        <w:tabs>
          <w:tab w:leader="none" w:pos="5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72"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2.12(g) and (b) ending at the time that a Benchmark Replacement has replaced the then-current Benchmark for all purposes hereunder and under any Loan Document in accordance with Section 2.12(g).</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Observer</w:t>
      </w:r>
      <w:r>
        <w:rPr>
          <w:rFonts w:ascii="Arial" w:cs="Arial" w:eastAsia="Arial" w:hAnsi="Arial"/>
          <w:sz w:val="18"/>
          <w:szCs w:val="18"/>
          <w:color w:val="auto"/>
        </w:rPr>
        <w:t>” shall have the meaning specified therefor in Section 6.9.</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BOD Meeting</w:t>
      </w:r>
      <w:r>
        <w:rPr>
          <w:rFonts w:ascii="Arial" w:cs="Arial" w:eastAsia="Arial" w:hAnsi="Arial"/>
          <w:sz w:val="18"/>
          <w:szCs w:val="18"/>
          <w:color w:val="auto"/>
        </w:rPr>
        <w:t>” shall have the meaning specified therefor in Section 6.9.</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set forth in the preamble to this Agreement.</w:t>
      </w:r>
    </w:p>
    <w:p>
      <w:pPr>
        <w:spacing w:after="0" w:line="104" w:lineRule="exact"/>
        <w:rPr>
          <w:sz w:val="20"/>
          <w:szCs w:val="20"/>
          <w:color w:val="auto"/>
        </w:rPr>
      </w:pPr>
    </w:p>
    <w:p>
      <w:pPr>
        <w:jc w:val="both"/>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or a Sunday on which commercial banks are open for domestic and international business (including dealings in foreign exchange) in New York, New York.</w:t>
      </w:r>
    </w:p>
    <w:p>
      <w:pPr>
        <w:spacing w:after="0" w:line="61"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and to be treated as a finance lease in accordance with GAAP.</w:t>
      </w:r>
    </w:p>
    <w:p>
      <w:pPr>
        <w:spacing w:after="0" w:line="66"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Secured L/C</w:t>
      </w:r>
      <w:r>
        <w:rPr>
          <w:rFonts w:ascii="Arial" w:cs="Arial" w:eastAsia="Arial" w:hAnsi="Arial"/>
          <w:sz w:val="18"/>
          <w:szCs w:val="18"/>
          <w:color w:val="auto"/>
        </w:rPr>
        <w:t>” shall mean, a letter of credit issued for the account of the Borrower or a Guarantor and for which the Borrower or Guarantor, as applicable, has provided cash collateral to the financial institution that is the issuer of such letter of credit.</w:t>
      </w:r>
    </w:p>
    <w:p>
      <w:pPr>
        <w:spacing w:after="0" w:line="61" w:lineRule="exact"/>
        <w:rPr>
          <w:sz w:val="20"/>
          <w:szCs w:val="20"/>
          <w:color w:val="auto"/>
        </w:rPr>
      </w:pPr>
    </w:p>
    <w:p>
      <w:pPr>
        <w:ind w:left="300" w:right="8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shall mean a Person that is a controlled foreign corporation under Section 957 of the Internal Revenue Code.</w:t>
      </w:r>
    </w:p>
    <w:p>
      <w:pPr>
        <w:spacing w:after="0" w:line="46"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any Domestic Subsidiary substantially all the assets of which consist (directly or indirectly) of equity interests (including, for this purpose, any debt or other instrument treated as equity for U.S. federal income tax purposes) and/or, if applicable, debt and equity interests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and equity interests in one or more Foreign Subsidiaries that are CFCs.</w:t>
      </w:r>
    </w:p>
    <w:p>
      <w:pPr>
        <w:spacing w:after="0" w:line="77" w:lineRule="exact"/>
        <w:rPr>
          <w:sz w:val="20"/>
          <w:szCs w:val="20"/>
          <w:color w:val="auto"/>
        </w:rPr>
      </w:pPr>
    </w:p>
    <w:p>
      <w:pPr>
        <w:ind w:left="300" w:right="5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shall mean the occurrence, after the Restatement Date, of any of the following: (i) the adoption or introduction of, or any change in any applicable law, treaty, rule or regulation (whether domestic or foreign) now or hereafter in effect and whether or not applicable to any Lender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w:t>
      </w:r>
      <w:r>
        <w:rPr>
          <w:rFonts w:ascii="Arial" w:cs="Arial" w:eastAsia="Arial" w:hAnsi="Arial"/>
          <w:sz w:val="18"/>
          <w:szCs w:val="18"/>
          <w:u w:val="single" w:color="auto"/>
          <w:color w:val="auto"/>
        </w:rPr>
        <w:t>Dodd-Frank Wall Street Reform and Consumer Protection Act</w:t>
      </w:r>
      <w:r>
        <w:rPr>
          <w:rFonts w:ascii="Arial" w:cs="Arial" w:eastAsia="Arial" w:hAnsi="Arial"/>
          <w:sz w:val="18"/>
          <w:szCs w:val="18"/>
          <w:color w:val="auto"/>
        </w:rPr>
        <w:t xml:space="preserve"> (Pub. L. 111-203, 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spacing w:after="0" w:line="7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 event or series of events by which (a) a transaction in which any “person” or “group” (within the meaning of Section 13(d) or 14(d) of the Securities Exchange Act of 1934, as amended) (other than one or more Permitted Holders)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one or more Permitted Holders)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either of the individuals holding the offices of chief executive officer or chief financial officer as of the Restatement Date shall for any reason cease to hold such office or be actively engaged in day-to-day management of the Borrower, unless a successor or an interim officer is appointed by the board of directors of the Borrower within 90 days of such cessation (and in the case of a chief executive officer, such successor or interim officer shall be reasonably acceptable to the Agent and the Majority Lenders), or (f) other than pursuant to a transaction expressly permitted under Section 7.4, the Borrower fails at any time to own, directly or indirectly, 100% of the Equity Interests of the other Credit Parties. For the avoidance of doubt, it shall be deemed a Change of Control if an entity is interposed directly above Borrower following the Restatement Date without the Agent’s consent or such direct parent entity does not become a Guarantor at the time of such formation, in accordance with Section 6.19(d). For the avoidance of doubt, no Change of Control will be deemed to have occurred by virtue of the Restatement Date Transactions.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CHS</w:t>
      </w:r>
      <w:r>
        <w:rPr>
          <w:rFonts w:ascii="Arial" w:cs="Arial" w:eastAsia="Arial" w:hAnsi="Arial"/>
          <w:sz w:val="18"/>
          <w:szCs w:val="18"/>
          <w:color w:val="auto"/>
        </w:rPr>
        <w:t>” has the meaning specified therefor in the preamble of this Agreement.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CHS Investments</w:t>
      </w:r>
      <w:r>
        <w:rPr>
          <w:rFonts w:ascii="Arial" w:cs="Arial" w:eastAsia="Arial" w:hAnsi="Arial"/>
          <w:sz w:val="18"/>
          <w:szCs w:val="18"/>
          <w:color w:val="auto"/>
        </w:rPr>
        <w:t>” means CHS US Investments LLC and its Controlled Investment Affiliates.</w:t>
      </w:r>
    </w:p>
    <w:p>
      <w:pPr>
        <w:spacing w:after="0" w:line="104"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shall mean (a) with respect to Lenders, each of the following classes of Lenders: (i) Lenders having Term Loan Exposure and (ii) Lenders having Incremental Term Loan Exposure of each applicable tranche, and (b) with respect to Loans, each of the following classes of Loans: (i) Term Loan and (ii) each tranche of Incremental Term Loans.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spacing w:after="0" w:line="6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Access Agreement</w:t>
      </w:r>
      <w:r>
        <w:rPr>
          <w:rFonts w:ascii="Arial" w:cs="Arial" w:eastAsia="Arial" w:hAnsi="Arial"/>
          <w:sz w:val="18"/>
          <w:szCs w:val="18"/>
          <w:color w:val="auto"/>
        </w:rPr>
        <w:t>” shall mean an agreement in form and substance satisfactory to the Agent in its reasonable discretion, pursuant to which a mortgagee or lessor of real property on which Collateral is stored or otherwise located, or a warehouseman, processor or other bailee of inventory or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spacing w:after="0" w:line="77"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shall mean the Security Agreement, the Pledge Agreements, the Mortgages, the Account Control Agreements, the Collateral Access Agreements, the Assignment of Business Interruption Insurance Policy, the Reaffirmation Agreement, and all other security documents (and any joinders thereto) executed by any Credit Party in favor of the Agent on or after the Original Effective Date, in connection with any of the foregoing collateral documents, in each case, as such collateral documents may be amended or otherwise modified from time to time.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Term Loan Commitments.</w:t>
      </w:r>
    </w:p>
    <w:p>
      <w:pPr>
        <w:spacing w:after="0" w:line="10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Changes</w:t>
      </w:r>
      <w:r>
        <w:rPr>
          <w:rFonts w:ascii="Arial" w:cs="Arial" w:eastAsia="Arial" w:hAnsi="Arial"/>
          <w:sz w:val="18"/>
          <w:szCs w:val="18"/>
          <w:color w:val="auto"/>
        </w:rPr>
        <w:t>” shall mean, with respect to either the use or administration of Term SOFR or the use, administration, adoption or implementation of any Benchmark Replacement, any technical, administrative or operational changes (including changes to the definition of “Reference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Agent decides may be necessary or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81"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w:t>
      </w:r>
      <w:r>
        <w:rPr>
          <w:rFonts w:ascii="Arial" w:cs="Arial" w:eastAsia="Arial" w:hAnsi="Arial"/>
          <w:sz w:val="18"/>
          <w:szCs w:val="18"/>
          <w:color w:val="auto"/>
        </w:rPr>
        <w:t>” (or “</w:t>
      </w:r>
      <w:r>
        <w:rPr>
          <w:rFonts w:ascii="Arial" w:cs="Arial" w:eastAsia="Arial" w:hAnsi="Arial"/>
          <w:sz w:val="18"/>
          <w:szCs w:val="18"/>
          <w:b w:val="1"/>
          <w:bCs w:val="1"/>
          <w:color w:val="auto"/>
        </w:rPr>
        <w:t>consolidated</w:t>
      </w:r>
      <w:r>
        <w:rPr>
          <w:rFonts w:ascii="Arial" w:cs="Arial" w:eastAsia="Arial" w:hAnsi="Arial"/>
          <w:sz w:val="18"/>
          <w:szCs w:val="18"/>
          <w:color w:val="auto"/>
        </w:rPr>
        <w:t>”) or “</w:t>
      </w:r>
      <w:r>
        <w:rPr>
          <w:rFonts w:ascii="Arial" w:cs="Arial" w:eastAsia="Arial" w:hAnsi="Arial"/>
          <w:sz w:val="18"/>
          <w:szCs w:val="18"/>
          <w:b w:val="1"/>
          <w:bCs w:val="1"/>
          <w:color w:val="auto"/>
        </w:rPr>
        <w:t>Consolidating</w:t>
      </w:r>
      <w:r>
        <w:rPr>
          <w:rFonts w:ascii="Arial" w:cs="Arial" w:eastAsia="Arial" w:hAnsi="Arial"/>
          <w:sz w:val="18"/>
          <w:szCs w:val="18"/>
          <w:color w:val="auto"/>
        </w:rPr>
        <w:t>” (or “</w:t>
      </w:r>
      <w:r>
        <w:rPr>
          <w:rFonts w:ascii="Arial" w:cs="Arial" w:eastAsia="Arial" w:hAnsi="Arial"/>
          <w:sz w:val="18"/>
          <w:szCs w:val="18"/>
          <w:b w:val="1"/>
          <w:bCs w:val="1"/>
          <w:color w:val="auto"/>
        </w:rPr>
        <w:t>consolidating</w:t>
      </w:r>
      <w:r>
        <w:rPr>
          <w:rFonts w:ascii="Arial" w:cs="Arial" w:eastAsia="Arial" w:hAnsi="Arial"/>
          <w:sz w:val="18"/>
          <w:szCs w:val="18"/>
          <w:color w:val="auto"/>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spacing w:after="0" w:line="71"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shall mean, as to any Person, any provision of any security issued by such Person or of any material agreement, instrument or other undertaking to which such Person is a party or by which it or any of its property is bound.</w:t>
      </w:r>
    </w:p>
    <w:p>
      <w:pPr>
        <w:spacing w:after="0" w:line="61"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61"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Investment Affiliate</w:t>
      </w:r>
      <w:r>
        <w:rPr>
          <w:rFonts w:ascii="Arial" w:cs="Arial" w:eastAsia="Arial" w:hAnsi="Arial"/>
          <w:sz w:val="18"/>
          <w:szCs w:val="18"/>
          <w:color w:val="auto"/>
        </w:rPr>
        <w:t>” means,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75" w:lineRule="exact"/>
        <w:rPr>
          <w:sz w:val="20"/>
          <w:szCs w:val="20"/>
          <w:color w:val="auto"/>
        </w:rPr>
      </w:pPr>
    </w:p>
    <w:p>
      <w:pPr>
        <w:ind w:left="300" w:right="8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Date</w:t>
      </w:r>
      <w:r>
        <w:rPr>
          <w:rFonts w:ascii="Arial" w:cs="Arial" w:eastAsia="Arial" w:hAnsi="Arial"/>
          <w:sz w:val="18"/>
          <w:szCs w:val="18"/>
          <w:color w:val="auto"/>
        </w:rPr>
        <w:t>” shall mean, with respect to each Term Loan, the date such Term Loan is made by the Lenders.</w:t>
      </w:r>
    </w:p>
    <w:p>
      <w:pPr>
        <w:spacing w:after="0" w:line="4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the Borrower and its Subsidiaries, if any, and “</w:t>
      </w:r>
      <w:r>
        <w:rPr>
          <w:rFonts w:ascii="Arial" w:cs="Arial" w:eastAsia="Arial" w:hAnsi="Arial"/>
          <w:sz w:val="18"/>
          <w:szCs w:val="18"/>
          <w:b w:val="1"/>
          <w:bCs w:val="1"/>
          <w:color w:val="auto"/>
        </w:rPr>
        <w:t>Credit Party</w:t>
      </w:r>
      <w:r>
        <w:rPr>
          <w:rFonts w:ascii="Arial" w:cs="Arial" w:eastAsia="Arial" w:hAnsi="Arial"/>
          <w:sz w:val="18"/>
          <w:szCs w:val="18"/>
          <w:color w:val="auto"/>
        </w:rPr>
        <w:t>” shall mean any one of them, as the context indicates or otherwise requires.</w:t>
      </w:r>
    </w:p>
    <w:p>
      <w:pPr>
        <w:spacing w:after="0" w:line="46"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Security Requirements</w:t>
      </w:r>
      <w:r>
        <w:rPr>
          <w:rFonts w:ascii="Arial" w:cs="Arial" w:eastAsia="Arial" w:hAnsi="Arial"/>
          <w:sz w:val="18"/>
          <w:szCs w:val="18"/>
          <w:color w:val="auto"/>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spacing w:after="0" w:line="72"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for Equity Exchange</w:t>
      </w:r>
      <w:r>
        <w:rPr>
          <w:rFonts w:ascii="Arial" w:cs="Arial" w:eastAsia="Arial" w:hAnsi="Arial"/>
          <w:sz w:val="18"/>
          <w:szCs w:val="18"/>
          <w:color w:val="auto"/>
        </w:rPr>
        <w:t>” has the meaning specified therefor in the recitals to this Agreement.</w:t>
      </w:r>
    </w:p>
    <w:p>
      <w:pPr>
        <w:spacing w:after="0" w:line="104"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66" w:lineRule="exact"/>
        <w:rPr>
          <w:sz w:val="20"/>
          <w:szCs w:val="20"/>
          <w:color w:val="auto"/>
        </w:rPr>
      </w:pPr>
    </w:p>
    <w:p>
      <w:pPr>
        <w:ind w:left="300" w:right="9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that with the giving of notice or the passage of time, or both, would constitute an Event of Default under this Agreement.</w:t>
      </w:r>
    </w:p>
    <w:p>
      <w:pPr>
        <w:spacing w:after="0" w:line="46"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w:t>
      </w:r>
    </w:p>
    <w:p>
      <w:pPr>
        <w:spacing w:after="0" w:line="82"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shall mean a flow of funds agreement, in form and substance satisfactory to the Agent, by and among the Borrower, the Agent and the Lenders, and the related funds flow memorandum describing the sources and uses of all cash payments in connection with the transactions contemplated to occur on the Restatement Date.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is defined in Section 7.5 hereof.</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the sign “</w:t>
      </w:r>
      <w:r>
        <w:rPr>
          <w:rFonts w:ascii="Arial" w:cs="Arial" w:eastAsia="Arial" w:hAnsi="Arial"/>
          <w:sz w:val="18"/>
          <w:szCs w:val="18"/>
          <w:b w:val="1"/>
          <w:bCs w:val="1"/>
          <w:color w:val="auto"/>
        </w:rPr>
        <w:t>$</w:t>
      </w:r>
      <w:r>
        <w:rPr>
          <w:rFonts w:ascii="Arial" w:cs="Arial" w:eastAsia="Arial" w:hAnsi="Arial"/>
          <w:sz w:val="18"/>
          <w:szCs w:val="18"/>
          <w:color w:val="auto"/>
        </w:rPr>
        <w:t>” shall mean lawful money of the United States of America.</w:t>
      </w:r>
    </w:p>
    <w:p>
      <w:pPr>
        <w:spacing w:after="0" w:line="104"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any Subsidiary that is organized under the laws of the United States of America, any State thereof or the District of Columbia (excluding, for the avoidance of doubt, any Subsidiary organized under the laws of Puerto Rico or any other territory), and “</w:t>
      </w:r>
      <w:r>
        <w:rPr>
          <w:rFonts w:ascii="Arial" w:cs="Arial" w:eastAsia="Arial" w:hAnsi="Arial"/>
          <w:sz w:val="18"/>
          <w:szCs w:val="18"/>
          <w:b w:val="1"/>
          <w:bCs w:val="1"/>
          <w:color w:val="auto"/>
        </w:rPr>
        <w:t>Domestic Subsidiaries</w:t>
      </w:r>
      <w:r>
        <w:rPr>
          <w:rFonts w:ascii="Arial" w:cs="Arial" w:eastAsia="Arial" w:hAnsi="Arial"/>
          <w:sz w:val="18"/>
          <w:szCs w:val="18"/>
          <w:color w:val="auto"/>
        </w:rPr>
        <w:t>” shall mean any or all of them.</w:t>
      </w:r>
    </w:p>
    <w:p>
      <w:pPr>
        <w:spacing w:after="0" w:line="66"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71" w:lineRule="exact"/>
        <w:rPr>
          <w:sz w:val="20"/>
          <w:szCs w:val="20"/>
          <w:color w:val="auto"/>
        </w:rPr>
      </w:pPr>
    </w:p>
    <w:p>
      <w:pPr>
        <w:ind w:left="300" w:right="11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46" w:lineRule="exact"/>
        <w:rPr>
          <w:sz w:val="20"/>
          <w:szCs w:val="20"/>
          <w:color w:val="auto"/>
        </w:rPr>
      </w:pPr>
    </w:p>
    <w:p>
      <w:pPr>
        <w:jc w:val="both"/>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61"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Transmission</w:t>
      </w:r>
      <w:r>
        <w:rPr>
          <w:rFonts w:ascii="Arial" w:cs="Arial" w:eastAsia="Arial" w:hAnsi="Arial"/>
          <w:sz w:val="18"/>
          <w:szCs w:val="18"/>
          <w:color w:val="auto"/>
        </w:rPr>
        <w:t>” shall mean each document, instruction, authorization, file, information and any other communication transmitted, posted or otherwise made or communicated by e-mail or E-Fax, or otherwise to or from an E-System or other equivalent service.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 a Lender; (b) any Affiliate of the Agent or any Lender or any Related Fund of the Agent or any Lender; or (c) any other Person (other than a natural person) approved by (i) the Agent and (ii) the Borrower (not to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Borrower’s consent shall not be required (1) after the occurrence and during the continuance of an Event of Default under Section 8.1(a), 8.1(b), 8.1(c) (solely as a result of a breach of Section 6.1, 6.2 or</w:t>
      </w:r>
    </w:p>
    <w:p>
      <w:pPr>
        <w:ind w:left="300" w:right="339"/>
        <w:spacing w:after="0" w:line="234" w:lineRule="auto"/>
        <w:rPr>
          <w:sz w:val="20"/>
          <w:szCs w:val="20"/>
          <w:color w:val="auto"/>
        </w:rPr>
      </w:pPr>
      <w:r>
        <w:rPr>
          <w:rFonts w:ascii="Arial" w:cs="Arial" w:eastAsia="Arial" w:hAnsi="Arial"/>
          <w:sz w:val="18"/>
          <w:szCs w:val="18"/>
          <w:color w:val="auto"/>
        </w:rPr>
        <w:t>7.14) or or 8.1(i), (2) if such assignment is in connection with any sale, transfer, or other disposition of all or any substantial portion of the loan portfolio of such Lender or (3) if the Majority Lenders hold more than 50% of the outstanding voting stock of the Borrower and (B) the Borrower shall be deemed to have consented to any such assignment unless it shall object thereto by written notice to the Agent within five</w:t>
      </w:r>
    </w:p>
    <w:p>
      <w:pPr>
        <w:spacing w:after="0" w:line="3" w:lineRule="exact"/>
        <w:rPr>
          <w:sz w:val="20"/>
          <w:szCs w:val="20"/>
          <w:color w:val="auto"/>
        </w:rPr>
      </w:pPr>
    </w:p>
    <w:p>
      <w:pPr>
        <w:ind w:left="300" w:right="399" w:hanging="8"/>
        <w:spacing w:after="0"/>
        <w:tabs>
          <w:tab w:leader="none" w:pos="5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Business Days after having received notice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notwithstanding the foregoing, (i) “Eligible Assignee” shall not include the Borrower or any of the Borrower’s Affiliates or Subsidiaries and (ii) no assignment shall be made to a Defaulting Lender (or any Person who would be a Defaulting Lender if such Person was a Lender hereunder) without the consent of the Agent.</w:t>
      </w:r>
    </w:p>
    <w:p>
      <w:pPr>
        <w:spacing w:after="0" w:line="72"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Incremental Lenders</w:t>
      </w:r>
      <w:r>
        <w:rPr>
          <w:rFonts w:ascii="Arial" w:cs="Arial" w:eastAsia="Arial" w:hAnsi="Arial"/>
          <w:sz w:val="18"/>
          <w:szCs w:val="18"/>
          <w:color w:val="auto"/>
        </w:rPr>
        <w:t>” shall mean any bank, trust company, savings and loan association, savings bank or other financial institution that (a) regularly engages in the business of extending loans or credit, and whose reported capital and surplus equal at least $250,000,000 and (b) is approved by the Agent and the Majority Lenders.</w:t>
      </w:r>
    </w:p>
    <w:p>
      <w:pPr>
        <w:spacing w:after="0" w:line="66"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b w:val="1"/>
          <w:bCs w:val="1"/>
          <w:color w:val="auto"/>
        </w:rPr>
        <w:t>“Equity Interest</w:t>
      </w:r>
      <w:r>
        <w:rPr>
          <w:rFonts w:ascii="Arial" w:cs="Arial" w:eastAsia="Arial" w:hAnsi="Arial"/>
          <w:sz w:val="18"/>
          <w:szCs w:val="18"/>
          <w:color w:val="auto"/>
        </w:rPr>
        <w:t>” shall mean (i) in the case of any corporation, all capital stock and any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w:t>
      </w:r>
    </w:p>
    <w:p>
      <w:pPr>
        <w:spacing w:after="0" w:line="78" w:lineRule="exact"/>
        <w:rPr>
          <w:sz w:val="20"/>
          <w:szCs w:val="20"/>
          <w:color w:val="auto"/>
        </w:rPr>
      </w:pPr>
    </w:p>
    <w:p>
      <w:pPr>
        <w:ind w:left="30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or any successor act or code and the regulations in effect from time to time thereunder.</w:t>
      </w:r>
    </w:p>
    <w:p>
      <w:pPr>
        <w:spacing w:after="0" w:line="46"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spacing w:after="0" w:line="66"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Section 4062(e) or 4069(a) of ERISA or by reason of the application of Section 4212(c) of ERISA;</w:t>
      </w:r>
    </w:p>
    <w:p>
      <w:pPr>
        <w:spacing w:after="0" w:line="14" w:lineRule="exact"/>
        <w:rPr>
          <w:sz w:val="20"/>
          <w:szCs w:val="20"/>
          <w:color w:val="auto"/>
        </w:rPr>
      </w:pPr>
    </w:p>
    <w:p>
      <w:pPr>
        <w:ind w:left="300" w:right="379" w:hanging="8"/>
        <w:spacing w:after="0" w:line="234" w:lineRule="auto"/>
        <w:tabs>
          <w:tab w:leader="none" w:pos="5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w:t>
      </w:r>
    </w:p>
    <w:p>
      <w:pPr>
        <w:spacing w:after="0" w:line="4" w:lineRule="exact"/>
        <w:rPr>
          <w:rFonts w:ascii="Arial" w:cs="Arial" w:eastAsia="Arial" w:hAnsi="Arial"/>
          <w:sz w:val="18"/>
          <w:szCs w:val="18"/>
          <w:color w:val="auto"/>
        </w:rPr>
      </w:pPr>
    </w:p>
    <w:p>
      <w:pPr>
        <w:ind w:left="300" w:right="339"/>
        <w:spacing w:after="0"/>
        <w:rPr>
          <w:rFonts w:ascii="Arial" w:cs="Arial" w:eastAsia="Arial" w:hAnsi="Arial"/>
          <w:sz w:val="18"/>
          <w:szCs w:val="18"/>
          <w:color w:val="auto"/>
        </w:rPr>
      </w:pPr>
      <w:r>
        <w:rPr>
          <w:rFonts w:ascii="Arial" w:cs="Arial" w:eastAsia="Arial" w:hAnsi="Arial"/>
          <w:sz w:val="18"/>
          <w:szCs w:val="18"/>
          <w:color w:val="auto"/>
        </w:rPr>
        <w:t>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w:t>
      </w:r>
    </w:p>
    <w:p>
      <w:pPr>
        <w:spacing w:after="0" w:line="72"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E-System</w:t>
      </w:r>
      <w:r>
        <w:rPr>
          <w:rFonts w:ascii="Arial" w:cs="Arial" w:eastAsia="Arial" w:hAnsi="Arial"/>
          <w:sz w:val="18"/>
          <w:szCs w:val="18"/>
          <w:color w:val="auto"/>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spacing w:after="0" w:line="61"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mean each of the conditions or events set forth in Section 8.1 hereof.</w:t>
      </w:r>
    </w:p>
    <w:p>
      <w:pPr>
        <w:spacing w:after="0" w:line="104" w:lineRule="exact"/>
        <w:rPr>
          <w:sz w:val="20"/>
          <w:szCs w:val="20"/>
          <w:color w:val="auto"/>
        </w:rPr>
      </w:pPr>
    </w:p>
    <w:p>
      <w:pPr>
        <w:jc w:val="both"/>
        <w:ind w:left="300" w:right="4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w:t>
      </w:r>
      <w:r>
        <w:rPr>
          <w:rFonts w:ascii="Arial" w:cs="Arial" w:eastAsia="Arial" w:hAnsi="Arial"/>
          <w:sz w:val="18"/>
          <w:szCs w:val="18"/>
          <w:color w:val="auto"/>
        </w:rPr>
        <w:t>” shall mean that certain Exchange Agreement, dated as of August 20, 2025, by and between CHS Investments and Borrower, as amended, restated or otherwise modified from time to time.</w:t>
      </w:r>
    </w:p>
    <w:p>
      <w:pPr>
        <w:spacing w:after="0" w:line="61" w:lineRule="exact"/>
        <w:rPr>
          <w:sz w:val="20"/>
          <w:szCs w:val="20"/>
          <w:color w:val="auto"/>
        </w:rPr>
      </w:pPr>
    </w:p>
    <w:p>
      <w:pPr>
        <w:jc w:val="both"/>
        <w:ind w:left="300" w:right="5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Exchanged Term Loans</w:t>
      </w:r>
      <w:r>
        <w:rPr>
          <w:rFonts w:ascii="Arial" w:cs="Arial" w:eastAsia="Arial" w:hAnsi="Arial"/>
          <w:sz w:val="18"/>
          <w:szCs w:val="18"/>
          <w:color w:val="auto"/>
        </w:rPr>
        <w:t>” shall mean term loans received by an Existing Lender in exchange for such Lender’s Existing Term Loans as described in the recitals hereto or all of the term loans received by the Existing Lenders in exchange for the Existing Lenders’ Existing Term Loans as described in the recitals hereto, as the context requires.</w:t>
      </w:r>
    </w:p>
    <w:p>
      <w:pPr>
        <w:spacing w:after="0" w:line="66" w:lineRule="exact"/>
        <w:rPr>
          <w:sz w:val="20"/>
          <w:szCs w:val="20"/>
          <w:color w:val="auto"/>
        </w:rPr>
      </w:pPr>
    </w:p>
    <w:p>
      <w:pPr>
        <w:ind w:left="300" w:right="5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w:t>
      </w:r>
      <w:r>
        <w:rPr>
          <w:rFonts w:ascii="Arial" w:cs="Arial" w:eastAsia="Arial" w:hAnsi="Arial"/>
          <w:sz w:val="18"/>
          <w:szCs w:val="18"/>
          <w:color w:val="auto"/>
        </w:rPr>
        <w:t>” shall mean (a) any account which is a payroll, withholding, disbursement, zero balance (in which all funds in such zero balance account are transferred on a daily basis to an account subject to an Account Control Agreement) or trust account, (b) any Excluded L/C Account and (c) the Permitted Account.</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L/C Account</w:t>
      </w:r>
      <w:r>
        <w:rPr>
          <w:rFonts w:ascii="Arial" w:cs="Arial" w:eastAsia="Arial" w:hAnsi="Arial"/>
          <w:sz w:val="18"/>
          <w:szCs w:val="18"/>
          <w:color w:val="auto"/>
        </w:rPr>
        <w:t>” shall have the meaning specified therefore in Section 7.2(f).</w:t>
      </w:r>
    </w:p>
    <w:p>
      <w:pPr>
        <w:spacing w:after="0" w:line="10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Lender</w:t>
      </w:r>
      <w:r>
        <w:rPr>
          <w:rFonts w:ascii="Arial" w:cs="Arial" w:eastAsia="Arial" w:hAnsi="Arial"/>
          <w:sz w:val="18"/>
          <w:szCs w:val="18"/>
          <w:color w:val="auto"/>
        </w:rPr>
        <w:t>” has the meaning specified therefor in the recitals to this Agreement.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Loans</w:t>
      </w:r>
      <w:r>
        <w:rPr>
          <w:rFonts w:ascii="Arial" w:cs="Arial" w:eastAsia="Arial" w:hAnsi="Arial"/>
          <w:sz w:val="18"/>
          <w:szCs w:val="18"/>
          <w:color w:val="auto"/>
        </w:rPr>
        <w:t>” has the meaning specified therefor in the recitals to this Agreement.</w:t>
      </w:r>
    </w:p>
    <w:p>
      <w:pPr>
        <w:spacing w:after="0" w:line="104" w:lineRule="exact"/>
        <w:rPr>
          <w:sz w:val="20"/>
          <w:szCs w:val="20"/>
          <w:color w:val="auto"/>
        </w:rPr>
      </w:pPr>
    </w:p>
    <w:p>
      <w:pPr>
        <w:ind w:left="300" w:right="6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w:t>
      </w:r>
      <w:r>
        <w:rPr>
          <w:rFonts w:ascii="Arial" w:cs="Arial" w:eastAsia="Arial" w:hAnsi="Arial"/>
          <w:sz w:val="17"/>
          <w:szCs w:val="17"/>
          <w:color w:val="auto"/>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6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68"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third amended and restated fee letter by and between Borrower and Agent, dated as of the Restatement Date, as amended, restated, replaced or otherwise modified from time to time.</w:t>
      </w:r>
    </w:p>
    <w:p>
      <w:pPr>
        <w:spacing w:after="0" w:line="61"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shall mean the fees and charges payable by the Borrower to the Lenders or the Agent hereunder or under the Fee Letter.</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shall have the meaning specified therefor in Section 4.1(h).</w:t>
      </w:r>
    </w:p>
    <w:p>
      <w:pPr>
        <w:spacing w:after="0" w:line="104"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shall mean the fiscal quarter of the Borrower and its Subsidiaries ending on January 31, April 30, July 31 and October 31 of each year.</w:t>
      </w:r>
    </w:p>
    <w:p>
      <w:pPr>
        <w:spacing w:after="0" w:line="46" w:lineRule="exact"/>
        <w:rPr>
          <w:sz w:val="20"/>
          <w:szCs w:val="20"/>
          <w:color w:val="auto"/>
        </w:rPr>
      </w:pPr>
    </w:p>
    <w:p>
      <w:pPr>
        <w:ind w:left="300" w:right="7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shall mean the fiscal year of the Borrower and its Subsidiaries ending on January 31 of each year.</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w:t>
      </w:r>
      <w:r>
        <w:rPr>
          <w:rFonts w:ascii="Arial" w:cs="Arial" w:eastAsia="Arial" w:hAnsi="Arial"/>
          <w:sz w:val="18"/>
          <w:szCs w:val="18"/>
          <w:color w:val="auto"/>
        </w:rPr>
        <w:t>” shall mean a rate of interest equal to 1.00% per annum.</w:t>
      </w:r>
    </w:p>
    <w:p>
      <w:pPr>
        <w:spacing w:after="0" w:line="104" w:lineRule="exact"/>
        <w:rPr>
          <w:sz w:val="20"/>
          <w:szCs w:val="20"/>
          <w:color w:val="auto"/>
        </w:rPr>
      </w:pPr>
    </w:p>
    <w:p>
      <w:pPr>
        <w:ind w:left="300" w:right="57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Benefit Event</w:t>
      </w:r>
      <w:r>
        <w:rPr>
          <w:rFonts w:ascii="Arial" w:cs="Arial" w:eastAsia="Arial" w:hAnsi="Arial"/>
          <w:sz w:val="17"/>
          <w:szCs w:val="17"/>
          <w:color w:val="auto"/>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spacing w:after="0" w:line="64" w:lineRule="exact"/>
        <w:rPr>
          <w:sz w:val="20"/>
          <w:szCs w:val="20"/>
          <w:color w:val="auto"/>
        </w:rPr>
      </w:pPr>
    </w:p>
    <w:p>
      <w:pPr>
        <w:ind w:left="300" w:right="9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“United States person,” within the meaning of Section 7701(a)(30) of the Internal Revenue Code.</w:t>
      </w:r>
    </w:p>
    <w:p>
      <w:pPr>
        <w:spacing w:after="0" w:line="46" w:lineRule="exact"/>
        <w:rPr>
          <w:sz w:val="20"/>
          <w:szCs w:val="20"/>
          <w:color w:val="auto"/>
        </w:rPr>
      </w:pPr>
    </w:p>
    <w:p>
      <w:pPr>
        <w:ind w:left="300" w:right="7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any employee pension benefit plan (within the meaning of Section 3(2) of ERISA, whether or not subject to ERISA) that is maintained or contributed to by a Credit Party with respect to workers employed outside the United States.</w:t>
      </w:r>
    </w:p>
    <w:p>
      <w:pPr>
        <w:spacing w:after="0" w:line="61"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of the Borrower that is not a Domestic Subsidiary, and “Foreign Subsidiaries” shall mean any or all of them.</w:t>
      </w:r>
    </w:p>
    <w:p>
      <w:pPr>
        <w:spacing w:after="0" w:line="46" w:lineRule="exact"/>
        <w:rPr>
          <w:sz w:val="20"/>
          <w:szCs w:val="20"/>
          <w:color w:val="auto"/>
        </w:rPr>
      </w:pPr>
    </w:p>
    <w:p>
      <w:pPr>
        <w:ind w:left="300" w:right="4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spacing w:after="0" w:line="66" w:lineRule="exact"/>
        <w:rPr>
          <w:sz w:val="20"/>
          <w:szCs w:val="20"/>
          <w:color w:val="auto"/>
        </w:rPr>
      </w:pPr>
    </w:p>
    <w:p>
      <w:pPr>
        <w:jc w:val="both"/>
        <w:ind w:left="300" w:right="97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shall mean, as in effect from time to time, generally accepted accounting principles in the United States of America that are applicable to the circumstances as of the date of determination.</w:t>
      </w:r>
    </w:p>
    <w:p>
      <w:pPr>
        <w:spacing w:after="0" w:line="23" w:lineRule="exact"/>
        <w:rPr>
          <w:sz w:val="20"/>
          <w:szCs w:val="20"/>
          <w:color w:val="auto"/>
        </w:rPr>
      </w:pPr>
    </w:p>
    <w:p>
      <w:pPr>
        <w:ind w:left="300" w:right="43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75"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Obligations</w:t>
      </w:r>
      <w:r>
        <w:rPr>
          <w:rFonts w:ascii="Arial" w:cs="Arial" w:eastAsia="Arial" w:hAnsi="Arial"/>
          <w:sz w:val="18"/>
          <w:szCs w:val="18"/>
          <w:color w:val="auto"/>
        </w:rPr>
        <w:t>” shall mean noncallable direct general obligations of the United States of America or obligations the payment of principal of and interest on which is unconditionally guaranteed by the United States of America.</w:t>
      </w:r>
    </w:p>
    <w:p>
      <w:pPr>
        <w:spacing w:after="0" w:line="61" w:lineRule="exact"/>
        <w:rPr>
          <w:sz w:val="20"/>
          <w:szCs w:val="20"/>
          <w:color w:val="auto"/>
        </w:rPr>
      </w:pPr>
    </w:p>
    <w:p>
      <w:pPr>
        <w:ind w:left="300" w:right="299"/>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 Obligation</w:t>
      </w:r>
      <w:r>
        <w:rPr>
          <w:rFonts w:ascii="Arial" w:cs="Arial" w:eastAsia="Arial" w:hAnsi="Arial"/>
          <w:sz w:val="17"/>
          <w:szCs w:val="17"/>
          <w:color w:val="auto"/>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w:t>
      </w:r>
    </w:p>
    <w:p>
      <w:pPr>
        <w:spacing w:after="0" w:line="201" w:lineRule="exact"/>
        <w:rPr>
          <w:sz w:val="20"/>
          <w:szCs w:val="20"/>
          <w:color w:val="auto"/>
        </w:rPr>
      </w:pPr>
    </w:p>
    <w:p>
      <w:pPr>
        <w:ind w:left="300" w:right="459" w:hanging="8"/>
        <w:spacing w:after="0" w:line="239" w:lineRule="auto"/>
        <w:tabs>
          <w:tab w:leader="none" w:pos="5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applicable Person in good faith.</w:t>
      </w:r>
    </w:p>
    <w:p>
      <w:pPr>
        <w:spacing w:after="0" w:line="72"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spacing w:after="0" w:line="61"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shall mean, collectively, those guaranty agreements executed and delivered from time to time after the Restatement Date (whether by execution of joinder agreements or otherwise) pursuant to Section 6.13 hereof or otherwise, in each case in the form attached hereto as Exhibit C, as amended, restated or otherwise modified from time to time.</w:t>
      </w:r>
    </w:p>
    <w:p>
      <w:pPr>
        <w:spacing w:after="0" w:line="66" w:lineRule="exact"/>
        <w:rPr>
          <w:sz w:val="20"/>
          <w:szCs w:val="20"/>
          <w:color w:val="auto"/>
        </w:rPr>
      </w:pPr>
    </w:p>
    <w:p>
      <w:pPr>
        <w:ind w:left="300" w:right="9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hazardous or toxic waste, substance or material defined or regulated as such in or for purposes of the Hazardous Material Laws.</w:t>
      </w:r>
    </w:p>
    <w:p>
      <w:pPr>
        <w:spacing w:after="0" w:line="46"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 Law(s)</w:t>
      </w:r>
      <w:r>
        <w:rPr>
          <w:rFonts w:ascii="Arial" w:cs="Arial" w:eastAsia="Arial" w:hAnsi="Arial"/>
          <w:sz w:val="18"/>
          <w:szCs w:val="18"/>
          <w:color w:val="auto"/>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spacing w:after="0" w:line="78"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Transaction</w:t>
      </w:r>
      <w:r>
        <w:rPr>
          <w:rFonts w:ascii="Arial" w:cs="Arial" w:eastAsia="Arial" w:hAnsi="Arial"/>
          <w:sz w:val="18"/>
          <w:szCs w:val="18"/>
          <w:color w:val="auto"/>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spacing w:after="0" w:line="6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hereto</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similar terms shall refer to this Agreement and not to any particular paragraph or provision of this Agreement.</w:t>
      </w:r>
    </w:p>
    <w:p>
      <w:pPr>
        <w:spacing w:after="0" w:line="46"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Highest Lawful Rate</w:t>
      </w:r>
      <w:r>
        <w:rPr>
          <w:rFonts w:ascii="Arial" w:cs="Arial" w:eastAsia="Arial" w:hAnsi="Arial"/>
          <w:sz w:val="18"/>
          <w:szCs w:val="18"/>
          <w:color w:val="auto"/>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has the meaning specified in Section 2.11.</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Commitments</w:t>
      </w:r>
      <w:r>
        <w:rPr>
          <w:rFonts w:ascii="Arial" w:cs="Arial" w:eastAsia="Arial" w:hAnsi="Arial"/>
          <w:sz w:val="18"/>
          <w:szCs w:val="18"/>
          <w:color w:val="auto"/>
        </w:rPr>
        <w:t>” has the meaning specified in Section 2.11.</w:t>
      </w:r>
    </w:p>
    <w:p>
      <w:pPr>
        <w:spacing w:after="0" w:line="104" w:lineRule="exact"/>
        <w:rPr>
          <w:sz w:val="20"/>
          <w:szCs w:val="20"/>
          <w:color w:val="auto"/>
        </w:rPr>
      </w:pPr>
    </w:p>
    <w:p>
      <w:pPr>
        <w:ind w:left="300" w:right="6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Exposure</w:t>
      </w:r>
      <w:r>
        <w:rPr>
          <w:rFonts w:ascii="Arial" w:cs="Arial" w:eastAsia="Arial" w:hAnsi="Arial"/>
          <w:sz w:val="18"/>
          <w:szCs w:val="18"/>
          <w:color w:val="auto"/>
        </w:rPr>
        <w:t>” shall mean, with respect to any Lender, as of any date of determination, the sum of (a) such Lender’s undrawn Incremental Term Loan Commitment and (b) the aggregate outstanding principal amount of the Incremental Term Loans of such Lender.</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Lender</w:t>
      </w:r>
      <w:r>
        <w:rPr>
          <w:rFonts w:ascii="Arial" w:cs="Arial" w:eastAsia="Arial" w:hAnsi="Arial"/>
          <w:sz w:val="18"/>
          <w:szCs w:val="18"/>
          <w:color w:val="auto"/>
        </w:rPr>
        <w:t>” has the meaning specified in Section 2.11.</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has the meaning specified in Section 2.11.</w:t>
      </w:r>
    </w:p>
    <w:p>
      <w:pPr>
        <w:spacing w:after="0" w:line="104"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Without limiting the generality of the foregoing, the Indebtedness of each Credit Party under the Loan Documents includes the obligation of such Person to reimburse any amount in respect of any of the foregoing that any Agent or any Lender (in its sole discretion) may elect to pay or advance on behalf of such Person.</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 (including any sale of, collection from, or other realization upon any of the Collateral or the enforcement of the Guaranty)).</w:t>
      </w:r>
    </w:p>
    <w:p>
      <w:pPr>
        <w:spacing w:after="0" w:line="82"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 Taxes, other than Excluded Taxes, imposed on or with respect to any payment made by or on account of any obligation of any Credit Party under any Loan Document and (b) to the extent not otherwise described in (a), Other Taxes.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shall have the meaning assigned to such term in Section 12.4(b).</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Loan Exchange</w:t>
      </w:r>
      <w:r>
        <w:rPr>
          <w:rFonts w:ascii="Arial" w:cs="Arial" w:eastAsia="Arial" w:hAnsi="Arial"/>
          <w:sz w:val="18"/>
          <w:szCs w:val="18"/>
          <w:color w:val="auto"/>
        </w:rPr>
        <w:t>” has the meaning specified therefor in the recitals to this Agreement.</w:t>
      </w:r>
    </w:p>
    <w:p>
      <w:pPr>
        <w:spacing w:after="0" w:line="104" w:lineRule="exact"/>
        <w:rPr>
          <w:sz w:val="20"/>
          <w:szCs w:val="20"/>
          <w:color w:val="auto"/>
        </w:rPr>
      </w:pPr>
    </w:p>
    <w:p>
      <w:pPr>
        <w:ind w:left="300" w:right="5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shall mean any proceeding commenced by or against any Person under any provision of any Debtor Relief Law.</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have the meaning assigned to such term in the Security Agreement.</w:t>
      </w:r>
    </w:p>
    <w:p>
      <w:pPr>
        <w:spacing w:after="0" w:line="104" w:lineRule="exact"/>
        <w:rPr>
          <w:sz w:val="20"/>
          <w:szCs w:val="20"/>
          <w:color w:val="auto"/>
        </w:rPr>
      </w:pPr>
    </w:p>
    <w:p>
      <w:pPr>
        <w:ind w:left="300" w:right="9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License Agreement</w:t>
      </w:r>
      <w:r>
        <w:rPr>
          <w:rFonts w:ascii="Arial" w:cs="Arial" w:eastAsia="Arial" w:hAnsi="Arial"/>
          <w:sz w:val="18"/>
          <w:szCs w:val="18"/>
          <w:color w:val="auto"/>
        </w:rPr>
        <w:t>” shall mean that certain License Agreement entered into on September 12, 2019, between the Borrower and Rent the Runway Limited.</w:t>
      </w:r>
    </w:p>
    <w:p>
      <w:pPr>
        <w:spacing w:after="0" w:line="46"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Note</w:t>
      </w:r>
      <w:r>
        <w:rPr>
          <w:rFonts w:ascii="Arial" w:cs="Arial" w:eastAsia="Arial" w:hAnsi="Arial"/>
          <w:sz w:val="18"/>
          <w:szCs w:val="18"/>
          <w:color w:val="auto"/>
        </w:rPr>
        <w:t>” shall mean any promissory note issued or to be issued by any Credit Party to evidence an intercompany loan in form and substance satisfactory to the Agent.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Capitalization</w:t>
      </w:r>
      <w:r>
        <w:rPr>
          <w:rFonts w:ascii="Arial" w:cs="Arial" w:eastAsia="Arial" w:hAnsi="Arial"/>
          <w:sz w:val="18"/>
          <w:szCs w:val="18"/>
          <w:color w:val="auto"/>
        </w:rPr>
        <w:t>” has the meaning specified therefor in the recitals to this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shall mean with respect to (a) any Loan that is a Reference Rate Loan, the first Business Day occurring after the end of each Fiscal Quarter and (b) any Loan that is a SOFR Loan, the first Business Day following the last day of each Interest Period applicable to such Loan.</w:t>
      </w:r>
    </w:p>
    <w:p>
      <w:pPr>
        <w:spacing w:after="0" w:line="61"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shall mean, with respect to each SOFR Loan, a period commencing on the date of the making of such SOFR Loan (or the continuation of a SOFR Loan or the conversion of a Reference Rate Loan to a SOFR Loan) and ending three (3) months thereafter (in each case, subject to the availability thereof); provided, however,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three (3) months after the date on which the Interest Period began, as applicable, (e) the Borrower may not elect an Interest Period which will end after the Maturity Date and (f) no tenor that has been removed from this definition pursuant to Section 2.12(g)(iv) shall be available for specification in such Request for Loan or SOFR Notice.</w:t>
      </w:r>
    </w:p>
    <w:p>
      <w:pPr>
        <w:spacing w:after="0" w:line="78" w:lineRule="exact"/>
        <w:rPr>
          <w:sz w:val="20"/>
          <w:szCs w:val="20"/>
          <w:color w:val="auto"/>
        </w:rPr>
      </w:pPr>
    </w:p>
    <w:p>
      <w:pPr>
        <w:ind w:left="30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shall mean the Internal Revenue Code of 1986 of the United States of America, as amended from time to time, and the regulations promulgated thereunder.</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shall mean any inventory as defined under the UCC.</w:t>
      </w:r>
    </w:p>
    <w:p>
      <w:pPr>
        <w:spacing w:after="0" w:line="104" w:lineRule="exact"/>
        <w:rPr>
          <w:sz w:val="20"/>
          <w:szCs w:val="20"/>
          <w:color w:val="auto"/>
        </w:rPr>
      </w:pPr>
    </w:p>
    <w:p>
      <w:pPr>
        <w:ind w:left="300" w:right="45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shall have the meaning set forth in Section 2.11.</w:t>
      </w:r>
    </w:p>
    <w:p>
      <w:pPr>
        <w:spacing w:after="0" w:line="104"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shall have the meaning set forth in the preamble and any assignee which becomes a Lender pursuant to Section 12.7 hereof.</w:t>
      </w:r>
    </w:p>
    <w:p>
      <w:pPr>
        <w:spacing w:after="0" w:line="4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spacing w:after="0" w:line="77" w:lineRule="exact"/>
        <w:rPr>
          <w:sz w:val="20"/>
          <w:szCs w:val="20"/>
          <w:color w:val="auto"/>
        </w:rPr>
      </w:pPr>
    </w:p>
    <w:p>
      <w:pPr>
        <w:ind w:left="300" w:right="10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shall mean an amount equal to the sum of (a) Qualified Cash plus (b) Qualified Cash Equivalents plus (c) availability under the Senior Credit Agreement.</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 Term Loan.</w:t>
      </w:r>
    </w:p>
    <w:p>
      <w:pPr>
        <w:spacing w:after="0" w:line="104"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Account</w:t>
      </w:r>
      <w:r>
        <w:rPr>
          <w:rFonts w:ascii="Arial" w:cs="Arial" w:eastAsia="Arial" w:hAnsi="Arial"/>
          <w:sz w:val="18"/>
          <w:szCs w:val="18"/>
          <w:color w:val="auto"/>
        </w:rPr>
        <w:t>” shall mean an account maintained hereunder by the Agent on its books of account at the Principal Office and with respect to the Borrower, in which it will be charged with all Loans made to, and all other Indebtedness incurred by the Credit Parties.</w:t>
      </w:r>
    </w:p>
    <w:p>
      <w:pPr>
        <w:spacing w:after="0" w:line="61" w:lineRule="exact"/>
        <w:rPr>
          <w:sz w:val="20"/>
          <w:szCs w:val="20"/>
          <w:color w:val="auto"/>
        </w:rPr>
      </w:pPr>
    </w:p>
    <w:p>
      <w:pPr>
        <w:ind w:left="300" w:right="6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shall mean, collectively, this Agreement, the Fee Letter, the Notes (if issued), the Disbursement Letter, the Guaranty, the Specified Subordination Agreement (if any),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Subordination Agreements, the Collateral Documents, the Perfection Certificate and any other documents, certificates or agreements that are executed and required to be delivered pursuant to any of the foregoing documents, as such documents may be amended, restated or otherwise modified from time to time.</w:t>
      </w:r>
    </w:p>
    <w:p>
      <w:pPr>
        <w:spacing w:after="0" w:line="66" w:lineRule="exact"/>
        <w:rPr>
          <w:sz w:val="20"/>
          <w:szCs w:val="20"/>
          <w:color w:val="auto"/>
        </w:rPr>
      </w:pPr>
    </w:p>
    <w:p>
      <w:pPr>
        <w:ind w:left="300" w:right="2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shall mean, collectively, Lenders whose Pro Rata Share (calculated in accordance with clause (b) of the definition thereof) aggregate at least 50.1%. The Commitments of, and portion of the Indebtedness attributable to, any Defaulting Lender shall be excluded for purposes of making a determination of “Majority Lenders”.</w:t>
      </w:r>
    </w:p>
    <w:p>
      <w:pPr>
        <w:spacing w:after="0" w:line="66"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 Material Adverse Effect to be made on the Restatement Date in connection with the Restatement Date Transactions, “Material Adverse Effect” shall be limited to (1) a “Company Material Adverse Effect” (as defined in the Exchange Agreement) and (2) a Material Adverse Effect pursuant to clauses (iii), (iv) or (v) of the foregoing definition.</w:t>
      </w:r>
    </w:p>
    <w:p>
      <w:pPr>
        <w:spacing w:after="0" w:line="78"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w:t>
      </w:r>
    </w:p>
    <w:p>
      <w:pPr>
        <w:spacing w:after="0" w:line="70" w:lineRule="exact"/>
        <w:rPr>
          <w:sz w:val="20"/>
          <w:szCs w:val="20"/>
          <w:color w:val="auto"/>
        </w:rPr>
      </w:pPr>
    </w:p>
    <w:p>
      <w:pPr>
        <w:ind w:left="300" w:right="439"/>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earlier to occur of (i) [    ], 2029</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(or if such date is not a Business Day, the immediately preceding Business Day), and (ii) the date that the Term Loans shall become due and payable in full hereunder, whether by acceleration or otherwise, and all Commitments have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-410845</wp:posOffset>
            </wp:positionV>
            <wp:extent cx="2286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shall mean the mortgages, deeds of trust and any other similar documents related thereto or required thereby executed and delivered after the Restatement Date by the Borrower or a Guarantor pursuant to Section 6.13 hereof or otherwise, each in form and substance satisfactory to the Agent, and “</w:t>
      </w:r>
      <w:r>
        <w:rPr>
          <w:rFonts w:ascii="Arial" w:cs="Arial" w:eastAsia="Arial" w:hAnsi="Arial"/>
          <w:sz w:val="18"/>
          <w:szCs w:val="18"/>
          <w:b w:val="1"/>
          <w:bCs w:val="1"/>
          <w:color w:val="auto"/>
        </w:rPr>
        <w:t>Mortgage</w:t>
      </w:r>
      <w:r>
        <w:rPr>
          <w:rFonts w:ascii="Arial" w:cs="Arial" w:eastAsia="Arial" w:hAnsi="Arial"/>
          <w:sz w:val="18"/>
          <w:szCs w:val="18"/>
          <w:color w:val="auto"/>
        </w:rPr>
        <w:t>” shall mean any such document, as such documents may be amended, restated or otherwise modified from time to time.</w:t>
      </w:r>
    </w:p>
    <w:p>
      <w:pPr>
        <w:spacing w:after="0" w:line="68"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spacing w:after="0" w:line="4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xml:space="preserve">” shall mean (a) with respect to any Asset Sale, an amount equal to: (i) cash payments received by any Credit Party from such Asset Sale,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w:t>
      </w:r>
    </w:p>
    <w:p>
      <w:pPr>
        <w:spacing w:after="0" w:line="55" w:lineRule="exact"/>
        <w:rPr>
          <w:sz w:val="20"/>
          <w:szCs w:val="20"/>
          <w:color w:val="auto"/>
        </w:rPr>
      </w:pPr>
    </w:p>
    <w:p>
      <w:pPr>
        <w:ind w:left="460" w:hanging="168"/>
        <w:spacing w:after="0"/>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NTD: To be the date that is 4 years after the Restatement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8229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 xml:space="preserve">or taking of any assets of such Credit Party by any Person pursuant to the power of eminent domain, condemnation or otherwise, or pursuant to a sale of any such assets to a purchaser with such power under threat of such a taking,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 any documented costs incurred by such Credit Party in connection with the adjustment or settlement of any claims of such Credit Party in respect thereof, and (B) any documented direct costs incurred in connection with any sale of such assets as referred to in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(b)(i)(B)</w:t>
      </w:r>
      <w:r>
        <w:rPr>
          <w:rFonts w:ascii="Arial" w:cs="Arial" w:eastAsia="Arial" w:hAnsi="Arial"/>
          <w:sz w:val="18"/>
          <w:szCs w:val="18"/>
          <w:color w:val="auto"/>
        </w:rPr>
        <w:t xml:space="preserve"> of this definition to the extent paid or payable to non-Affiliates, including income taxes payable as a result of any gain recognized in connection therewith.</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Nexus</w:t>
      </w:r>
      <w:r>
        <w:rPr>
          <w:rFonts w:ascii="Arial" w:cs="Arial" w:eastAsia="Arial" w:hAnsi="Arial"/>
          <w:sz w:val="18"/>
          <w:szCs w:val="18"/>
          <w:color w:val="auto"/>
        </w:rPr>
        <w:t>” shall mean Nexus Capital Management, L.P..</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shall have the meaning set forth in Section 12.11.</w:t>
      </w:r>
    </w:p>
    <w:p>
      <w:pPr>
        <w:spacing w:after="0" w:line="104"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any Lender that is not, as of the date of relevance, a Defaulting Lender.</w:t>
      </w:r>
    </w:p>
    <w:p>
      <w:pPr>
        <w:spacing w:after="0" w:line="46"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Notes</w:t>
      </w:r>
      <w:r>
        <w:rPr>
          <w:rFonts w:ascii="Arial" w:cs="Arial" w:eastAsia="Arial" w:hAnsi="Arial"/>
          <w:sz w:val="17"/>
          <w:szCs w:val="17"/>
          <w:color w:val="auto"/>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mean the U.S. Department of the Treasury’s Office of Foreign Assets Control.</w:t>
      </w:r>
    </w:p>
    <w:p>
      <w:pPr>
        <w:spacing w:after="0" w:line="104" w:lineRule="exact"/>
        <w:rPr>
          <w:sz w:val="20"/>
          <w:szCs w:val="20"/>
          <w:color w:val="auto"/>
        </w:rPr>
      </w:pPr>
    </w:p>
    <w:p>
      <w:pPr>
        <w:ind w:left="300" w:right="29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 Balance Sheet Liability(ies)</w:t>
      </w:r>
      <w:r>
        <w:rPr>
          <w:rFonts w:ascii="Arial" w:cs="Arial" w:eastAsia="Arial" w:hAnsi="Arial"/>
          <w:sz w:val="18"/>
          <w:szCs w:val="18"/>
          <w:color w:val="auto"/>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Credit Agreement</w:t>
      </w:r>
      <w:r>
        <w:rPr>
          <w:rFonts w:ascii="Arial" w:cs="Arial" w:eastAsia="Arial" w:hAnsi="Arial"/>
          <w:sz w:val="18"/>
          <w:szCs w:val="18"/>
          <w:color w:val="auto"/>
        </w:rPr>
        <w:t>” shall have the meaning specified therefor in the recitals to this Agreement.</w:t>
      </w:r>
    </w:p>
    <w:p>
      <w:pPr>
        <w:spacing w:after="0" w:line="104" w:lineRule="exact"/>
        <w:rPr>
          <w:sz w:val="20"/>
          <w:szCs w:val="20"/>
          <w:color w:val="auto"/>
        </w:rPr>
      </w:pPr>
    </w:p>
    <w:p>
      <w:pPr>
        <w:ind w:left="300" w:right="9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shall mean July 23, 2018, the “Effective Date” under the Original Credit Agreement.</w:t>
      </w:r>
    </w:p>
    <w:p>
      <w:pPr>
        <w:spacing w:after="0" w:line="46"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71"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specified in Section 12.7(f).</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or any successor thereto.</w:t>
      </w:r>
    </w:p>
    <w:p>
      <w:pPr>
        <w:spacing w:after="0" w:line="104"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a certificate in form satisfactory to the Agent that provides information with respect to the assets of the Borrower and the Guarantors.</w:t>
      </w:r>
    </w:p>
    <w:p>
      <w:pPr>
        <w:spacing w:after="0" w:line="4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Term SOFR Determination Day</w:t>
      </w:r>
      <w:r>
        <w:rPr>
          <w:rFonts w:ascii="Arial" w:cs="Arial" w:eastAsia="Arial" w:hAnsi="Arial"/>
          <w:sz w:val="18"/>
          <w:szCs w:val="18"/>
          <w:color w:val="auto"/>
        </w:rPr>
        <w:t>” has the meaning specified therefor in the definition of “Term SOFR”.</w:t>
      </w:r>
    </w:p>
    <w:p>
      <w:pPr>
        <w:spacing w:after="0" w:line="46"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Account</w:t>
      </w:r>
      <w:r>
        <w:rPr>
          <w:rFonts w:ascii="Arial" w:cs="Arial" w:eastAsia="Arial" w:hAnsi="Arial"/>
          <w:sz w:val="18"/>
          <w:szCs w:val="18"/>
          <w:color w:val="auto"/>
        </w:rPr>
        <w:t>” shall mean a deposit account maintained by the Borrower at Comerica Bank, in which such deposits are restricted cash in favor of Comerica Bank.</w:t>
      </w:r>
    </w:p>
    <w:p>
      <w:pPr>
        <w:spacing w:after="0" w:line="46"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w:t>
      </w:r>
    </w:p>
    <w:p>
      <w:pPr>
        <w:spacing w:after="0" w:line="66" w:lineRule="exact"/>
        <w:rPr>
          <w:sz w:val="20"/>
          <w:szCs w:val="20"/>
          <w:color w:val="auto"/>
        </w:rPr>
      </w:pPr>
    </w:p>
    <w:p>
      <w:pPr>
        <w:jc w:val="both"/>
        <w:ind w:left="660" w:right="1099" w:firstLine="360"/>
        <w:spacing w:after="0" w:line="253" w:lineRule="auto"/>
        <w:rPr>
          <w:sz w:val="20"/>
          <w:szCs w:val="20"/>
          <w:color w:val="auto"/>
        </w:rPr>
      </w:pPr>
      <w:r>
        <w:rPr>
          <w:rFonts w:ascii="Arial" w:cs="Arial" w:eastAsia="Arial" w:hAnsi="Arial"/>
          <w:sz w:val="18"/>
          <w:szCs w:val="18"/>
          <w:color w:val="auto"/>
        </w:rPr>
        <w:t>(a)  Such acquisition is of a business or Person engaged in a line of business which is compatible with, or complementary to, the business of the Borrower or such Guarantor or a reasonable extension therefrom;</w:t>
      </w:r>
    </w:p>
    <w:p>
      <w:pPr>
        <w:spacing w:after="0" w:line="61" w:lineRule="exact"/>
        <w:rPr>
          <w:sz w:val="20"/>
          <w:szCs w:val="20"/>
          <w:color w:val="auto"/>
        </w:rPr>
      </w:pPr>
    </w:p>
    <w:p>
      <w:pPr>
        <w:ind w:left="660" w:right="359" w:firstLine="360"/>
        <w:spacing w:after="0" w:line="242" w:lineRule="auto"/>
        <w:rPr>
          <w:sz w:val="20"/>
          <w:szCs w:val="20"/>
          <w:color w:val="auto"/>
        </w:rPr>
      </w:pPr>
      <w:r>
        <w:rPr>
          <w:rFonts w:ascii="Arial" w:cs="Arial" w:eastAsia="Arial" w:hAnsi="Arial"/>
          <w:sz w:val="18"/>
          <w:szCs w:val="18"/>
          <w:color w:val="auto"/>
        </w:rPr>
        <w:t>(b)  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w:t>
      </w:r>
    </w:p>
    <w:p>
      <w:pPr>
        <w:spacing w:after="0" w:line="71" w:lineRule="exact"/>
        <w:rPr>
          <w:sz w:val="20"/>
          <w:szCs w:val="20"/>
          <w:color w:val="auto"/>
        </w:rPr>
      </w:pPr>
    </w:p>
    <w:p>
      <w:pPr>
        <w:ind w:left="660" w:right="479" w:firstLine="360"/>
        <w:spacing w:after="0" w:line="271" w:lineRule="auto"/>
        <w:rPr>
          <w:sz w:val="20"/>
          <w:szCs w:val="20"/>
          <w:color w:val="auto"/>
        </w:rPr>
      </w:pPr>
      <w:r>
        <w:rPr>
          <w:rFonts w:ascii="Arial" w:cs="Arial" w:eastAsia="Arial" w:hAnsi="Arial"/>
          <w:sz w:val="18"/>
          <w:szCs w:val="18"/>
          <w:color w:val="auto"/>
        </w:rPr>
        <w:t>(c)  If such acquisition is structured as the acquisition of assets, such assets shall be acquired directly by the Borrower or a Guarantor (subject to compliance with Section 6.4(a) hereof);</w:t>
      </w:r>
    </w:p>
    <w:p>
      <w:pPr>
        <w:spacing w:after="0" w:line="46" w:lineRule="exact"/>
        <w:rPr>
          <w:sz w:val="20"/>
          <w:szCs w:val="20"/>
          <w:color w:val="auto"/>
        </w:rPr>
      </w:pPr>
    </w:p>
    <w:p>
      <w:pPr>
        <w:ind w:left="660" w:right="419" w:firstLine="360"/>
        <w:spacing w:after="0" w:line="239" w:lineRule="auto"/>
        <w:rPr>
          <w:sz w:val="20"/>
          <w:szCs w:val="20"/>
          <w:color w:val="auto"/>
        </w:rPr>
      </w:pPr>
      <w:r>
        <w:rPr>
          <w:rFonts w:ascii="Arial" w:cs="Arial" w:eastAsia="Arial" w:hAnsi="Arial"/>
          <w:sz w:val="18"/>
          <w:szCs w:val="18"/>
          <w:color w:val="auto"/>
        </w:rPr>
        <w:t>(d)  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p>
      <w:pPr>
        <w:spacing w:after="0" w:line="75" w:lineRule="exact"/>
        <w:rPr>
          <w:sz w:val="20"/>
          <w:szCs w:val="20"/>
          <w:color w:val="auto"/>
        </w:rPr>
      </w:pPr>
    </w:p>
    <w:p>
      <w:pPr>
        <w:ind w:left="660" w:right="579" w:firstLine="360"/>
        <w:spacing w:after="0" w:line="253" w:lineRule="auto"/>
        <w:rPr>
          <w:sz w:val="20"/>
          <w:szCs w:val="20"/>
          <w:color w:val="auto"/>
        </w:rPr>
      </w:pPr>
      <w:r>
        <w:rPr>
          <w:rFonts w:ascii="Arial" w:cs="Arial" w:eastAsia="Arial" w:hAnsi="Arial"/>
          <w:sz w:val="18"/>
          <w:szCs w:val="18"/>
          <w:color w:val="auto"/>
        </w:rPr>
        <w:t>(e)  Both immediately before and after the consummation of such acquisition and after giving effect to the Pro Forma Projected Financial Information, no Default or Event of Default shall have occurred and be continuing;</w:t>
      </w:r>
    </w:p>
    <w:p>
      <w:pPr>
        <w:spacing w:after="0" w:line="61" w:lineRule="exact"/>
        <w:rPr>
          <w:sz w:val="20"/>
          <w:szCs w:val="20"/>
          <w:color w:val="auto"/>
        </w:rPr>
      </w:pPr>
    </w:p>
    <w:p>
      <w:pPr>
        <w:ind w:left="660" w:right="339" w:firstLine="360"/>
        <w:spacing w:after="0" w:line="253" w:lineRule="auto"/>
        <w:rPr>
          <w:sz w:val="20"/>
          <w:szCs w:val="20"/>
          <w:color w:val="auto"/>
        </w:rPr>
      </w:pPr>
      <w:r>
        <w:rPr>
          <w:rFonts w:ascii="Arial" w:cs="Arial" w:eastAsia="Arial" w:hAnsi="Arial"/>
          <w:sz w:val="18"/>
          <w:szCs w:val="18"/>
          <w:color w:val="auto"/>
        </w:rPr>
        <w:t>(f)  The acquisition shall be consensual and the board of directors (or other Person(s) exercising similar functions) of the seller of the assets or issuer of the Equity Interests being acquired shall have approved such transaction;</w:t>
      </w:r>
    </w:p>
    <w:p>
      <w:pPr>
        <w:spacing w:after="0" w:line="61" w:lineRule="exact"/>
        <w:rPr>
          <w:sz w:val="20"/>
          <w:szCs w:val="20"/>
          <w:color w:val="auto"/>
        </w:rPr>
      </w:pPr>
    </w:p>
    <w:p>
      <w:pPr>
        <w:ind w:left="660" w:right="399" w:firstLine="360"/>
        <w:spacing w:after="0" w:line="239" w:lineRule="auto"/>
        <w:rPr>
          <w:sz w:val="20"/>
          <w:szCs w:val="20"/>
          <w:color w:val="auto"/>
        </w:rPr>
      </w:pPr>
      <w:r>
        <w:rPr>
          <w:rFonts w:ascii="Arial" w:cs="Arial" w:eastAsia="Arial" w:hAnsi="Arial"/>
          <w:sz w:val="18"/>
          <w:szCs w:val="18"/>
          <w:color w:val="auto"/>
        </w:rPr>
        <w:t>(g)  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p>
      <w:pPr>
        <w:spacing w:after="0" w:line="72" w:lineRule="exact"/>
        <w:rPr>
          <w:sz w:val="20"/>
          <w:szCs w:val="20"/>
          <w:color w:val="auto"/>
        </w:rPr>
      </w:pPr>
    </w:p>
    <w:p>
      <w:pPr>
        <w:ind w:left="660" w:right="459" w:firstLine="360"/>
        <w:spacing w:after="0" w:line="271" w:lineRule="auto"/>
        <w:rPr>
          <w:sz w:val="20"/>
          <w:szCs w:val="20"/>
          <w:color w:val="auto"/>
        </w:rPr>
      </w:pPr>
      <w:r>
        <w:rPr>
          <w:rFonts w:ascii="Arial" w:cs="Arial" w:eastAsia="Arial" w:hAnsi="Arial"/>
          <w:sz w:val="18"/>
          <w:szCs w:val="18"/>
          <w:color w:val="auto"/>
        </w:rPr>
        <w:t>(h)  There shall be no actions, suits or proceedings pending or, to the knowledge of any Credit Party threatened against or affecting the acquisition target in any court or before or by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p>
      <w:pPr>
        <w:spacing w:after="0" w:line="75"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 xml:space="preserve">(i)  (A)The aggregate Purchase Price for acquisitions of assets that are not located within the United States or Equity Interests of Persons that are not organized in a jurisdiction located within the United States shall not exceed $5,000,000 in the aggregate for all such acquisitions during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The Purchase Price of such proposed new acquisition, computed on the basis of total acquisition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consideration paid or incurred, or required to be paid or incurred, with respect thereto, when added to</w:t>
      </w:r>
    </w:p>
    <w:p>
      <w:pPr>
        <w:ind w:left="660"/>
        <w:spacing w:after="0" w:line="234" w:lineRule="auto"/>
        <w:rPr>
          <w:sz w:val="20"/>
          <w:szCs w:val="20"/>
          <w:color w:val="auto"/>
        </w:rPr>
      </w:pPr>
      <w:r>
        <w:rPr>
          <w:rFonts w:ascii="Arial" w:cs="Arial" w:eastAsia="Arial" w:hAnsi="Arial"/>
          <w:sz w:val="18"/>
          <w:szCs w:val="18"/>
          <w:color w:val="auto"/>
        </w:rPr>
        <w:t>the Purchase Price of each other acquisition consummated hereunder as a Permitted Acquisition</w:t>
      </w:r>
    </w:p>
    <w:p>
      <w:pPr>
        <w:ind w:left="660"/>
        <w:spacing w:after="0" w:line="235" w:lineRule="auto"/>
        <w:rPr>
          <w:sz w:val="20"/>
          <w:szCs w:val="20"/>
          <w:color w:val="auto"/>
        </w:rPr>
      </w:pPr>
      <w:r>
        <w:rPr>
          <w:rFonts w:ascii="Arial" w:cs="Arial" w:eastAsia="Arial" w:hAnsi="Arial"/>
          <w:sz w:val="18"/>
          <w:szCs w:val="18"/>
          <w:color w:val="auto"/>
        </w:rPr>
        <w:t>during the same Fiscal Year as the applicable acquisition does not exceed Five Million Dollars</w:t>
      </w:r>
    </w:p>
    <w:p>
      <w:pPr>
        <w:ind w:left="660"/>
        <w:spacing w:after="0" w:line="235" w:lineRule="auto"/>
        <w:rPr>
          <w:sz w:val="20"/>
          <w:szCs w:val="20"/>
          <w:color w:val="auto"/>
        </w:rPr>
      </w:pPr>
      <w:r>
        <w:rPr>
          <w:rFonts w:ascii="Arial" w:cs="Arial" w:eastAsia="Arial" w:hAnsi="Arial"/>
          <w:sz w:val="18"/>
          <w:szCs w:val="18"/>
          <w:color w:val="auto"/>
        </w:rPr>
        <w:t>($5,000,000); provided, that, with respect to any Fiscal Year ending on or after January 31, 2027, any</w:t>
      </w:r>
    </w:p>
    <w:p>
      <w:pPr>
        <w:ind w:left="660"/>
        <w:spacing w:after="0" w:line="235" w:lineRule="auto"/>
        <w:rPr>
          <w:sz w:val="20"/>
          <w:szCs w:val="20"/>
          <w:color w:val="auto"/>
        </w:rPr>
      </w:pPr>
      <w:r>
        <w:rPr>
          <w:rFonts w:ascii="Arial" w:cs="Arial" w:eastAsia="Arial" w:hAnsi="Arial"/>
          <w:sz w:val="18"/>
          <w:szCs w:val="18"/>
          <w:color w:val="auto"/>
        </w:rPr>
        <w:t>unused amounts from such Fiscal Year may be carried forward into the immediately succeeding</w:t>
      </w:r>
    </w:p>
    <w:p>
      <w:pPr>
        <w:ind w:left="660"/>
        <w:spacing w:after="0" w:line="235" w:lineRule="auto"/>
        <w:rPr>
          <w:sz w:val="20"/>
          <w:szCs w:val="20"/>
          <w:color w:val="auto"/>
        </w:rPr>
      </w:pPr>
      <w:r>
        <w:rPr>
          <w:rFonts w:ascii="Arial" w:cs="Arial" w:eastAsia="Arial" w:hAnsi="Arial"/>
          <w:sz w:val="18"/>
          <w:szCs w:val="18"/>
          <w:color w:val="auto"/>
        </w:rPr>
        <w:t>Fiscal Year; provided, further, that the aggregate amount carried forward to the immediately</w:t>
      </w:r>
    </w:p>
    <w:p>
      <w:pPr>
        <w:ind w:left="660"/>
        <w:spacing w:after="0"/>
        <w:rPr>
          <w:sz w:val="20"/>
          <w:szCs w:val="20"/>
          <w:color w:val="auto"/>
        </w:rPr>
      </w:pPr>
      <w:r>
        <w:rPr>
          <w:rFonts w:ascii="Arial" w:cs="Arial" w:eastAsia="Arial" w:hAnsi="Arial"/>
          <w:sz w:val="18"/>
          <w:szCs w:val="18"/>
          <w:color w:val="auto"/>
        </w:rPr>
        <w:t>succeeding Fiscal Year shall not exceed Five Million Dollars ($5,000,000).</w:t>
      </w:r>
    </w:p>
    <w:p>
      <w:pPr>
        <w:spacing w:after="0" w:line="86"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w:t>
      </w:r>
      <w:r>
        <w:rPr>
          <w:rFonts w:ascii="Arial" w:cs="Arial" w:eastAsia="Arial" w:hAnsi="Arial"/>
          <w:sz w:val="18"/>
          <w:szCs w:val="18"/>
          <w:color w:val="auto"/>
        </w:rPr>
        <w:t>” shall mean each of CHS Investments, STORY3, Nexus or any Controlled Investment Affiliate of the foregoing.</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 with respect to any Person: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Governmental Obligations;</w:t>
      </w:r>
    </w:p>
    <w:p>
      <w:pPr>
        <w:spacing w:after="0" w:line="104" w:lineRule="exact"/>
        <w:rPr>
          <w:sz w:val="20"/>
          <w:szCs w:val="20"/>
          <w:color w:val="auto"/>
        </w:rPr>
      </w:pPr>
    </w:p>
    <w:p>
      <w:pPr>
        <w:ind w:left="660" w:right="399"/>
        <w:spacing w:after="0"/>
        <w:rPr>
          <w:sz w:val="20"/>
          <w:szCs w:val="20"/>
          <w:color w:val="auto"/>
        </w:rPr>
      </w:pPr>
      <w:r>
        <w:rPr>
          <w:rFonts w:ascii="Arial" w:cs="Arial" w:eastAsia="Arial" w:hAnsi="Arial"/>
          <w:sz w:val="18"/>
          <w:szCs w:val="18"/>
          <w:color w:val="auto"/>
        </w:rPr>
        <w:t>(b)  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spacing w:after="0" w:line="77" w:lineRule="exact"/>
        <w:rPr>
          <w:sz w:val="20"/>
          <w:szCs w:val="20"/>
          <w:color w:val="auto"/>
        </w:rPr>
      </w:pPr>
    </w:p>
    <w:p>
      <w:pPr>
        <w:ind w:left="660" w:right="459"/>
        <w:spacing w:after="0"/>
        <w:rPr>
          <w:sz w:val="20"/>
          <w:szCs w:val="20"/>
          <w:color w:val="auto"/>
        </w:rPr>
      </w:pPr>
      <w:r>
        <w:rPr>
          <w:rFonts w:ascii="Arial" w:cs="Arial" w:eastAsia="Arial" w:hAnsi="Arial"/>
          <w:sz w:val="18"/>
          <w:szCs w:val="18"/>
          <w:color w:val="auto"/>
        </w:rPr>
        <w:t>(c)  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w:t>
      </w:r>
    </w:p>
    <w:p>
      <w:pPr>
        <w:spacing w:after="0" w:line="77" w:lineRule="exact"/>
        <w:rPr>
          <w:sz w:val="20"/>
          <w:szCs w:val="20"/>
          <w:color w:val="auto"/>
        </w:rPr>
      </w:pPr>
    </w:p>
    <w:p>
      <w:pPr>
        <w:ind w:left="660" w:right="299"/>
        <w:spacing w:after="0" w:line="271" w:lineRule="auto"/>
        <w:rPr>
          <w:sz w:val="20"/>
          <w:szCs w:val="20"/>
          <w:color w:val="auto"/>
        </w:rPr>
      </w:pPr>
      <w:r>
        <w:rPr>
          <w:rFonts w:ascii="Arial" w:cs="Arial" w:eastAsia="Arial" w:hAnsi="Arial"/>
          <w:sz w:val="18"/>
          <w:szCs w:val="18"/>
          <w:color w:val="auto"/>
        </w:rPr>
        <w:t>(d)  commercial paper rated at the time of purchase within the two highest classifications established by not less than two Rating Agencies, and which matures within 270 days after the date of issue;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59"/>
        <w:spacing w:after="0" w:line="247" w:lineRule="auto"/>
        <w:rPr>
          <w:sz w:val="20"/>
          <w:szCs w:val="20"/>
          <w:color w:val="auto"/>
        </w:rPr>
      </w:pPr>
      <w:r>
        <w:rPr>
          <w:rFonts w:ascii="Arial" w:cs="Arial" w:eastAsia="Arial" w:hAnsi="Arial"/>
          <w:sz w:val="18"/>
          <w:szCs w:val="18"/>
          <w:color w:val="auto"/>
        </w:rPr>
        <w:t>(e)  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spacing w:after="0" w:line="66" w:lineRule="exact"/>
        <w:rPr>
          <w:sz w:val="20"/>
          <w:szCs w:val="20"/>
          <w:color w:val="auto"/>
        </w:rPr>
      </w:pPr>
    </w:p>
    <w:p>
      <w:pPr>
        <w:ind w:left="660" w:right="499"/>
        <w:spacing w:after="0" w:line="271" w:lineRule="auto"/>
        <w:rPr>
          <w:sz w:val="20"/>
          <w:szCs w:val="20"/>
          <w:color w:val="auto"/>
        </w:rPr>
      </w:pPr>
      <w:r>
        <w:rPr>
          <w:rFonts w:ascii="Arial" w:cs="Arial" w:eastAsia="Arial" w:hAnsi="Arial"/>
          <w:sz w:val="18"/>
          <w:szCs w:val="18"/>
          <w:color w:val="auto"/>
        </w:rPr>
        <w:t>(f)  any fund or other pooling arrangement which exclusively purchases and holds the investments itemized in (a) through (e) above.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104"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(a)  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spacing w:after="0" w:line="77"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(b)  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w:t>
      </w:r>
    </w:p>
    <w:p>
      <w:pPr>
        <w:spacing w:after="0" w:line="71" w:lineRule="exact"/>
        <w:rPr>
          <w:sz w:val="20"/>
          <w:szCs w:val="20"/>
          <w:color w:val="auto"/>
        </w:rPr>
      </w:pPr>
    </w:p>
    <w:p>
      <w:pPr>
        <w:ind w:left="660" w:right="459"/>
        <w:spacing w:after="0" w:line="238" w:lineRule="auto"/>
        <w:rPr>
          <w:sz w:val="20"/>
          <w:szCs w:val="20"/>
          <w:color w:val="auto"/>
        </w:rPr>
      </w:pPr>
      <w:r>
        <w:rPr>
          <w:rFonts w:ascii="Arial" w:cs="Arial" w:eastAsia="Arial" w:hAnsi="Arial"/>
          <w:sz w:val="18"/>
          <w:szCs w:val="18"/>
          <w:color w:val="auto"/>
        </w:rPr>
        <w:t>(c)  (i)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spacing w:after="0" w:line="78" w:lineRule="exact"/>
        <w:rPr>
          <w:sz w:val="20"/>
          <w:szCs w:val="20"/>
          <w:color w:val="auto"/>
        </w:rPr>
      </w:pPr>
    </w:p>
    <w:p>
      <w:pPr>
        <w:ind w:left="660" w:right="519"/>
        <w:spacing w:after="0" w:line="271" w:lineRule="auto"/>
        <w:rPr>
          <w:sz w:val="20"/>
          <w:szCs w:val="20"/>
          <w:color w:val="auto"/>
        </w:rPr>
      </w:pPr>
      <w:r>
        <w:rPr>
          <w:rFonts w:ascii="Arial" w:cs="Arial" w:eastAsia="Arial" w:hAnsi="Arial"/>
          <w:sz w:val="18"/>
          <w:szCs w:val="18"/>
          <w:color w:val="auto"/>
        </w:rPr>
        <w:t>(d)  judgment liens securing judgments and other proceedings not constituting an Event of Default under Section 8.1(g);</w:t>
      </w:r>
    </w:p>
    <w:p>
      <w:pPr>
        <w:spacing w:after="0" w:line="46"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(e)  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precautionary Liens arising pursuant to a transaction permitted under Section 7.8 hereof;</w:t>
      </w:r>
    </w:p>
    <w:p>
      <w:pPr>
        <w:spacing w:after="0" w:line="104"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(g)  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spacing w:after="0" w:line="68"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(h)  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6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 Debt</w:t>
      </w:r>
      <w:r>
        <w:rPr>
          <w:rFonts w:ascii="Arial" w:cs="Arial" w:eastAsia="Arial" w:hAnsi="Arial"/>
          <w:sz w:val="18"/>
          <w:szCs w:val="18"/>
          <w:color w:val="auto"/>
        </w:rPr>
        <w:t>” shall mean the extension of maturity, refinancing or modification of the terms of Debt so long as:</w:t>
      </w:r>
    </w:p>
    <w:p>
      <w:pPr>
        <w:spacing w:after="0" w:line="46"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(a)  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spacing w:after="0" w:line="68" w:lineRule="exact"/>
        <w:rPr>
          <w:sz w:val="20"/>
          <w:szCs w:val="20"/>
          <w:color w:val="auto"/>
        </w:rPr>
      </w:pPr>
    </w:p>
    <w:p>
      <w:pPr>
        <w:ind w:left="660" w:right="899"/>
        <w:spacing w:after="0" w:line="253" w:lineRule="auto"/>
        <w:rPr>
          <w:sz w:val="20"/>
          <w:szCs w:val="20"/>
          <w:color w:val="auto"/>
        </w:rPr>
      </w:pPr>
      <w:r>
        <w:rPr>
          <w:rFonts w:ascii="Arial" w:cs="Arial" w:eastAsia="Arial" w:hAnsi="Arial"/>
          <w:sz w:val="18"/>
          <w:szCs w:val="18"/>
          <w:color w:val="auto"/>
        </w:rPr>
        <w:t>(b)  such extension, refinancing or modification does not result in a shortening of the average weighted maturity (measured as of the extension, refinancing or modification) of the Debt so extended, refinanced or modified;</w:t>
      </w:r>
    </w:p>
    <w:p>
      <w:pPr>
        <w:spacing w:after="0" w:line="61" w:lineRule="exact"/>
        <w:rPr>
          <w:sz w:val="20"/>
          <w:szCs w:val="20"/>
          <w:color w:val="auto"/>
        </w:rPr>
      </w:pPr>
    </w:p>
    <w:p>
      <w:pPr>
        <w:ind w:left="660" w:right="499"/>
        <w:spacing w:after="0" w:line="242" w:lineRule="auto"/>
        <w:rPr>
          <w:sz w:val="20"/>
          <w:szCs w:val="20"/>
          <w:color w:val="auto"/>
        </w:rPr>
      </w:pPr>
      <w:r>
        <w:rPr>
          <w:rFonts w:ascii="Arial" w:cs="Arial" w:eastAsia="Arial" w:hAnsi="Arial"/>
          <w:sz w:val="18"/>
          <w:szCs w:val="18"/>
          <w:color w:val="auto"/>
        </w:rPr>
        <w:t xml:space="preserve">(c)  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interest rate, original issue discount and other related economic terms of the Debt being extended, refinanced or modified may be set substantially at the applicable then-prevailing market rate available to the Borrower; and</w:t>
      </w:r>
    </w:p>
    <w:p>
      <w:pPr>
        <w:spacing w:after="0" w:line="71" w:lineRule="exact"/>
        <w:rPr>
          <w:sz w:val="20"/>
          <w:szCs w:val="20"/>
          <w:color w:val="auto"/>
        </w:rPr>
      </w:pPr>
    </w:p>
    <w:p>
      <w:pPr>
        <w:jc w:val="both"/>
        <w:ind w:left="660" w:right="319"/>
        <w:spacing w:after="0" w:line="253" w:lineRule="auto"/>
        <w:rPr>
          <w:sz w:val="20"/>
          <w:szCs w:val="20"/>
          <w:color w:val="auto"/>
        </w:rPr>
      </w:pPr>
      <w:r>
        <w:rPr>
          <w:rFonts w:ascii="Arial" w:cs="Arial" w:eastAsia="Arial" w:hAnsi="Arial"/>
          <w:sz w:val="18"/>
          <w:szCs w:val="18"/>
          <w:color w:val="auto"/>
        </w:rPr>
        <w:t>(d)  the Debt that is extended, refinanced or modified is not recourse to any Credit Party that is liable on account of the obligations other than those Persons which were obligated with respect to the Debt that was refinanced, renewed, or extended.</w:t>
      </w:r>
    </w:p>
    <w:p>
      <w:pPr>
        <w:spacing w:after="0" w:line="61"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spacing w:after="0" w:line="61"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shall mean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w:t>
      </w:r>
    </w:p>
    <w:p>
      <w:pPr>
        <w:spacing w:after="0" w:line="66"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Agreement(s)</w:t>
      </w:r>
      <w:r>
        <w:rPr>
          <w:rFonts w:ascii="Arial" w:cs="Arial" w:eastAsia="Arial" w:hAnsi="Arial"/>
          <w:sz w:val="18"/>
          <w:szCs w:val="18"/>
          <w:color w:val="auto"/>
        </w:rPr>
        <w:t>” shall mean any pledge agreement executed and delivered from time to time after the Original Effective Date by the Borrower or a Guarantor pursuant to Section 6.13 hereof, Section 6.13 of the Original Credit Agreement or otherwise, and any agreements, instruments or documents related thereto, in each case in form and substance satisfactory to the Agent, as amended, restated or otherwise modified from time to time.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shall have the meaning specified therefor in Section 2.6(d).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have the meaning specified therefor in the Fee Letter.</w:t>
      </w:r>
    </w:p>
    <w:p>
      <w:pPr>
        <w:spacing w:after="0" w:line="104"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xml:space="preserve">” shall mean the Agent’s “Principal Office” as set forth on </w:t>
      </w:r>
      <w:r>
        <w:rPr>
          <w:rFonts w:ascii="Arial" w:cs="Arial" w:eastAsia="Arial" w:hAnsi="Arial"/>
          <w:sz w:val="18"/>
          <w:szCs w:val="18"/>
          <w:u w:val="single" w:color="auto"/>
          <w:color w:val="auto"/>
        </w:rPr>
        <w:t>Annex III</w:t>
      </w:r>
      <w:r>
        <w:rPr>
          <w:rFonts w:ascii="Arial" w:cs="Arial" w:eastAsia="Arial" w:hAnsi="Arial"/>
          <w:sz w:val="18"/>
          <w:szCs w:val="18"/>
          <w:color w:val="auto"/>
        </w:rPr>
        <w:t>, or such other office as the Agent may from time to time designate in writing to the Borrower and each Lender.</w:t>
      </w:r>
    </w:p>
    <w:p>
      <w:pPr>
        <w:spacing w:after="0" w:line="46"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Projected Financial Information</w:t>
      </w:r>
      <w:r>
        <w:rPr>
          <w:rFonts w:ascii="Arial" w:cs="Arial" w:eastAsia="Arial" w:hAnsi="Arial"/>
          <w:sz w:val="18"/>
          <w:szCs w:val="18"/>
          <w:color w:val="auto"/>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spacing w:after="0" w:line="72" w:lineRule="exact"/>
        <w:rPr>
          <w:sz w:val="20"/>
          <w:szCs w:val="20"/>
          <w:color w:val="auto"/>
        </w:rPr>
      </w:pPr>
    </w:p>
    <w:p>
      <w:pPr>
        <w:ind w:left="300" w:right="5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shall mean (a) with respect to all payments, computations, and other matters relating solely to Incremental Term Loan Commitments or Incremental Term Loans, the percentage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39"/>
        <w:spacing w:after="0" w:line="261" w:lineRule="auto"/>
        <w:rPr>
          <w:sz w:val="20"/>
          <w:szCs w:val="20"/>
          <w:color w:val="auto"/>
        </w:rPr>
      </w:pPr>
      <w:r>
        <w:rPr>
          <w:rFonts w:ascii="Arial" w:cs="Arial" w:eastAsia="Arial" w:hAnsi="Arial"/>
          <w:sz w:val="17"/>
          <w:szCs w:val="17"/>
          <w:color w:val="auto"/>
        </w:rPr>
        <w:t>obtained by dividing (i) the Incremental Term Loan Exposure of that Lender, by (ii) the aggregate Incremental Term Loan Exposure of all Lenders and (b) for all other purposes with respect to each Lender, the percentage obtained by dividing (i) an amount equal to the sum of the Term Loan Exposure and the Incremental Term Loan Exposure of that Lender, by (ii) an amount equal to the sum of the aggregate Term Loan Exposure and the aggregate Incremental Term Loan Exposure of all Lenders.</w:t>
      </w:r>
    </w:p>
    <w:p>
      <w:pPr>
        <w:spacing w:after="0" w:line="58"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w:t>
      </w:r>
      <w:r>
        <w:rPr>
          <w:rFonts w:ascii="Arial" w:cs="Arial" w:eastAsia="Arial" w:hAnsi="Arial"/>
          <w:sz w:val="18"/>
          <w:szCs w:val="18"/>
          <w:color w:val="auto"/>
        </w:rPr>
        <w:t>” or “</w:t>
      </w:r>
      <w:r>
        <w:rPr>
          <w:rFonts w:ascii="Arial" w:cs="Arial" w:eastAsia="Arial" w:hAnsi="Arial"/>
          <w:sz w:val="18"/>
          <w:szCs w:val="18"/>
          <w:b w:val="1"/>
          <w:bCs w:val="1"/>
          <w:color w:val="auto"/>
        </w:rPr>
        <w:t>Processing</w:t>
      </w:r>
      <w:r>
        <w:rPr>
          <w:rFonts w:ascii="Arial" w:cs="Arial" w:eastAsia="Arial" w:hAnsi="Arial"/>
          <w:sz w:val="18"/>
          <w:szCs w:val="18"/>
          <w:color w:val="auto"/>
        </w:rPr>
        <w:t>” shall mean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68" w:lineRule="exact"/>
        <w:rPr>
          <w:sz w:val="20"/>
          <w:szCs w:val="20"/>
          <w:color w:val="auto"/>
        </w:rPr>
      </w:pPr>
    </w:p>
    <w:p>
      <w:pPr>
        <w:jc w:val="both"/>
        <w:ind w:left="300" w:right="5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and Sale Agreement</w:t>
      </w:r>
      <w:r>
        <w:rPr>
          <w:rFonts w:ascii="Arial" w:cs="Arial" w:eastAsia="Arial" w:hAnsi="Arial"/>
          <w:sz w:val="18"/>
          <w:szCs w:val="18"/>
          <w:color w:val="auto"/>
        </w:rPr>
        <w:t>” shall mean that certain Debt and Equity Purchase Agreement, dated as of August 20, 2025, by and among CHS Investments, STORY3, Nexus, the Agent and the Borrower, as amended, restated, amended and restated or otherwise modified from time to time.</w:t>
      </w:r>
    </w:p>
    <w:p>
      <w:pPr>
        <w:spacing w:after="0" w:line="61"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spacing w:after="0" w:line="75"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Cash</w:t>
      </w:r>
      <w:r>
        <w:rPr>
          <w:rFonts w:ascii="Arial" w:cs="Arial" w:eastAsia="Arial" w:hAnsi="Arial"/>
          <w:sz w:val="18"/>
          <w:szCs w:val="18"/>
          <w:color w:val="auto"/>
        </w:rPr>
        <w:t>” means, as of any date of determination, the aggregate amount of unrestricted cash on-hand of the Credit Parties maintained in deposit accounts in the name of a Credit Party in the United States as of such date, which deposit accounts are subject to Account Control Agreements.</w:t>
      </w:r>
    </w:p>
    <w:p>
      <w:pPr>
        <w:spacing w:after="0" w:line="61"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Cash Equivalents</w:t>
      </w:r>
      <w:r>
        <w:rPr>
          <w:rFonts w:ascii="Arial" w:cs="Arial" w:eastAsia="Arial" w:hAnsi="Arial"/>
          <w:sz w:val="18"/>
          <w:szCs w:val="18"/>
          <w:color w:val="auto"/>
        </w:rPr>
        <w:t>”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w:t>
      </w:r>
    </w:p>
    <w:p>
      <w:pPr>
        <w:spacing w:after="0" w:line="66" w:lineRule="exact"/>
        <w:rPr>
          <w:sz w:val="20"/>
          <w:szCs w:val="20"/>
          <w:color w:val="auto"/>
        </w:rPr>
      </w:pPr>
    </w:p>
    <w:p>
      <w:pPr>
        <w:ind w:left="300" w:right="6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shall mean Moody’s Investor Services, Inc., Standard and Poor’s Ratings Services, their respective successors or any other nationally recognized statistical rating organization which is acceptable to the Agent.</w:t>
      </w:r>
    </w:p>
    <w:p>
      <w:pPr>
        <w:spacing w:after="0" w:line="61" w:lineRule="exact"/>
        <w:rPr>
          <w:sz w:val="20"/>
          <w:szCs w:val="20"/>
          <w:color w:val="auto"/>
        </w:rPr>
      </w:pPr>
    </w:p>
    <w:p>
      <w:pPr>
        <w:ind w:left="300" w:right="5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Reaffirmation Agreement</w:t>
      </w:r>
      <w:r>
        <w:rPr>
          <w:rFonts w:ascii="Arial" w:cs="Arial" w:eastAsia="Arial" w:hAnsi="Arial"/>
          <w:sz w:val="18"/>
          <w:szCs w:val="18"/>
          <w:color w:val="auto"/>
        </w:rPr>
        <w:t>” means that certain Reaffirmation Agreement, dated as of the Restatement Date, made by the Credit Parties in favor of the Agent.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shall mean (a) the Agent and (b) any Lender.</w:t>
      </w:r>
    </w:p>
    <w:p>
      <w:pPr>
        <w:spacing w:after="0" w:line="104" w:lineRule="exact"/>
        <w:rPr>
          <w:sz w:val="20"/>
          <w:szCs w:val="20"/>
          <w:color w:val="auto"/>
        </w:rPr>
      </w:pPr>
    </w:p>
    <w:p>
      <w:pPr>
        <w:ind w:left="300" w:right="4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Rate</w:t>
      </w:r>
      <w:r>
        <w:rPr>
          <w:rFonts w:ascii="Arial" w:cs="Arial" w:eastAsia="Arial" w:hAnsi="Arial"/>
          <w:sz w:val="17"/>
          <w:szCs w:val="17"/>
          <w:color w:val="auto"/>
        </w:rPr>
        <w:t>” means, for any period, the greatest of (a) 2.00% per annum, (b) the Federal Funds Rate plus 0.50% per annum, (c) Adjusted Term SOFR (which rate shall be calculated based upon an Interest Period of three (3) months and shall be determined on a daily basis) plus 1.00% per annum, and</w:t>
      </w:r>
    </w:p>
    <w:p>
      <w:pPr>
        <w:spacing w:after="0" w:line="2" w:lineRule="exact"/>
        <w:rPr>
          <w:sz w:val="20"/>
          <w:szCs w:val="20"/>
          <w:color w:val="auto"/>
        </w:rPr>
      </w:pPr>
    </w:p>
    <w:p>
      <w:pPr>
        <w:ind w:left="300" w:right="339" w:hanging="8"/>
        <w:spacing w:after="0" w:line="237" w:lineRule="auto"/>
        <w:tabs>
          <w:tab w:leader="none" w:pos="5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rate last quoted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as the “Prime Rate” in the United States or, if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Reference Rate shall be effective from and including the date such change is publicly announced as being effective.</w:t>
      </w:r>
    </w:p>
    <w:p>
      <w:pPr>
        <w:spacing w:after="0" w:line="77"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 Loan</w:t>
      </w:r>
      <w:r>
        <w:rPr>
          <w:rFonts w:ascii="Arial" w:cs="Arial" w:eastAsia="Arial" w:hAnsi="Arial"/>
          <w:sz w:val="18"/>
          <w:szCs w:val="18"/>
          <w:color w:val="auto"/>
        </w:rPr>
        <w:t>” shall mean each portion of a Loan that bears interest at a rate determined by reference to the Reference Rate.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 Term SOFR Determination Day</w:t>
      </w:r>
      <w:r>
        <w:rPr>
          <w:rFonts w:ascii="Arial" w:cs="Arial" w:eastAsia="Arial" w:hAnsi="Arial"/>
          <w:sz w:val="18"/>
          <w:szCs w:val="18"/>
          <w:color w:val="auto"/>
        </w:rPr>
        <w:t>” has the meaning specified therefor in the definition of “Term SOFR”.</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shall have the meaning specified therefor in Section 12.7(h).</w:t>
      </w:r>
    </w:p>
    <w:p>
      <w:pPr>
        <w:spacing w:after="0" w:line="104" w:lineRule="exact"/>
        <w:rPr>
          <w:sz w:val="20"/>
          <w:szCs w:val="20"/>
          <w:color w:val="auto"/>
        </w:rPr>
      </w:pPr>
    </w:p>
    <w:p>
      <w:pPr>
        <w:ind w:left="30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w:t>
      </w:r>
      <w:r>
        <w:rPr>
          <w:rFonts w:ascii="Arial" w:cs="Arial" w:eastAsia="Arial" w:hAnsi="Arial"/>
          <w:sz w:val="18"/>
          <w:szCs w:val="18"/>
          <w:b w:val="1"/>
          <w:bCs w:val="1"/>
          <w:color w:val="auto"/>
        </w:rPr>
        <w:t>Regulation U</w:t>
      </w:r>
      <w:r>
        <w:rPr>
          <w:rFonts w:ascii="Arial" w:cs="Arial" w:eastAsia="Arial" w:hAnsi="Arial"/>
          <w:sz w:val="18"/>
          <w:szCs w:val="18"/>
          <w:color w:val="auto"/>
        </w:rPr>
        <w:t>” and “</w:t>
      </w:r>
      <w:r>
        <w:rPr>
          <w:rFonts w:ascii="Arial" w:cs="Arial" w:eastAsia="Arial" w:hAnsi="Arial"/>
          <w:sz w:val="18"/>
          <w:szCs w:val="18"/>
          <w:b w:val="1"/>
          <w:bCs w:val="1"/>
          <w:color w:val="auto"/>
        </w:rPr>
        <w:t>Regulation X</w:t>
      </w:r>
      <w:r>
        <w:rPr>
          <w:rFonts w:ascii="Arial" w:cs="Arial" w:eastAsia="Arial" w:hAnsi="Arial"/>
          <w:sz w:val="18"/>
          <w:szCs w:val="18"/>
          <w:color w:val="auto"/>
        </w:rPr>
        <w:t>” mean, respectively, Regulations T, U and X of the Board or any successor, as the same may be amended or supplemented from time to time.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Amounts</w:t>
      </w:r>
      <w:r>
        <w:rPr>
          <w:rFonts w:ascii="Arial" w:cs="Arial" w:eastAsia="Arial" w:hAnsi="Arial"/>
          <w:sz w:val="18"/>
          <w:szCs w:val="18"/>
          <w:color w:val="auto"/>
        </w:rPr>
        <w:t>” shall have the meaning specified therefor in Section 2.8(a).</w:t>
      </w:r>
    </w:p>
    <w:p>
      <w:pPr>
        <w:spacing w:after="0" w:line="104"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means, with respect to any Person, an Affiliate of such Person, or a fund or account managed by such Person or an Affiliate of such Person.</w:t>
      </w:r>
    </w:p>
    <w:p>
      <w:pPr>
        <w:spacing w:after="0" w:line="46"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shall have the meaning specified therefor in Section 12.11.</w:t>
      </w:r>
    </w:p>
    <w:p>
      <w:pPr>
        <w:spacing w:after="0" w:line="104" w:lineRule="exact"/>
        <w:rPr>
          <w:sz w:val="20"/>
          <w:szCs w:val="20"/>
          <w:color w:val="auto"/>
        </w:rPr>
      </w:pPr>
    </w:p>
    <w:p>
      <w:pPr>
        <w:ind w:left="300" w:right="4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Compliance Event</w:t>
      </w:r>
      <w:r>
        <w:rPr>
          <w:rFonts w:ascii="Arial" w:cs="Arial" w:eastAsia="Arial" w:hAnsi="Arial"/>
          <w:sz w:val="18"/>
          <w:szCs w:val="18"/>
          <w:color w:val="auto"/>
        </w:rPr>
        <w: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spacing w:after="0" w:line="68" w:lineRule="exact"/>
        <w:rPr>
          <w:sz w:val="20"/>
          <w:szCs w:val="20"/>
          <w:color w:val="auto"/>
        </w:rPr>
      </w:pPr>
    </w:p>
    <w:p>
      <w:pPr>
        <w:ind w:left="300" w:right="5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shall mean an event described in Section 4043 of ERISA (other than an event not subject to the provision for 30-day notice to the PBGC under the regulations promulgated under such Section).</w:t>
      </w:r>
    </w:p>
    <w:p>
      <w:pPr>
        <w:spacing w:after="0" w:line="61" w:lineRule="exact"/>
        <w:rPr>
          <w:sz w:val="20"/>
          <w:szCs w:val="20"/>
          <w:color w:val="auto"/>
        </w:rPr>
      </w:pPr>
    </w:p>
    <w:p>
      <w:pPr>
        <w:ind w:left="300" w:right="6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Loan</w:t>
      </w:r>
      <w:r>
        <w:rPr>
          <w:rFonts w:ascii="Arial" w:cs="Arial" w:eastAsia="Arial" w:hAnsi="Arial"/>
          <w:sz w:val="18"/>
          <w:szCs w:val="18"/>
          <w:color w:val="auto"/>
        </w:rPr>
        <w:t>” shall mean a request for a Loan issued by the Borrower under Section 2.3 in the form attached hereto as Exhibit D hereto.</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Prepayment Date</w:t>
      </w:r>
      <w:r>
        <w:rPr>
          <w:rFonts w:ascii="Arial" w:cs="Arial" w:eastAsia="Arial" w:hAnsi="Arial"/>
          <w:sz w:val="18"/>
          <w:szCs w:val="18"/>
          <w:color w:val="auto"/>
        </w:rPr>
        <w:t>” shall have the meaning specified therefor in Section 2.9(b).</w:t>
      </w:r>
    </w:p>
    <w:p>
      <w:pPr>
        <w:spacing w:after="0" w:line="104"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72"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with respect to any Person, the chief executive officer, chief financial officer, treasurer, president, secretary or controller of such Person or any other officer of such Person having substantially the same authority and responsibility.</w:t>
      </w:r>
    </w:p>
    <w:p>
      <w:pPr>
        <w:spacing w:after="0" w:line="61" w:lineRule="exact"/>
        <w:rPr>
          <w:sz w:val="20"/>
          <w:szCs w:val="20"/>
          <w:color w:val="auto"/>
        </w:rPr>
      </w:pPr>
    </w:p>
    <w:p>
      <w:pPr>
        <w:ind w:left="300" w:right="5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w:t>
      </w:r>
      <w:r>
        <w:rPr>
          <w:rFonts w:ascii="Arial" w:cs="Arial" w:eastAsia="Arial" w:hAnsi="Arial"/>
          <w:sz w:val="18"/>
          <w:szCs w:val="18"/>
          <w:color w:val="auto"/>
        </w:rPr>
        <w:t>” shall mean the date on which all the conditions precedent set forth in Sections 4.1 and 4.2 have been satisfied.</w:t>
      </w:r>
    </w:p>
    <w:p>
      <w:pPr>
        <w:spacing w:after="0" w:line="46" w:lineRule="exact"/>
        <w:rPr>
          <w:sz w:val="20"/>
          <w:szCs w:val="20"/>
          <w:color w:val="auto"/>
        </w:rPr>
      </w:pPr>
    </w:p>
    <w:p>
      <w:pPr>
        <w:ind w:left="300" w:right="31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Restatement Date Assignees</w:t>
      </w:r>
      <w:r>
        <w:rPr>
          <w:rFonts w:ascii="Arial" w:cs="Arial" w:eastAsia="Arial" w:hAnsi="Arial"/>
          <w:sz w:val="17"/>
          <w:szCs w:val="17"/>
          <w:color w:val="auto"/>
        </w:rPr>
        <w:t>” shall mean each of STORY3, Nexus and any of their respective Affiliates and Related Funds that are assigned Term Loans pursuant to the Restatement Date Assignment.</w:t>
      </w:r>
    </w:p>
    <w:p>
      <w:pPr>
        <w:spacing w:after="0" w:line="23" w:lineRule="exact"/>
        <w:rPr>
          <w:sz w:val="20"/>
          <w:szCs w:val="20"/>
          <w:color w:val="auto"/>
        </w:rPr>
      </w:pPr>
    </w:p>
    <w:p>
      <w:pPr>
        <w:ind w:left="300" w:right="10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Assignment</w:t>
      </w:r>
      <w:r>
        <w:rPr>
          <w:rFonts w:ascii="Arial" w:cs="Arial" w:eastAsia="Arial" w:hAnsi="Arial"/>
          <w:sz w:val="18"/>
          <w:szCs w:val="18"/>
          <w:color w:val="auto"/>
        </w:rPr>
        <w:t>” shall have the meaning specified therefor in the recitals to this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Term Loan</w:t>
      </w:r>
      <w:r>
        <w:rPr>
          <w:rFonts w:ascii="Arial" w:cs="Arial" w:eastAsia="Arial" w:hAnsi="Arial"/>
          <w:sz w:val="18"/>
          <w:szCs w:val="18"/>
          <w:color w:val="auto"/>
        </w:rPr>
        <w:t>” shall mean a term loan made by a Lender to the Borrower pursuant to Section 2.1(c) or all of the term loans made by the Lenders to the Borrower pursuant to Section 2.1(c), as the context requires.</w:t>
      </w:r>
    </w:p>
    <w:p>
      <w:pPr>
        <w:spacing w:after="0" w:line="61"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Term Loan Commitment</w:t>
      </w:r>
      <w:r>
        <w:rPr>
          <w:rFonts w:ascii="Arial" w:cs="Arial" w:eastAsia="Arial" w:hAnsi="Arial"/>
          <w:sz w:val="18"/>
          <w:szCs w:val="18"/>
          <w:color w:val="auto"/>
        </w:rPr>
        <w:t>” shall mean the commitment of a Lender to make or otherwise fund a Restatement Date Term Loan and “</w:t>
      </w:r>
      <w:r>
        <w:rPr>
          <w:rFonts w:ascii="Arial" w:cs="Arial" w:eastAsia="Arial" w:hAnsi="Arial"/>
          <w:sz w:val="18"/>
          <w:szCs w:val="18"/>
          <w:b w:val="1"/>
          <w:bCs w:val="1"/>
          <w:color w:val="auto"/>
        </w:rPr>
        <w:t>Restatement Date Term Loan Commitments</w:t>
      </w:r>
      <w:r>
        <w:rPr>
          <w:rFonts w:ascii="Arial" w:cs="Arial" w:eastAsia="Arial" w:hAnsi="Arial"/>
          <w:sz w:val="18"/>
          <w:szCs w:val="18"/>
          <w:color w:val="auto"/>
        </w:rPr>
        <w:t xml:space="preserve">” shall mean such commitments of all Lenders in the aggregate. The amount of each Lender’s Restatement Term Loan Commitment, if any, is set forth in Section 2 of </w:t>
      </w:r>
      <w:r>
        <w:rPr>
          <w:rFonts w:ascii="Arial" w:cs="Arial" w:eastAsia="Arial" w:hAnsi="Arial"/>
          <w:sz w:val="18"/>
          <w:szCs w:val="18"/>
          <w:u w:val="single" w:color="auto"/>
          <w:color w:val="auto"/>
        </w:rPr>
        <w:t>Annex I</w:t>
      </w:r>
      <w:r>
        <w:rPr>
          <w:rFonts w:ascii="Arial" w:cs="Arial" w:eastAsia="Arial" w:hAnsi="Arial"/>
          <w:sz w:val="18"/>
          <w:szCs w:val="18"/>
          <w:color w:val="auto"/>
        </w:rPr>
        <w:t>. The aggregate amount of Restatement Term Loan Commitments as of the Restatement Date is $20,000,000.</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Transactions</w:t>
      </w:r>
      <w:r>
        <w:rPr>
          <w:rFonts w:ascii="Arial" w:cs="Arial" w:eastAsia="Arial" w:hAnsi="Arial"/>
          <w:sz w:val="18"/>
          <w:szCs w:val="18"/>
          <w:color w:val="auto"/>
        </w:rPr>
        <w:t>” has the meaning specified therefor in Section 2.1(c).</w:t>
      </w:r>
    </w:p>
    <w:p>
      <w:pPr>
        <w:spacing w:after="0" w:line="104" w:lineRule="exact"/>
        <w:rPr>
          <w:sz w:val="20"/>
          <w:szCs w:val="20"/>
          <w:color w:val="auto"/>
        </w:rPr>
      </w:pPr>
    </w:p>
    <w:p>
      <w:pPr>
        <w:jc w:val="both"/>
        <w:ind w:left="300" w:right="8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sanction administered or enforced by the United States Government (including, without limitation, OFAC), the United Nations Security Council, the European Union, Her Majesty’s Treasury or other relevant sanctions authority.</w:t>
      </w:r>
    </w:p>
    <w:p>
      <w:pPr>
        <w:spacing w:after="0" w:line="61"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shall mean a country subject to a sanctions program maintained under any Anti-Terrorism Law.</w:t>
      </w:r>
    </w:p>
    <w:p>
      <w:pPr>
        <w:spacing w:after="0" w:line="46"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66"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other similar or successor agency of the Federal government administering the Securities Act.</w:t>
      </w:r>
    </w:p>
    <w:p>
      <w:pPr>
        <w:spacing w:after="0" w:line="46"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collectively, the amended and restated security agreement executed and delivered by the Borrower on the Restatement Date pursuant to Section 4.1, and any such agreements executed and delivered by the Guarantors after the Restatement Date (whether by execution of a joinder agreement to any existing security agreement or otherwise) pursuant to Section 6.13 hereof or otherwise, in the form of the Security Agreement attached hereto as Exhibit A, as amended, restated or otherwise modified from time to time.</w:t>
      </w:r>
    </w:p>
    <w:p>
      <w:pPr>
        <w:spacing w:after="0" w:line="71" w:lineRule="exact"/>
        <w:rPr>
          <w:sz w:val="20"/>
          <w:szCs w:val="20"/>
          <w:color w:val="auto"/>
        </w:rPr>
      </w:pPr>
    </w:p>
    <w:p>
      <w:pPr>
        <w:ind w:left="300" w:right="8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Agent</w:t>
      </w:r>
      <w:r>
        <w:rPr>
          <w:rFonts w:ascii="Arial" w:cs="Arial" w:eastAsia="Arial" w:hAnsi="Arial"/>
          <w:sz w:val="18"/>
          <w:szCs w:val="18"/>
          <w:color w:val="auto"/>
        </w:rPr>
        <w:t>” shall mean the administrative agent and/or collateral agent under the Senior Credit Agreement and its successors and permitted assigns in such capacity.</w:t>
      </w:r>
    </w:p>
    <w:p>
      <w:pPr>
        <w:spacing w:after="0" w:line="46" w:lineRule="exact"/>
        <w:rPr>
          <w:sz w:val="20"/>
          <w:szCs w:val="20"/>
          <w:color w:val="auto"/>
        </w:rPr>
      </w:pPr>
    </w:p>
    <w:p>
      <w:pPr>
        <w:ind w:left="300" w:right="4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Credit Agreement</w:t>
      </w:r>
      <w:r>
        <w:rPr>
          <w:rFonts w:ascii="Arial" w:cs="Arial" w:eastAsia="Arial" w:hAnsi="Arial"/>
          <w:sz w:val="18"/>
          <w:szCs w:val="18"/>
          <w:color w:val="auto"/>
        </w:rPr>
        <w: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w:t>
      </w:r>
    </w:p>
    <w:p>
      <w:pPr>
        <w:spacing w:after="0" w:line="68" w:lineRule="exact"/>
        <w:rPr>
          <w:sz w:val="20"/>
          <w:szCs w:val="20"/>
          <w:color w:val="auto"/>
        </w:rPr>
      </w:pPr>
    </w:p>
    <w:p>
      <w:pPr>
        <w:ind w:left="300" w:right="5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shall mean Debt of the Borrower or any Guarantor under the Senior Loan Documents, if any.</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Lenders</w:t>
      </w:r>
      <w:r>
        <w:rPr>
          <w:rFonts w:ascii="Arial" w:cs="Arial" w:eastAsia="Arial" w:hAnsi="Arial"/>
          <w:sz w:val="18"/>
          <w:szCs w:val="18"/>
          <w:color w:val="auto"/>
        </w:rPr>
        <w:t>” shall mean the lenders party to the Senior Credit Agreement, if any.</w:t>
      </w:r>
    </w:p>
    <w:p>
      <w:pPr>
        <w:spacing w:after="0" w:line="104"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Loan Documents</w:t>
      </w:r>
      <w:r>
        <w:rPr>
          <w:rFonts w:ascii="Arial" w:cs="Arial" w:eastAsia="Arial" w:hAnsi="Arial"/>
          <w:sz w:val="18"/>
          <w:szCs w:val="18"/>
          <w:color w:val="auto"/>
        </w:rPr>
        <w:t>”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Restatement Date.</w:t>
      </w:r>
    </w:p>
    <w:p>
      <w:pPr>
        <w:spacing w:after="0" w:line="68"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shall mean a rate equal to the secured overnight financing rate as administered by the SOFR Administrator.</w:t>
      </w:r>
    </w:p>
    <w:p>
      <w:pPr>
        <w:spacing w:after="0" w:line="46"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Administrator</w:t>
      </w:r>
      <w:r>
        <w:rPr>
          <w:rFonts w:ascii="Arial" w:cs="Arial" w:eastAsia="Arial" w:hAnsi="Arial"/>
          <w:sz w:val="18"/>
          <w:szCs w:val="18"/>
          <w:color w:val="auto"/>
        </w:rPr>
        <w:t>” shall mean the Federal Reserve Bank of New York (or a successor administrator of the secured overnight financing rate).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Borrowing</w:t>
      </w:r>
      <w:r>
        <w:rPr>
          <w:rFonts w:ascii="Arial" w:cs="Arial" w:eastAsia="Arial" w:hAnsi="Arial"/>
          <w:sz w:val="18"/>
          <w:szCs w:val="18"/>
          <w:color w:val="auto"/>
        </w:rPr>
        <w:t>” shall mean, as to any borrowing, the SOFR Loans comprising such Loans.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Deadline</w:t>
      </w:r>
      <w:r>
        <w:rPr>
          <w:rFonts w:ascii="Arial" w:cs="Arial" w:eastAsia="Arial" w:hAnsi="Arial"/>
          <w:sz w:val="18"/>
          <w:szCs w:val="18"/>
          <w:color w:val="auto"/>
        </w:rPr>
        <w:t>” has the meaning specified therefor in Section 2.12(a).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Loan</w:t>
      </w:r>
      <w:r>
        <w:rPr>
          <w:rFonts w:ascii="Arial" w:cs="Arial" w:eastAsia="Arial" w:hAnsi="Arial"/>
          <w:sz w:val="18"/>
          <w:szCs w:val="18"/>
          <w:color w:val="auto"/>
        </w:rPr>
        <w:t>” shall mean a Loan that bears interest at a rate based on Adjusted Term SOFR, other than pursuant to clause (c) of the definition of “Reference Rate”.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Notice</w:t>
      </w:r>
      <w:r>
        <w:rPr>
          <w:rFonts w:ascii="Arial" w:cs="Arial" w:eastAsia="Arial" w:hAnsi="Arial"/>
          <w:sz w:val="18"/>
          <w:szCs w:val="18"/>
          <w:color w:val="auto"/>
        </w:rPr>
        <w:t xml:space="preserve">” shall mean a written notice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Option</w:t>
      </w:r>
      <w:r>
        <w:rPr>
          <w:rFonts w:ascii="Arial" w:cs="Arial" w:eastAsia="Arial" w:hAnsi="Arial"/>
          <w:sz w:val="18"/>
          <w:szCs w:val="18"/>
          <w:color w:val="auto"/>
        </w:rPr>
        <w:t>” has the meaning specified therefor in Section 2.12(a).</w:t>
      </w:r>
    </w:p>
    <w:p>
      <w:pPr>
        <w:spacing w:after="0" w:line="104"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means those representations and warranties made in Section 5.1 (limited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existence of each Credit Party under the laws of the state of its incorporation or formation),</w:t>
      </w:r>
    </w:p>
    <w:p>
      <w:pPr>
        <w:ind w:left="300"/>
        <w:spacing w:after="0"/>
        <w:rPr>
          <w:sz w:val="20"/>
          <w:szCs w:val="20"/>
          <w:color w:val="auto"/>
        </w:rPr>
      </w:pPr>
      <w:r>
        <w:rPr>
          <w:rFonts w:ascii="Arial" w:cs="Arial" w:eastAsia="Arial" w:hAnsi="Arial"/>
          <w:sz w:val="17"/>
          <w:szCs w:val="17"/>
          <w:color w:val="auto"/>
        </w:rPr>
        <w:t>Section 5.2(i), Section 5.2(ii), Section 5.2(iii) (limited to contravention of the Borrower’s or any Guarantor’s</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organizational documents), Section 5.2(iv), Section 5.4, Section 5.6, Section 5.7(b), Section 5.9(ii),</w:t>
      </w:r>
    </w:p>
    <w:p>
      <w:pPr>
        <w:ind w:left="300"/>
        <w:spacing w:after="0"/>
        <w:rPr>
          <w:sz w:val="20"/>
          <w:szCs w:val="20"/>
          <w:color w:val="auto"/>
        </w:rPr>
      </w:pPr>
      <w:r>
        <w:rPr>
          <w:rFonts w:ascii="Arial" w:cs="Arial" w:eastAsia="Arial" w:hAnsi="Arial"/>
          <w:sz w:val="18"/>
          <w:szCs w:val="18"/>
          <w:color w:val="auto"/>
        </w:rPr>
        <w:t>Section 5.10, Section 5.12, Section 5.22, and Section 5.31.</w:t>
      </w:r>
    </w:p>
    <w:p>
      <w:pPr>
        <w:spacing w:after="0" w:line="86"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Subordination Agreement</w:t>
      </w:r>
      <w:r>
        <w:rPr>
          <w:rFonts w:ascii="Arial" w:cs="Arial" w:eastAsia="Arial" w:hAnsi="Arial"/>
          <w:sz w:val="18"/>
          <w:szCs w:val="18"/>
          <w:color w:val="auto"/>
        </w:rPr>
        <w: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Restatement Date.</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STORY3</w:t>
      </w:r>
      <w:r>
        <w:rPr>
          <w:rFonts w:ascii="Arial" w:cs="Arial" w:eastAsia="Arial" w:hAnsi="Arial"/>
          <w:sz w:val="18"/>
          <w:szCs w:val="18"/>
          <w:color w:val="auto"/>
        </w:rPr>
        <w:t>” shall mean STORY3 Capital Partners LLC.</w:t>
      </w:r>
    </w:p>
    <w:p>
      <w:pPr>
        <w:spacing w:after="0" w:line="104"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spacing w:after="0" w:line="66"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 Documents</w:t>
      </w:r>
      <w:r>
        <w:rPr>
          <w:rFonts w:ascii="Arial" w:cs="Arial" w:eastAsia="Arial" w:hAnsi="Arial"/>
          <w:sz w:val="18"/>
          <w:szCs w:val="18"/>
          <w:color w:val="auto"/>
        </w:rPr>
        <w:t>” shall mean and include any documents evidencing any Subordinated Debt, in each case, as the same may be amended, modified, supplemented or otherwise modified from time to time in compliance with the terms of this Agreement.</w:t>
      </w:r>
    </w:p>
    <w:p>
      <w:pPr>
        <w:spacing w:after="0" w:line="61" w:lineRule="exact"/>
        <w:rPr>
          <w:sz w:val="20"/>
          <w:szCs w:val="20"/>
          <w:color w:val="auto"/>
        </w:rPr>
      </w:pPr>
    </w:p>
    <w:p>
      <w:pPr>
        <w:ind w:left="300" w:right="319"/>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Agreements</w:t>
      </w:r>
      <w:r>
        <w:rPr>
          <w:rFonts w:ascii="Arial" w:cs="Arial" w:eastAsia="Arial" w:hAnsi="Arial"/>
          <w:sz w:val="18"/>
          <w:szCs w:val="18"/>
          <w:color w:val="auto"/>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Arial" w:cs="Arial" w:eastAsia="Arial" w:hAnsi="Arial"/>
          <w:sz w:val="18"/>
          <w:szCs w:val="18"/>
          <w:b w:val="1"/>
          <w:bCs w:val="1"/>
          <w:color w:val="auto"/>
        </w:rPr>
        <w:t>Subordination Agreement</w:t>
      </w:r>
      <w:r>
        <w:rPr>
          <w:rFonts w:ascii="Arial" w:cs="Arial" w:eastAsia="Arial" w:hAnsi="Arial"/>
          <w:sz w:val="18"/>
          <w:szCs w:val="18"/>
          <w:color w:val="auto"/>
        </w:rPr>
        <w:t>” shall mean any one of them.</w:t>
      </w:r>
    </w:p>
    <w:p>
      <w:pPr>
        <w:spacing w:after="0" w:line="56"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Subsidiary(ies)</w:t>
      </w:r>
      <w:r>
        <w:rPr>
          <w:rFonts w:ascii="Arial" w:cs="Arial" w:eastAsia="Arial" w:hAnsi="Arial"/>
          <w:sz w:val="18"/>
          <w:szCs w:val="18"/>
          <w:color w:val="auto"/>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Agent</w:t>
      </w:r>
      <w:r>
        <w:rPr>
          <w:rFonts w:ascii="Arial" w:cs="Arial" w:eastAsia="Arial" w:hAnsi="Arial"/>
          <w:sz w:val="18"/>
          <w:szCs w:val="18"/>
          <w:color w:val="auto"/>
        </w:rPr>
        <w:t>” shall have the meaning set forth in Section 11.4(a) hereof.</w:t>
      </w:r>
    </w:p>
    <w:p>
      <w:pPr>
        <w:spacing w:after="0" w:line="104"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spacing w:after="0" w:line="61" w:lineRule="exact"/>
        <w:rPr>
          <w:sz w:val="20"/>
          <w:szCs w:val="20"/>
          <w:color w:val="auto"/>
        </w:rPr>
      </w:pPr>
    </w:p>
    <w:p>
      <w:pPr>
        <w:ind w:left="30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shall mean the Exchanged Term Loans, the Restatement Date Term Loans and the Incremental Term Loans, as the context requires.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shall mean the Restatement Date Term Loan Commitment or the Incremental Term Loan Commitment (if any) of a Lender, and “</w:t>
      </w:r>
      <w:r>
        <w:rPr>
          <w:rFonts w:ascii="Arial" w:cs="Arial" w:eastAsia="Arial" w:hAnsi="Arial"/>
          <w:sz w:val="18"/>
          <w:szCs w:val="18"/>
          <w:b w:val="1"/>
          <w:bCs w:val="1"/>
          <w:color w:val="auto"/>
        </w:rPr>
        <w:t>Term Loan Commitments</w:t>
      </w:r>
      <w:r>
        <w:rPr>
          <w:rFonts w:ascii="Arial" w:cs="Arial" w:eastAsia="Arial" w:hAnsi="Arial"/>
          <w:sz w:val="18"/>
          <w:szCs w:val="18"/>
          <w:color w:val="auto"/>
        </w:rPr>
        <w:t>” shall mean such commitments of all Lenders.</w:t>
      </w:r>
    </w:p>
    <w:p>
      <w:pPr>
        <w:spacing w:after="0" w:line="61"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Exposure</w:t>
      </w:r>
      <w:r>
        <w:rPr>
          <w:rFonts w:ascii="Arial" w:cs="Arial" w:eastAsia="Arial" w:hAnsi="Arial"/>
          <w:sz w:val="18"/>
          <w:szCs w:val="18"/>
          <w:color w:val="auto"/>
        </w:rPr>
        <w:t>” shall mean, with respect to any Lender, as of any date of determination, the outstanding principal amount of the Term Loan of such Lender.</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shall mean,</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for any calculation with respect to a SOFR Loan, the Term SOFR Reference Rate for a tenor comparable to the applicable Interest Period on the day (such day, the “</w:t>
      </w:r>
      <w:r>
        <w:rPr>
          <w:rFonts w:ascii="Arial" w:cs="Arial" w:eastAsia="Arial" w:hAnsi="Arial"/>
          <w:sz w:val="18"/>
          <w:szCs w:val="18"/>
          <w:u w:val="single" w:color="auto"/>
          <w:color w:val="auto"/>
        </w:rPr>
        <w:t>Periodic Term 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 Day</w:t>
      </w:r>
      <w:r>
        <w:rPr>
          <w:rFonts w:ascii="Arial" w:cs="Arial" w:eastAsia="Arial" w:hAnsi="Arial"/>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72" w:lineRule="exact"/>
        <w:rPr>
          <w:sz w:val="20"/>
          <w:szCs w:val="20"/>
          <w:color w:val="auto"/>
        </w:rPr>
      </w:pPr>
    </w:p>
    <w:p>
      <w:pPr>
        <w:ind w:left="660" w:right="319"/>
        <w:spacing w:after="0" w:line="253" w:lineRule="auto"/>
        <w:rPr>
          <w:sz w:val="20"/>
          <w:szCs w:val="20"/>
          <w:color w:val="auto"/>
        </w:rPr>
      </w:pPr>
      <w:r>
        <w:rPr>
          <w:rFonts w:ascii="Arial" w:cs="Arial" w:eastAsia="Arial" w:hAnsi="Arial"/>
          <w:sz w:val="17"/>
          <w:szCs w:val="17"/>
          <w:color w:val="auto"/>
        </w:rPr>
        <w:t>(b)  for any calculation with respect to a Reference Rate Loan on any day, the Term SOFR Reference Rate for a tenor of three months on the day (such day, the “</w:t>
      </w:r>
      <w:r>
        <w:rPr>
          <w:rFonts w:ascii="Arial" w:cs="Arial" w:eastAsia="Arial" w:hAnsi="Arial"/>
          <w:sz w:val="17"/>
          <w:szCs w:val="17"/>
          <w:u w:val="single" w:color="auto"/>
          <w:color w:val="auto"/>
        </w:rPr>
        <w:t>Reference Rate Term SOFR</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 Day</w:t>
      </w:r>
      <w:r>
        <w:rPr>
          <w:rFonts w:ascii="Arial" w:cs="Arial" w:eastAsia="Arial" w:hAnsi="Arial"/>
          <w:sz w:val="17"/>
          <w:szCs w:val="17"/>
          <w:color w:val="auto"/>
        </w:rPr>
        <w:t>”) that is two (2) U.S. Government Securities Business Days prior to such day, as such rate is published by the Term SOFR Administrator; provided, however, that if as of 5:00 p.m. (New York City time) on any Reference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SOFR Determination Day.</w:t>
      </w:r>
    </w:p>
    <w:p>
      <w:pPr>
        <w:spacing w:after="0" w:line="65" w:lineRule="exact"/>
        <w:rPr>
          <w:sz w:val="20"/>
          <w:szCs w:val="20"/>
          <w:color w:val="auto"/>
        </w:rPr>
      </w:pPr>
    </w:p>
    <w:p>
      <w:pPr>
        <w:ind w:left="300" w:right="7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Administrator</w:t>
      </w:r>
      <w:r>
        <w:rPr>
          <w:rFonts w:ascii="Arial" w:cs="Arial" w:eastAsia="Arial" w:hAnsi="Arial"/>
          <w:sz w:val="18"/>
          <w:szCs w:val="18"/>
          <w:color w:val="auto"/>
        </w:rPr>
        <w:t>” shall mean CME Group Benchmark Administration Limited (CBA) (or a successor administrator of the Term SOFR Reference Rate selected by the Agent in its reasonable discretion).</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Reference Rate</w:t>
      </w:r>
      <w:r>
        <w:rPr>
          <w:rFonts w:ascii="Arial" w:cs="Arial" w:eastAsia="Arial" w:hAnsi="Arial"/>
          <w:sz w:val="18"/>
          <w:szCs w:val="18"/>
          <w:color w:val="auto"/>
        </w:rPr>
        <w:t>” shall mean the forward-looking term rate based on SOFR.</w:t>
      </w:r>
    </w:p>
    <w:p>
      <w:pPr>
        <w:spacing w:after="0" w:line="104"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shall mean the applicable Benchmark Replacement excluding the related Benchmark Replacement Adjustment.</w:t>
      </w:r>
    </w:p>
    <w:p>
      <w:pPr>
        <w:spacing w:after="0" w:line="46"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in effect in any applicable state; provided that, unless specified otherwise or the context otherwise requires, such terms shall refer to the Uniform Commercial Code as in effect in the State of New York.</w:t>
      </w:r>
    </w:p>
    <w:p>
      <w:pPr>
        <w:spacing w:after="0" w:line="61"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w:t>
      </w:r>
      <w:r>
        <w:rPr>
          <w:rFonts w:ascii="Arial" w:cs="Arial" w:eastAsia="Arial" w:hAnsi="Arial"/>
          <w:sz w:val="18"/>
          <w:szCs w:val="18"/>
          <w:color w:val="auto"/>
        </w:rPr>
        <w:t>” shall mean an individual unit (i.e., wardrobe and similar merchandise) owned by the Borrower and currently available for rent or held for sale.</w:t>
      </w:r>
    </w:p>
    <w:p>
      <w:pPr>
        <w:spacing w:after="0" w:line="46" w:lineRule="exact"/>
        <w:rPr>
          <w:sz w:val="20"/>
          <w:szCs w:val="20"/>
          <w:color w:val="auto"/>
        </w:rPr>
      </w:pPr>
    </w:p>
    <w:p>
      <w:pPr>
        <w:ind w:left="300" w:right="2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6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Internal Revenue Code.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shall have the meaning specified therefor in Section 12.12.</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shall have the meaning specified therefor in Section 5.7.</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Waivable Mandatory Prepayment”</w:t>
      </w:r>
      <w:r>
        <w:rPr>
          <w:rFonts w:ascii="Arial" w:cs="Arial" w:eastAsia="Arial" w:hAnsi="Arial"/>
          <w:sz w:val="18"/>
          <w:szCs w:val="18"/>
          <w:color w:val="auto"/>
        </w:rPr>
        <w:t xml:space="preserve"> shall have the meaning specified therefor in Section 2.9(b).</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and the Agent.</w:t>
      </w:r>
    </w:p>
    <w:p>
      <w:pPr>
        <w:spacing w:after="0" w:line="104" w:lineRule="exact"/>
        <w:rPr>
          <w:sz w:val="20"/>
          <w:szCs w:val="20"/>
          <w:color w:val="auto"/>
        </w:rPr>
      </w:pPr>
    </w:p>
    <w:p>
      <w:pPr>
        <w:ind w:left="300" w:right="4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66"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46" w:lineRule="exact"/>
        <w:rPr>
          <w:sz w:val="20"/>
          <w:szCs w:val="20"/>
          <w:color w:val="auto"/>
        </w:rPr>
      </w:pPr>
    </w:p>
    <w:p>
      <w:pPr>
        <w:ind w:left="660" w:right="339"/>
        <w:spacing w:after="0" w:line="236" w:lineRule="auto"/>
        <w:rPr>
          <w:sz w:val="20"/>
          <w:szCs w:val="20"/>
          <w:color w:val="auto"/>
        </w:rPr>
      </w:pPr>
      <w:r>
        <w:rPr>
          <w:rFonts w:ascii="Arial" w:cs="Arial" w:eastAsia="Arial" w:hAnsi="Arial"/>
          <w:sz w:val="18"/>
          <w:szCs w:val="18"/>
          <w:color w:val="auto"/>
        </w:rPr>
        <w:t>(a)  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87" w:lineRule="exact"/>
        <w:rPr>
          <w:sz w:val="20"/>
          <w:szCs w:val="20"/>
          <w:color w:val="auto"/>
        </w:rPr>
      </w:pPr>
    </w:p>
    <w:p>
      <w:pPr>
        <w:ind w:left="660" w:right="539"/>
        <w:spacing w:after="0" w:line="253" w:lineRule="auto"/>
        <w:rPr>
          <w:sz w:val="20"/>
          <w:szCs w:val="20"/>
          <w:color w:val="auto"/>
        </w:rPr>
      </w:pPr>
      <w:r>
        <w:rPr>
          <w:rFonts w:ascii="Arial" w:cs="Arial" w:eastAsia="Arial" w:hAnsi="Arial"/>
          <w:sz w:val="18"/>
          <w:szCs w:val="18"/>
          <w:color w:val="auto"/>
        </w:rPr>
        <w:t>(b)  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1" w:lineRule="exact"/>
        <w:rPr>
          <w:sz w:val="20"/>
          <w:szCs w:val="20"/>
          <w:color w:val="auto"/>
        </w:rPr>
      </w:pPr>
    </w:p>
    <w:p>
      <w:pPr>
        <w:ind w:left="660" w:right="419"/>
        <w:spacing w:after="0" w:line="301" w:lineRule="auto"/>
        <w:rPr>
          <w:sz w:val="20"/>
          <w:szCs w:val="20"/>
          <w:color w:val="auto"/>
        </w:rPr>
      </w:pPr>
      <w:r>
        <w:rPr>
          <w:rFonts w:ascii="Arial" w:cs="Arial" w:eastAsia="Arial" w:hAnsi="Arial"/>
          <w:sz w:val="17"/>
          <w:szCs w:val="17"/>
          <w:color w:val="auto"/>
        </w:rPr>
        <w:t>(c)  Section headings herein and in the other Loan Documents are included for convenience of reference only and shall not affect the interpretation of this Agreement or any other Loan Document.</w:t>
      </w:r>
    </w:p>
    <w:p>
      <w:pPr>
        <w:spacing w:after="0" w:line="23"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(d)  Any reference herein or in any other Loan Document to the satisfaction, repayment, or payment in full of the Indebtedness shall mean the repayment in Dollars in full in cash or immediately available funds of all of the Indebtedness (including the Prepayment Premium) other than unasserted contingent indemnification obligations.</w:t>
      </w:r>
    </w:p>
    <w:p>
      <w:pPr>
        <w:spacing w:after="0" w:line="66"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(e)  References in this Agreement to “determination” by the Agent include good faith estimates by the Agent (in the case of quantitative determinations) and good faith beliefs by the Agent (in the case of qualitative determinations). A Default or Event of Default shall be deemed to exist at all times during the period commencing on the date that such Default or Event of Default occurs to the date on which such Default or Event of Default is waived in writing in accordance with Section 8.5 of this Agreement or, in the case of a Default, is cured within any period of cure expressly provided for in this Agreement; and an Event of Default shall “continue” or be “continuing” until such Event of Default has been waived in writing in accordance with Section 8.5 of this Agreement. Any Lien referred to in this Agreement or any other Loan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6" w:lineRule="auto"/>
        <w:rPr>
          <w:sz w:val="20"/>
          <w:szCs w:val="20"/>
          <w:color w:val="auto"/>
        </w:rPr>
      </w:pPr>
      <w:r>
        <w:rPr>
          <w:rFonts w:ascii="Arial" w:cs="Arial" w:eastAsia="Arial" w:hAnsi="Arial"/>
          <w:sz w:val="18"/>
          <w:szCs w:val="18"/>
          <w:color w:val="auto"/>
        </w:rPr>
        <w:t>Document as having been created in favor of the Agent, any agreement entered into by the Agent pursuant to this Agreement or any other Loan Document, any payment made by or to or funds received by the Agent pursuant to or as contemplated by this Agreement or any other Loan Document, or any act taken or omitted to be taken by the Agent, shall, unless otherwise expressly provided, be created, entered into, made or received, or taken or omitted, for the benefit or account of the Agent and the Lenders. Wherever the phrase “to the knowledge of any Credit Party” or words of similar import relating to the knowledge or the awareness of any Credit Party are used in this Agreement or any other Loan Document, such phrase shall mean and refer to (i) the actual knowledge of a senior officer of any Credit Party or (ii) the knowledge that a senior officer would have obtained if such officer had engaged in good faith and diligent performance of such officer’s duties, including the making of such reasonably specific inquiries as may be necessary of the employees or agents of such Credit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Restatement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spacing w:after="0" w:line="75"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72"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(c)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68" w:lineRule="exact"/>
        <w:rPr>
          <w:sz w:val="20"/>
          <w:szCs w:val="20"/>
          <w:color w:val="auto"/>
        </w:rPr>
      </w:pPr>
    </w:p>
    <w:p>
      <w:pPr>
        <w:ind w:left="660" w:right="359"/>
        <w:spacing w:after="0" w:line="253" w:lineRule="auto"/>
        <w:rPr>
          <w:sz w:val="20"/>
          <w:szCs w:val="20"/>
          <w:color w:val="auto"/>
        </w:rPr>
      </w:pPr>
      <w:r>
        <w:rPr>
          <w:rFonts w:ascii="Arial" w:cs="Arial" w:eastAsia="Arial" w:hAnsi="Arial"/>
          <w:sz w:val="18"/>
          <w:szCs w:val="18"/>
          <w:color w:val="auto"/>
        </w:rPr>
        <w:t>(d)  All terms used in this Agreement which are defined in Article 8 or Article 9 of the Uniform Commercial Code as in effect from time to time in the State of New York and which are not otherwise defined herein shall have the same meanings herein as set forth therein; provided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that terms used herein which are defined in the Uniform Commercial Code as in effect in the State of New York on the date hereof shall continue to have the same meaning notwithstanding any replacement or amendment of such statute, except as the Agent may otherwise determine.</w:t>
      </w:r>
    </w:p>
    <w:p>
      <w:pPr>
        <w:spacing w:after="0" w:line="61"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spacing w:after="0" w:line="68" w:lineRule="exact"/>
        <w:rPr>
          <w:sz w:val="20"/>
          <w:szCs w:val="20"/>
          <w:color w:val="auto"/>
        </w:rPr>
      </w:pPr>
    </w:p>
    <w:p>
      <w:pPr>
        <w:ind w:left="300" w:right="359"/>
        <w:spacing w:after="0" w:line="25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Times of Day</w:t>
      </w:r>
      <w:r>
        <w:rPr>
          <w:rFonts w:ascii="Arial" w:cs="Arial" w:eastAsia="Arial" w:hAnsi="Arial"/>
          <w:sz w:val="17"/>
          <w:szCs w:val="17"/>
          <w:color w:val="auto"/>
        </w:rPr>
        <w:t>. Unless otherwise specified, all references herein to times of day shall be references to Eastern time (daylight or standard, as applicable),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any Secured Party,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spacing w:after="0" w:line="60" w:lineRule="exact"/>
        <w:rPr>
          <w:sz w:val="20"/>
          <w:szCs w:val="20"/>
          <w:color w:val="auto"/>
        </w:rPr>
      </w:pPr>
    </w:p>
    <w:p>
      <w:pPr>
        <w:ind w:left="300" w:right="339"/>
        <w:spacing w:after="0" w:line="259"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Divisions</w:t>
      </w:r>
      <w:r>
        <w:rPr>
          <w:rFonts w:ascii="Arial" w:cs="Arial" w:eastAsia="Arial" w:hAnsi="Arial"/>
          <w:sz w:val="17"/>
          <w:szCs w:val="17"/>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57"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Senior Loan Documents and Specified Subordination Agreement</w:t>
      </w:r>
      <w:r>
        <w:rPr>
          <w:rFonts w:ascii="Arial" w:cs="Arial" w:eastAsia="Arial" w:hAnsi="Arial"/>
          <w:sz w:val="18"/>
          <w:szCs w:val="18"/>
          <w:color w:val="auto"/>
        </w:rPr>
        <w: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spacing w:after="0" w:line="77"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Rates</w:t>
      </w:r>
      <w:r>
        <w:rPr>
          <w:rFonts w:ascii="Arial" w:cs="Arial" w:eastAsia="Arial" w:hAnsi="Arial"/>
          <w:sz w:val="18"/>
          <w:szCs w:val="18"/>
          <w:color w:val="auto"/>
        </w:rPr>
        <w:t>. The Agent does not warrant or accept responsibility for, and shall not have any liability with respect to (a) the continuation of, administration of, submission of, calculation of or any other matter related to the Reference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Reference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Reference Rate, the Term SOFR Reference Rate, Term SOFR, Adjusted Term SOFR, any alternative, successor or replacement rate (including any Benchmark Replacement) or any relevant adjustments thereto, in each case, in a manner adverse to the Borrower. The Agent may select information sources or services in its reasonable discretion to ascertain the Reference Rate, the Term SOFR Reference Rate, Term SOFR, Adjusted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2.   TERM LOANS.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Restatement Date Transactions; Loans and Commitments</w:t>
      </w:r>
      <w:r>
        <w:rPr>
          <w:rFonts w:ascii="Arial" w:cs="Arial" w:eastAsia="Arial" w:hAnsi="Arial"/>
          <w:sz w:val="18"/>
          <w:szCs w:val="18"/>
          <w:color w:val="auto"/>
        </w:rPr>
        <w:t xml:space="preserve"> .</w:t>
      </w:r>
    </w:p>
    <w:p>
      <w:pPr>
        <w:spacing w:after="0" w:line="104"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Interest Capitalization; Debt for Equity Exchange</w:t>
      </w:r>
      <w:r>
        <w:rPr>
          <w:rFonts w:ascii="Arial" w:cs="Arial" w:eastAsia="Arial" w:hAnsi="Arial"/>
          <w:sz w:val="18"/>
          <w:szCs w:val="18"/>
          <w:color w:val="auto"/>
        </w:rPr>
        <w:t>. On the Restatement Date, (i) the Interest Capitalization shall be deemed to have occurred and (ii) immediately following the Interest Capitalization, the Debt for Equity Exchange occurred in accordance with the terms and conditions of the Exchange Agreement. Immediately after giving effect to the Debt for Equity Exchange, the aggregate outstanding principal amount of Existing Term Loans was equal to $100,000,000.</w:t>
      </w:r>
    </w:p>
    <w:p>
      <w:pPr>
        <w:spacing w:after="0" w:line="68"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Initial Loan Exchange</w:t>
      </w:r>
      <w:r>
        <w:rPr>
          <w:rFonts w:ascii="Arial" w:cs="Arial" w:eastAsia="Arial" w:hAnsi="Arial"/>
          <w:sz w:val="18"/>
          <w:szCs w:val="18"/>
          <w:color w:val="auto"/>
        </w:rPr>
        <w:t>. Immediately after the consummation of the Debt for Equity Exchange, the Initial Loan Exchange is deemed to have occurred. The aggregate outstanding principal amount of the Exchanged Term Loans under this Agreement immediately following the Initial Loan Exchange is equal to $100,000,000. Immediately following the consummation of the Initial Loan Exchange, the Restatement Date Assignment occurred in accordance with the terms of the Purchase and Sale Agreement.</w:t>
      </w:r>
    </w:p>
    <w:p>
      <w:pPr>
        <w:spacing w:after="0" w:line="71"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Restatement Date Term Loans</w:t>
      </w:r>
      <w:r>
        <w:rPr>
          <w:rFonts w:ascii="Arial" w:cs="Arial" w:eastAsia="Arial" w:hAnsi="Arial"/>
          <w:sz w:val="18"/>
          <w:szCs w:val="18"/>
          <w:color w:val="auto"/>
        </w:rPr>
        <w:t>. Subject to the terms and conditions hereof, each Lender with a Restatement Date Term Loan Commitment severally agrees to make, on the Restatement Date, immediately following the consummation of the Restatement Date Assignment, a term loan to the Borrower in an amount equal to such Lender’s Restatement Date Term Loan Commitment. The Borrower may make only one borrowing under the Restatement Date Term Loan Commitments which shall be on the Restatement Date. Each Lender’s Restatement Date Term Loan Commitment shall terminate immediately and without further action on the Restatement Date after giving effect to the funding of such Restatement Date Term Loan Commitment, if any, on such date.</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Borrower, the Agent and each Lender hereby acknowledge, confirm and agree that after giving effect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Debt for Equity Exchange, the Initial Loan Exchange, the Restatement Date Assignment and the</w:t>
      </w:r>
    </w:p>
    <w:p>
      <w:pPr>
        <w:ind w:left="300"/>
        <w:spacing w:after="0" w:line="234" w:lineRule="auto"/>
        <w:rPr>
          <w:sz w:val="20"/>
          <w:szCs w:val="20"/>
          <w:color w:val="auto"/>
        </w:rPr>
      </w:pPr>
      <w:r>
        <w:rPr>
          <w:rFonts w:ascii="Arial" w:cs="Arial" w:eastAsia="Arial" w:hAnsi="Arial"/>
          <w:sz w:val="18"/>
          <w:szCs w:val="18"/>
          <w:color w:val="auto"/>
        </w:rPr>
        <w:t>funding of the Restatement Date Term Loans (collectively, the “</w:t>
      </w:r>
      <w:r>
        <w:rPr>
          <w:rFonts w:ascii="Arial" w:cs="Arial" w:eastAsia="Arial" w:hAnsi="Arial"/>
          <w:sz w:val="18"/>
          <w:szCs w:val="18"/>
          <w:b w:val="1"/>
          <w:bCs w:val="1"/>
          <w:color w:val="auto"/>
        </w:rPr>
        <w:t>Restatement Date Transactions</w:t>
      </w:r>
      <w:r>
        <w:rPr>
          <w:rFonts w:ascii="Arial" w:cs="Arial" w:eastAsia="Arial" w:hAnsi="Arial"/>
          <w:sz w:val="18"/>
          <w:szCs w:val="18"/>
          <w:color w:val="auto"/>
        </w:rPr>
        <w:t>”), as of</w:t>
      </w:r>
    </w:p>
    <w:p>
      <w:pPr>
        <w:ind w:left="300"/>
        <w:spacing w:after="0" w:line="235" w:lineRule="auto"/>
        <w:rPr>
          <w:sz w:val="20"/>
          <w:szCs w:val="20"/>
          <w:color w:val="auto"/>
        </w:rPr>
      </w:pPr>
      <w:r>
        <w:rPr>
          <w:rFonts w:ascii="Arial" w:cs="Arial" w:eastAsia="Arial" w:hAnsi="Arial"/>
          <w:sz w:val="18"/>
          <w:szCs w:val="18"/>
          <w:color w:val="auto"/>
        </w:rPr>
        <w:t>the Restatement Date, (i) the aggregate outstanding principal amount of the Term Loans is equal to</w:t>
      </w:r>
    </w:p>
    <w:p>
      <w:pPr>
        <w:ind w:left="300"/>
        <w:spacing w:after="0" w:line="235" w:lineRule="auto"/>
        <w:rPr>
          <w:sz w:val="20"/>
          <w:szCs w:val="20"/>
          <w:color w:val="auto"/>
        </w:rPr>
      </w:pPr>
      <w:r>
        <w:rPr>
          <w:rFonts w:ascii="Arial" w:cs="Arial" w:eastAsia="Arial" w:hAnsi="Arial"/>
          <w:sz w:val="18"/>
          <w:szCs w:val="18"/>
          <w:color w:val="auto"/>
        </w:rPr>
        <w:t>$120,000,000 and (ii) the principal amount of Term Loans held by each Lender is set forth in Section 3 of</w:t>
      </w:r>
    </w:p>
    <w:p>
      <w:pPr>
        <w:ind w:left="300"/>
        <w:spacing w:after="0"/>
        <w:rPr>
          <w:sz w:val="20"/>
          <w:szCs w:val="20"/>
          <w:color w:val="auto"/>
        </w:rPr>
      </w:pP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86"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No Term Loan that has been repaid or prepaid may be reborrowed. All amounts owed hereunder with respect to the Term Loan shall be paid in full no later than the Maturity Date.</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Accrual of Interest and Maturity; Evidence of Indebtedness</w:t>
      </w:r>
      <w:r>
        <w:rPr>
          <w:rFonts w:ascii="Arial" w:cs="Arial" w:eastAsia="Arial" w:hAnsi="Arial"/>
          <w:sz w:val="18"/>
          <w:szCs w:val="18"/>
          <w:color w:val="auto"/>
        </w:rPr>
        <w:t xml:space="preserve"> .</w:t>
      </w:r>
    </w:p>
    <w:p>
      <w:pPr>
        <w:spacing w:after="0" w:line="104"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(a)  The Borrower hereby unconditionally promises to pay to the Agent for the account of each Lender the then unpaid principal amount of each Loan (plus all accrued and unpaid interest) of and any other outstanding Indebtedness hereunder (including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w:t>
      </w:r>
    </w:p>
    <w:p>
      <w:pPr>
        <w:spacing w:after="0" w:line="77"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(b)  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spacing w:after="0" w:line="68"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(c)  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 xml:space="preserve">(d)  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spacing w:after="0" w:line="75" w:lineRule="exact"/>
        <w:rPr>
          <w:sz w:val="20"/>
          <w:szCs w:val="20"/>
          <w:color w:val="auto"/>
        </w:rPr>
      </w:pPr>
    </w:p>
    <w:p>
      <w:pPr>
        <w:ind w:left="660" w:right="579"/>
        <w:spacing w:after="0" w:line="253" w:lineRule="auto"/>
        <w:rPr>
          <w:sz w:val="20"/>
          <w:szCs w:val="20"/>
          <w:color w:val="auto"/>
        </w:rPr>
      </w:pPr>
      <w:r>
        <w:rPr>
          <w:rFonts w:ascii="Arial" w:cs="Arial" w:eastAsia="Arial" w:hAnsi="Arial"/>
          <w:sz w:val="18"/>
          <w:szCs w:val="18"/>
          <w:color w:val="auto"/>
        </w:rPr>
        <w:t>(e)  The Borrower agrees that, upon written request to the Agent by any Lender, the Borrower will execute and deliver, to such Lender, at the Borrower’s own expense, a Note evidencing the outstanding Loans owing to such Lender.</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Requests for Loans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(a)  With respect to the Restatement Date Term Loan, the Borrower shall deliver to the Agent a Request for Loan fully executed by an Authorized Signer no later than 2 Business Days prior to the Restatement Date (or such shorter period as the Agent may agree in writing in its sole discretion). Following the Restatement Date, whenever the Borrower desires that Lenders make a Term Loan (other than the Restatement Date Term Loan),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Each Lender shall make its Term Loan available to the Agent not later than 12:00 p.m.</w:t>
      </w:r>
    </w:p>
    <w:p>
      <w:pPr>
        <w:spacing w:after="0" w:line="14"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spacing w:after="0" w:line="73" w:lineRule="exact"/>
        <w:rPr>
          <w:sz w:val="20"/>
          <w:szCs w:val="20"/>
          <w:color w:val="auto"/>
        </w:rPr>
      </w:pPr>
    </w:p>
    <w:p>
      <w:pPr>
        <w:ind w:left="660" w:right="619"/>
        <w:spacing w:after="0" w:line="271" w:lineRule="auto"/>
        <w:rPr>
          <w:sz w:val="20"/>
          <w:szCs w:val="20"/>
          <w:color w:val="auto"/>
        </w:rPr>
      </w:pPr>
      <w:r>
        <w:rPr>
          <w:rFonts w:ascii="Arial" w:cs="Arial" w:eastAsia="Arial" w:hAnsi="Arial"/>
          <w:sz w:val="18"/>
          <w:szCs w:val="18"/>
          <w:color w:val="auto"/>
        </w:rPr>
        <w:t>(c)  A Request for Loan, once delivered to the Agent, shall not be revocable by the Borrower and shall constitute a certification by the Borrower as of the date thereof that:</w:t>
      </w:r>
    </w:p>
    <w:p>
      <w:pPr>
        <w:spacing w:after="0" w:line="46" w:lineRule="exact"/>
        <w:rPr>
          <w:sz w:val="20"/>
          <w:szCs w:val="20"/>
          <w:color w:val="auto"/>
        </w:rPr>
      </w:pPr>
    </w:p>
    <w:p>
      <w:pPr>
        <w:jc w:val="both"/>
        <w:ind w:left="1020" w:right="559"/>
        <w:spacing w:after="0" w:line="253" w:lineRule="auto"/>
        <w:rPr>
          <w:sz w:val="20"/>
          <w:szCs w:val="20"/>
          <w:color w:val="auto"/>
        </w:rPr>
      </w:pPr>
      <w:r>
        <w:rPr>
          <w:rFonts w:ascii="Arial" w:cs="Arial" w:eastAsia="Arial" w:hAnsi="Arial"/>
          <w:sz w:val="18"/>
          <w:szCs w:val="18"/>
          <w:color w:val="auto"/>
        </w:rPr>
        <w:t>(i)  all conditions to the making of Loans set forth in Sections 4.1 and/or 4.2, as applicable, of this Agreement have been satisfied, and shall remain satisfied to the date of such Loan (both before and immediately after giving effect to such Loan);</w:t>
      </w:r>
    </w:p>
    <w:p>
      <w:pPr>
        <w:spacing w:after="0" w:line="61" w:lineRule="exact"/>
        <w:rPr>
          <w:sz w:val="20"/>
          <w:szCs w:val="20"/>
          <w:color w:val="auto"/>
        </w:rPr>
      </w:pPr>
    </w:p>
    <w:p>
      <w:pPr>
        <w:jc w:val="both"/>
        <w:ind w:left="1020" w:right="479"/>
        <w:spacing w:after="0" w:line="253" w:lineRule="auto"/>
        <w:rPr>
          <w:sz w:val="20"/>
          <w:szCs w:val="20"/>
          <w:color w:val="auto"/>
        </w:rPr>
      </w:pPr>
      <w:r>
        <w:rPr>
          <w:rFonts w:ascii="Arial" w:cs="Arial" w:eastAsia="Arial" w:hAnsi="Arial"/>
          <w:sz w:val="18"/>
          <w:szCs w:val="18"/>
          <w:color w:val="auto"/>
        </w:rPr>
        <w:t>(ii)  at the time of and after giving effect to the making of such Loan and the application of the proceeds thereof, no Default or Event of Default has occurred and is continuing or would result from the making of the Loan to be made; and f</w:t>
      </w:r>
    </w:p>
    <w:p>
      <w:pPr>
        <w:spacing w:after="0" w:line="61" w:lineRule="exact"/>
        <w:rPr>
          <w:sz w:val="20"/>
          <w:szCs w:val="20"/>
          <w:color w:val="auto"/>
        </w:rPr>
      </w:pPr>
    </w:p>
    <w:p>
      <w:pPr>
        <w:ind w:left="1020" w:right="459"/>
        <w:spacing w:after="0" w:line="244" w:lineRule="auto"/>
        <w:rPr>
          <w:sz w:val="20"/>
          <w:szCs w:val="20"/>
          <w:color w:val="auto"/>
        </w:rPr>
      </w:pPr>
      <w:r>
        <w:rPr>
          <w:rFonts w:ascii="Arial" w:cs="Arial" w:eastAsia="Arial" w:hAnsi="Arial"/>
          <w:sz w:val="18"/>
          <w:szCs w:val="18"/>
          <w:color w:val="auto"/>
        </w:rPr>
        <w:t>(iii)  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39"/>
        <w:spacing w:after="0"/>
        <w:rPr>
          <w:sz w:val="20"/>
          <w:szCs w:val="20"/>
          <w:color w:val="auto"/>
        </w:rPr>
      </w:pPr>
      <w:r>
        <w:rPr>
          <w:rFonts w:ascii="Arial" w:cs="Arial" w:eastAsia="Arial" w:hAnsi="Arial"/>
          <w:sz w:val="18"/>
          <w:szCs w:val="18"/>
          <w:color w:val="auto"/>
        </w:rPr>
        <w:t>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72"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Disbursement of Loans</w:t>
      </w:r>
      <w:r>
        <w:rPr>
          <w:rFonts w:ascii="Arial" w:cs="Arial" w:eastAsia="Arial" w:hAnsi="Arial"/>
          <w:sz w:val="18"/>
          <w:szCs w:val="18"/>
          <w:color w:val="auto"/>
        </w:rPr>
        <w:t>.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w:t>
      </w:r>
    </w:p>
    <w:p>
      <w:pPr>
        <w:spacing w:after="0" w:line="78" w:lineRule="exact"/>
        <w:rPr>
          <w:sz w:val="20"/>
          <w:szCs w:val="20"/>
          <w:color w:val="auto"/>
        </w:rPr>
      </w:pPr>
    </w:p>
    <w:p>
      <w:pPr>
        <w:ind w:left="300" w:right="1019"/>
        <w:spacing w:after="0" w:line="27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Fees</w:t>
      </w:r>
      <w:r>
        <w:rPr>
          <w:rFonts w:ascii="Arial" w:cs="Arial" w:eastAsia="Arial" w:hAnsi="Arial"/>
          <w:sz w:val="18"/>
          <w:szCs w:val="18"/>
          <w:color w:val="auto"/>
        </w:rPr>
        <w:t>. The Borrower agrees to pay to the Agent all fees payable by it in the Fee Letter in the amounts and at the times specified therein.</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Interest Payments; Default Interest</w:t>
      </w:r>
      <w:r>
        <w:rPr>
          <w:rFonts w:ascii="Arial" w:cs="Arial" w:eastAsia="Arial" w:hAnsi="Arial"/>
          <w:sz w:val="18"/>
          <w:szCs w:val="18"/>
          <w:color w:val="auto"/>
        </w:rPr>
        <w:t>.</w:t>
      </w:r>
    </w:p>
    <w:p>
      <w:pPr>
        <w:spacing w:after="0" w:line="104"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(a)  Subject to the terms of this Agreement, at the option of the Borrower, the Term Loan or any portion thereof shall be either a Reference Rate Loan or a SOFR Loan. Except as otherwise set forth herein, each Class of Loan shall bear interest on the unpaid principal amount thereof from the date made through repayment (whether by acceleration or otherwise) thereof as follows:</w:t>
      </w:r>
    </w:p>
    <w:p>
      <w:pPr>
        <w:spacing w:after="0" w:line="66" w:lineRule="exact"/>
        <w:rPr>
          <w:sz w:val="20"/>
          <w:szCs w:val="20"/>
          <w:color w:val="auto"/>
        </w:rPr>
      </w:pPr>
    </w:p>
    <w:p>
      <w:pPr>
        <w:jc w:val="both"/>
        <w:ind w:left="1020" w:right="759"/>
        <w:spacing w:after="0" w:line="253" w:lineRule="auto"/>
        <w:rPr>
          <w:sz w:val="20"/>
          <w:szCs w:val="20"/>
          <w:color w:val="auto"/>
        </w:rPr>
      </w:pPr>
      <w:r>
        <w:rPr>
          <w:rFonts w:ascii="Arial" w:cs="Arial" w:eastAsia="Arial" w:hAnsi="Arial"/>
          <w:sz w:val="18"/>
          <w:szCs w:val="18"/>
          <w:color w:val="auto"/>
        </w:rPr>
        <w:t>(i)  each portion of the Term Loan that is a Reference Rate Loan shall bear interest on the principal amount thereof from time to time outstanding, from the date of the Term Loan until repaid, at a rate per annum equal to the Reference Rate plus the Applicable Margin;</w:t>
      </w:r>
    </w:p>
    <w:p>
      <w:pPr>
        <w:spacing w:after="0" w:line="61" w:lineRule="exact"/>
        <w:rPr>
          <w:sz w:val="20"/>
          <w:szCs w:val="20"/>
          <w:color w:val="auto"/>
        </w:rPr>
      </w:pPr>
    </w:p>
    <w:p>
      <w:pPr>
        <w:ind w:left="1020" w:right="439"/>
        <w:spacing w:after="0" w:line="247" w:lineRule="auto"/>
        <w:rPr>
          <w:sz w:val="20"/>
          <w:szCs w:val="20"/>
          <w:color w:val="auto"/>
        </w:rPr>
      </w:pPr>
      <w:r>
        <w:rPr>
          <w:rFonts w:ascii="Arial" w:cs="Arial" w:eastAsia="Arial" w:hAnsi="Arial"/>
          <w:sz w:val="18"/>
          <w:szCs w:val="18"/>
          <w:color w:val="auto"/>
        </w:rPr>
        <w:t>(ii)  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w:t>
      </w:r>
    </w:p>
    <w:p>
      <w:pPr>
        <w:spacing w:after="0" w:line="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in the case of Incremental Term Loans, at the rate set forth in the Joinder Agreement; and</w:t>
      </w:r>
    </w:p>
    <w:p>
      <w:pPr>
        <w:spacing w:after="0" w:line="104" w:lineRule="exact"/>
        <w:rPr>
          <w:sz w:val="20"/>
          <w:szCs w:val="20"/>
          <w:color w:val="auto"/>
        </w:rPr>
      </w:pPr>
    </w:p>
    <w:p>
      <w:pPr>
        <w:ind w:left="1020" w:right="479"/>
        <w:spacing w:after="0" w:line="271" w:lineRule="auto"/>
        <w:rPr>
          <w:sz w:val="20"/>
          <w:szCs w:val="20"/>
          <w:color w:val="auto"/>
        </w:rPr>
      </w:pPr>
      <w:r>
        <w:rPr>
          <w:rFonts w:ascii="Arial" w:cs="Arial" w:eastAsia="Arial" w:hAnsi="Arial"/>
          <w:sz w:val="18"/>
          <w:szCs w:val="18"/>
          <w:color w:val="auto"/>
        </w:rPr>
        <w:t>(iv)  interest on each Term Loan shall be due and payable in cash, in arrears, on each Interest Payment Date.</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[Reserved].</w:t>
      </w:r>
    </w:p>
    <w:p>
      <w:pPr>
        <w:spacing w:after="0" w:line="104" w:lineRule="exact"/>
        <w:rPr>
          <w:sz w:val="20"/>
          <w:szCs w:val="20"/>
          <w:color w:val="auto"/>
        </w:rPr>
      </w:pPr>
    </w:p>
    <w:p>
      <w:pPr>
        <w:ind w:left="660" w:right="399"/>
        <w:spacing w:after="0" w:line="242" w:lineRule="auto"/>
        <w:rPr>
          <w:sz w:val="20"/>
          <w:szCs w:val="20"/>
          <w:color w:val="auto"/>
        </w:rPr>
      </w:pPr>
      <w:r>
        <w:rPr>
          <w:rFonts w:ascii="Arial" w:cs="Arial" w:eastAsia="Arial" w:hAnsi="Arial"/>
          <w:sz w:val="18"/>
          <w:szCs w:val="18"/>
          <w:color w:val="auto"/>
        </w:rPr>
        <w:t>(c)  Interest on each Loan shall be payable (i) as set forth in clause (a)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(d)  Upon the occurrence and during the continuance of an Event of Default, the principal amount of all Loans outstanding and, to the extent permitted by applicable law, any interest payments on the Loans or any fees or other amounts owed hereunder (including the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Arial" w:cs="Arial" w:eastAsia="Arial" w:hAnsi="Arial"/>
          <w:sz w:val="18"/>
          <w:szCs w:val="18"/>
          <w:b w:val="1"/>
          <w:bCs w:val="1"/>
          <w:color w:val="auto"/>
        </w:rPr>
        <w:t>Post-Default Rate</w:t>
      </w:r>
      <w:r>
        <w:rPr>
          <w:rFonts w:ascii="Arial" w:cs="Arial" w:eastAsia="Arial" w:hAnsi="Arial"/>
          <w:sz w:val="18"/>
          <w:szCs w:val="18"/>
          <w:color w:val="auto"/>
        </w:rPr>
        <w:t>”). Payment or acceptance of the increased rates of interest provided for in this Section 2.6(d) is not a permitted alternative to timely payment and shall not constitute a waiver of any Event of Default or otherwise prejudice or limit any rights or remedies of the Agent or any Lender.</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(a)  Subject to the terms of the Specified Subordination Agreement, with respect to each Term Loan, the Borrower may prepay such Term Loan on any Business Day, in whole or in part, in an aggregate minimum amount of $5,000,000 and integral multiples of $ 1,000,000 in excess of that amount, subject to the payment of the Prepayment Premium to the extent payable in accordance with the terms of the Fee Letter.</w:t>
      </w:r>
    </w:p>
    <w:p>
      <w:pPr>
        <w:spacing w:after="0" w:line="68"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(b)  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Mandatory Repayment of Loans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Asset Sales</w:t>
      </w:r>
      <w:r>
        <w:rPr>
          <w:rFonts w:ascii="Arial" w:cs="Arial" w:eastAsia="Arial" w:hAnsi="Arial"/>
          <w:sz w:val="18"/>
          <w:szCs w:val="18"/>
          <w:color w:val="auto"/>
        </w:rPr>
        <w:t xml:space="preserve">. Subject to the terms of the Specified Subordination Agreement, no later than the third Business Day following the date of receipt by any Credit Party of any Net Cash Proceeds from Asset Sales (excluding Asset Sales permitted under Section 7.4 other than Section 7.4(n)) in excess of $1,000,000 in the aggregate in any Fiscal Year, the Borrower shall prepay the Loans as set forth in Section 2.9(a) in an aggregate amount equal to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so long as (i) no Event of Default shall have occurred and be continuing, (ii) the Borrower has delivered the Agent prior written notice of the Borrower’s intention to apply such monies (the “</w:t>
      </w:r>
      <w:r>
        <w:rPr>
          <w:rFonts w:ascii="Arial" w:cs="Arial" w:eastAsia="Arial" w:hAnsi="Arial"/>
          <w:sz w:val="18"/>
          <w:szCs w:val="18"/>
          <w:b w:val="1"/>
          <w:bCs w:val="1"/>
          <w:color w:val="auto"/>
        </w:rPr>
        <w:t>Reinvestment Amounts</w:t>
      </w:r>
      <w:r>
        <w:rPr>
          <w:rFonts w:ascii="Arial" w:cs="Arial" w:eastAsia="Arial" w:hAnsi="Arial"/>
          <w:sz w:val="18"/>
          <w:szCs w:val="18"/>
          <w:color w:val="auto"/>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w:t>
      </w:r>
    </w:p>
    <w:p>
      <w:pPr>
        <w:spacing w:after="0" w:line="72"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Insurance/Condemnation Proceeds</w:t>
      </w:r>
      <w:r>
        <w:rPr>
          <w:rFonts w:ascii="Arial" w:cs="Arial" w:eastAsia="Arial" w:hAnsi="Arial"/>
          <w:sz w:val="18"/>
          <w:szCs w:val="18"/>
          <w:color w:val="auto"/>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so long as (i) no Event of Default shall have occurred and be continuing, (ii) the Borrower has delivered the Agent prior written notice of the Borrower’s intention to apply the Reinvestment Amounts to the costs of replacement of the properties or assets that are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w:t>
      </w:r>
    </w:p>
    <w:p>
      <w:pPr>
        <w:spacing w:after="0" w:line="72"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Issuance of Debt</w:t>
      </w:r>
      <w:r>
        <w:rPr>
          <w:rFonts w:ascii="Arial" w:cs="Arial" w:eastAsia="Arial" w:hAnsi="Arial"/>
          <w:sz w:val="18"/>
          <w:szCs w:val="18"/>
          <w:color w:val="auto"/>
        </w:rPr>
        <w: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Prepayment Notice and Certificate</w:t>
      </w:r>
      <w:r>
        <w:rPr>
          <w:rFonts w:ascii="Arial" w:cs="Arial" w:eastAsia="Arial" w:hAnsi="Arial"/>
          <w:sz w:val="18"/>
          <w:szCs w:val="18"/>
          <w:color w:val="auto"/>
        </w:rPr>
        <w:t>.</w:t>
      </w:r>
    </w:p>
    <w:p>
      <w:pPr>
        <w:spacing w:after="0" w:line="104" w:lineRule="exact"/>
        <w:rPr>
          <w:sz w:val="20"/>
          <w:szCs w:val="20"/>
          <w:color w:val="auto"/>
        </w:rPr>
      </w:pPr>
    </w:p>
    <w:p>
      <w:pPr>
        <w:ind w:left="1020" w:right="799"/>
        <w:spacing w:after="0" w:line="247" w:lineRule="auto"/>
        <w:rPr>
          <w:sz w:val="20"/>
          <w:szCs w:val="20"/>
          <w:color w:val="auto"/>
        </w:rPr>
      </w:pPr>
      <w:r>
        <w:rPr>
          <w:rFonts w:ascii="Arial" w:cs="Arial" w:eastAsia="Arial" w:hAnsi="Arial"/>
          <w:sz w:val="18"/>
          <w:szCs w:val="18"/>
          <w:color w:val="auto"/>
        </w:rPr>
        <w:t>(i)  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w:t>
      </w:r>
    </w:p>
    <w:p>
      <w:pPr>
        <w:spacing w:after="0" w:line="66" w:lineRule="exact"/>
        <w:rPr>
          <w:sz w:val="20"/>
          <w:szCs w:val="20"/>
          <w:color w:val="auto"/>
        </w:rPr>
      </w:pPr>
    </w:p>
    <w:p>
      <w:pPr>
        <w:ind w:left="1020" w:right="359"/>
        <w:spacing w:after="0"/>
        <w:rPr>
          <w:sz w:val="20"/>
          <w:szCs w:val="20"/>
          <w:color w:val="auto"/>
        </w:rPr>
      </w:pPr>
      <w:r>
        <w:rPr>
          <w:rFonts w:ascii="Arial" w:cs="Arial" w:eastAsia="Arial" w:hAnsi="Arial"/>
          <w:sz w:val="18"/>
          <w:szCs w:val="18"/>
          <w:color w:val="auto"/>
        </w:rPr>
        <w:t>(ii)  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(a)  (i)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to ratably prepay the principal of the Term Loan until paid in full.</w:t>
      </w:r>
    </w:p>
    <w:p>
      <w:pPr>
        <w:spacing w:after="0" w:line="66" w:lineRule="exact"/>
        <w:rPr>
          <w:sz w:val="20"/>
          <w:szCs w:val="20"/>
          <w:color w:val="auto"/>
        </w:rPr>
      </w:pPr>
    </w:p>
    <w:p>
      <w:pPr>
        <w:ind w:left="660" w:right="359"/>
        <w:spacing w:after="0" w:line="237" w:lineRule="auto"/>
        <w:rPr>
          <w:sz w:val="20"/>
          <w:szCs w:val="20"/>
          <w:color w:val="auto"/>
        </w:rPr>
      </w:pPr>
      <w:r>
        <w:rPr>
          <w:rFonts w:ascii="Arial" w:cs="Arial" w:eastAsia="Arial" w:hAnsi="Arial"/>
          <w:sz w:val="18"/>
          <w:szCs w:val="18"/>
          <w:color w:val="auto"/>
        </w:rPr>
        <w:t>(b)  Anything contained herein to the contrary notwithstanding, in the event the Borrower is required to make any mandatory prepayment (a “</w:t>
      </w:r>
      <w:r>
        <w:rPr>
          <w:rFonts w:ascii="Arial" w:cs="Arial" w:eastAsia="Arial" w:hAnsi="Arial"/>
          <w:sz w:val="18"/>
          <w:szCs w:val="18"/>
          <w:b w:val="1"/>
          <w:bCs w:val="1"/>
          <w:color w:val="auto"/>
        </w:rPr>
        <w:t>Waivable Mandatory Prepayment</w:t>
      </w:r>
      <w:r>
        <w:rPr>
          <w:rFonts w:ascii="Arial" w:cs="Arial" w:eastAsia="Arial" w:hAnsi="Arial"/>
          <w:sz w:val="18"/>
          <w:szCs w:val="18"/>
          <w:color w:val="auto"/>
        </w:rPr>
        <w:t>”) of the Term Loans, not less than three Business Days prior to the date (the “</w:t>
      </w:r>
      <w:r>
        <w:rPr>
          <w:rFonts w:ascii="Arial" w:cs="Arial" w:eastAsia="Arial" w:hAnsi="Arial"/>
          <w:sz w:val="18"/>
          <w:szCs w:val="18"/>
          <w:b w:val="1"/>
          <w:bCs w:val="1"/>
          <w:color w:val="auto"/>
        </w:rPr>
        <w:t>Required Prepayment Date</w:t>
      </w:r>
      <w:r>
        <w:rPr>
          <w:rFonts w:ascii="Arial" w:cs="Arial" w:eastAsia="Arial" w:hAnsi="Arial"/>
          <w:sz w:val="18"/>
          <w:szCs w:val="18"/>
          <w:color w:val="auto"/>
        </w:rPr>
        <w:t>”)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to those Lenders that have elected not to exercise such option, to prepay the Term Loans of such Lenders (which prepayment shall be applied in accordance with Section 2.9(a)), and (ii) to the extent of any excess, to the Borrower for working capital and general corporate purposes.</w:t>
      </w:r>
    </w:p>
    <w:p>
      <w:pPr>
        <w:spacing w:after="0" w:line="61" w:lineRule="exact"/>
        <w:rPr>
          <w:sz w:val="20"/>
          <w:szCs w:val="20"/>
          <w:color w:val="auto"/>
        </w:rPr>
      </w:pPr>
    </w:p>
    <w:p>
      <w:pPr>
        <w:ind w:left="660" w:right="459"/>
        <w:spacing w:after="0" w:line="242" w:lineRule="auto"/>
        <w:rPr>
          <w:sz w:val="20"/>
          <w:szCs w:val="20"/>
          <w:color w:val="auto"/>
        </w:rPr>
      </w:pPr>
      <w:r>
        <w:rPr>
          <w:rFonts w:ascii="Arial" w:cs="Arial" w:eastAsia="Arial" w:hAnsi="Arial"/>
          <w:sz w:val="18"/>
          <w:szCs w:val="18"/>
          <w:color w:val="auto"/>
        </w:rPr>
        <w:t>(c)  At any time an Application Event has occurred and is continuing, all payments shall be applied pursuant to Section 9.2. Nothing contained herein shall modify the provisions of the Fee Letter or Section 9.1(c) regarding the requirement that all prepayments be accompanied by accrued interest and fees and premiums (including the Prepayment Premium) on the principal amount being prepaid to the date of such prepayment, or any requirement otherwise contained herein to pay all other amounts as the same become due and payable.</w:t>
      </w:r>
    </w:p>
    <w:p>
      <w:pPr>
        <w:spacing w:after="0" w:line="71" w:lineRule="exact"/>
        <w:rPr>
          <w:sz w:val="20"/>
          <w:szCs w:val="20"/>
          <w:color w:val="auto"/>
        </w:rPr>
      </w:pPr>
    </w:p>
    <w:p>
      <w:pPr>
        <w:ind w:left="300" w:right="619"/>
        <w:spacing w:after="0" w:line="275"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Use of Proceeds of Loans</w:t>
      </w:r>
      <w:r>
        <w:rPr>
          <w:rFonts w:ascii="Arial" w:cs="Arial" w:eastAsia="Arial" w:hAnsi="Arial"/>
          <w:sz w:val="17"/>
          <w:szCs w:val="17"/>
          <w:color w:val="auto"/>
        </w:rPr>
        <w:t>. The proceeds of the Restatement Date Term Loan made on the Restatement Date shall be used by the Borrower for general working capital purposes of the Borrower and to pay fees and expenses related to this Agreement and the Restatement Date Transactions.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51" w:lineRule="auto"/>
        <w:rPr>
          <w:sz w:val="20"/>
          <w:szCs w:val="20"/>
          <w:color w:val="auto"/>
        </w:rPr>
      </w:pPr>
      <w:r>
        <w:rPr>
          <w:rFonts w:ascii="Arial" w:cs="Arial" w:eastAsia="Arial" w:hAnsi="Arial"/>
          <w:sz w:val="17"/>
          <w:szCs w:val="17"/>
          <w:color w:val="auto"/>
        </w:rPr>
        <w:t>(a)  Subject to Section 2.11(b), the Borrower may by written notice to Agent elect to request the establishment of one or more Incremental Term Loan commitments (the “</w:t>
      </w:r>
      <w:r>
        <w:rPr>
          <w:rFonts w:ascii="Arial" w:cs="Arial" w:eastAsia="Arial" w:hAnsi="Arial"/>
          <w:sz w:val="17"/>
          <w:szCs w:val="17"/>
          <w:b w:val="1"/>
          <w:bCs w:val="1"/>
          <w:color w:val="auto"/>
        </w:rPr>
        <w:t>Incremental Term Loan</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Commitments</w:t>
      </w:r>
      <w:r>
        <w:rPr>
          <w:rFonts w:ascii="Arial" w:cs="Arial" w:eastAsia="Arial" w:hAnsi="Arial"/>
          <w:sz w:val="17"/>
          <w:szCs w:val="17"/>
          <w:color w:val="auto"/>
        </w:rPr>
        <w:t>”), in an aggregate amount of up to $10,000,000. Each such notice shall specify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(an “</w:t>
      </w:r>
      <w:r>
        <w:rPr>
          <w:rFonts w:ascii="Arial" w:cs="Arial" w:eastAsia="Arial" w:hAnsi="Arial"/>
          <w:sz w:val="17"/>
          <w:szCs w:val="17"/>
          <w:b w:val="1"/>
          <w:bCs w:val="1"/>
          <w:color w:val="auto"/>
        </w:rPr>
        <w:t>Increased Amount Date</w:t>
      </w:r>
      <w:r>
        <w:rPr>
          <w:rFonts w:ascii="Arial" w:cs="Arial" w:eastAsia="Arial" w:hAnsi="Arial"/>
          <w:sz w:val="17"/>
          <w:szCs w:val="17"/>
          <w:color w:val="auto"/>
        </w:rPr>
        <w:t>”) on which 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Arial" w:cs="Arial" w:eastAsia="Arial" w:hAnsi="Arial"/>
          <w:sz w:val="17"/>
          <w:szCs w:val="17"/>
          <w:b w:val="1"/>
          <w:bCs w:val="1"/>
          <w:color w:val="auto"/>
        </w:rPr>
        <w:t>Notice Date</w:t>
      </w:r>
      <w:r>
        <w:rPr>
          <w:rFonts w:ascii="Arial" w:cs="Arial" w:eastAsia="Arial" w:hAnsi="Arial"/>
          <w:sz w:val="17"/>
          <w:szCs w:val="17"/>
          <w:color w:val="auto"/>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w:t>
      </w:r>
    </w:p>
    <w:p>
      <w:pPr>
        <w:spacing w:after="0" w:line="75" w:lineRule="exact"/>
        <w:rPr>
          <w:sz w:val="20"/>
          <w:szCs w:val="20"/>
          <w:color w:val="auto"/>
        </w:rPr>
      </w:pPr>
    </w:p>
    <w:p>
      <w:pPr>
        <w:ind w:left="660" w:right="919"/>
        <w:spacing w:after="0" w:line="271" w:lineRule="auto"/>
        <w:rPr>
          <w:sz w:val="20"/>
          <w:szCs w:val="20"/>
          <w:color w:val="auto"/>
        </w:rPr>
      </w:pPr>
      <w:r>
        <w:rPr>
          <w:rFonts w:ascii="Arial" w:cs="Arial" w:eastAsia="Arial" w:hAnsi="Arial"/>
          <w:sz w:val="18"/>
          <w:szCs w:val="18"/>
          <w:color w:val="auto"/>
        </w:rPr>
        <w:t>(b)  Such Incremental Term Loan Commitments shall become effective, as of such Increased Amount Date, subject to the satisfaction of each of the following conditions: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[reserved];</w:t>
      </w:r>
    </w:p>
    <w:p>
      <w:pPr>
        <w:spacing w:after="0" w:line="104" w:lineRule="exact"/>
        <w:rPr>
          <w:sz w:val="20"/>
          <w:szCs w:val="20"/>
          <w:color w:val="auto"/>
        </w:rPr>
      </w:pPr>
    </w:p>
    <w:p>
      <w:pPr>
        <w:ind w:left="1020" w:right="299"/>
        <w:spacing w:after="0" w:line="242" w:lineRule="auto"/>
        <w:rPr>
          <w:sz w:val="20"/>
          <w:szCs w:val="20"/>
          <w:color w:val="auto"/>
        </w:rPr>
      </w:pPr>
      <w:r>
        <w:rPr>
          <w:rFonts w:ascii="Arial" w:cs="Arial" w:eastAsia="Arial" w:hAnsi="Arial"/>
          <w:sz w:val="18"/>
          <w:szCs w:val="18"/>
          <w:color w:val="auto"/>
        </w:rPr>
        <w:t>(ii)  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Arial" w:cs="Arial" w:eastAsia="Arial" w:hAnsi="Arial"/>
          <w:sz w:val="18"/>
          <w:szCs w:val="18"/>
          <w:b w:val="1"/>
          <w:bCs w:val="1"/>
          <w:color w:val="auto"/>
        </w:rPr>
        <w:t>Incremental Term Loan</w:t>
      </w:r>
      <w:r>
        <w:rPr>
          <w:rFonts w:ascii="Arial" w:cs="Arial" w:eastAsia="Arial" w:hAnsi="Arial"/>
          <w:sz w:val="18"/>
          <w:szCs w:val="18"/>
          <w:color w:val="auto"/>
        </w:rPr>
        <w:t>”) in an amount equal to its Incremental Term Loan Commitment and to otherwise evidence such Incremental Term Loan, in form and substance reasonably satisfactory to the Agent (each, a “</w:t>
      </w:r>
      <w:r>
        <w:rPr>
          <w:rFonts w:ascii="Arial" w:cs="Arial" w:eastAsia="Arial" w:hAnsi="Arial"/>
          <w:sz w:val="18"/>
          <w:szCs w:val="18"/>
          <w:b w:val="1"/>
          <w:bCs w:val="1"/>
          <w:color w:val="auto"/>
        </w:rPr>
        <w:t>Joinder Agreement</w:t>
      </w:r>
      <w:r>
        <w:rPr>
          <w:rFonts w:ascii="Arial" w:cs="Arial" w:eastAsia="Arial" w:hAnsi="Arial"/>
          <w:sz w:val="18"/>
          <w:szCs w:val="18"/>
          <w:color w:val="auto"/>
        </w:rPr>
        <w:t>”);</w:t>
      </w:r>
    </w:p>
    <w:p>
      <w:pPr>
        <w:spacing w:after="0" w:line="9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no Default or Event of Default shall exist on such Increased Amount Date;</w:t>
      </w:r>
    </w:p>
    <w:p>
      <w:pPr>
        <w:spacing w:after="0" w:line="104" w:lineRule="exact"/>
        <w:rPr>
          <w:sz w:val="20"/>
          <w:szCs w:val="20"/>
          <w:color w:val="auto"/>
        </w:rPr>
      </w:pPr>
    </w:p>
    <w:p>
      <w:pPr>
        <w:ind w:left="1020" w:right="459"/>
        <w:spacing w:after="0"/>
        <w:rPr>
          <w:sz w:val="20"/>
          <w:szCs w:val="20"/>
          <w:color w:val="auto"/>
        </w:rPr>
      </w:pPr>
      <w:r>
        <w:rPr>
          <w:rFonts w:ascii="Arial" w:cs="Arial" w:eastAsia="Arial" w:hAnsi="Arial"/>
          <w:sz w:val="18"/>
          <w:szCs w:val="18"/>
          <w:color w:val="auto"/>
        </w:rPr>
        <w:t>(iv)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spacing w:after="0" w:line="242" w:lineRule="auto"/>
        <w:rPr>
          <w:sz w:val="20"/>
          <w:szCs w:val="20"/>
          <w:color w:val="auto"/>
        </w:rPr>
      </w:pPr>
      <w:r>
        <w:rPr>
          <w:rFonts w:ascii="Arial" w:cs="Arial" w:eastAsia="Arial" w:hAnsi="Arial"/>
          <w:sz w:val="18"/>
          <w:szCs w:val="18"/>
          <w:color w:val="auto"/>
        </w:rPr>
        <w:t>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71" w:lineRule="exact"/>
        <w:rPr>
          <w:sz w:val="20"/>
          <w:szCs w:val="20"/>
          <w:color w:val="auto"/>
        </w:rPr>
      </w:pPr>
    </w:p>
    <w:p>
      <w:pPr>
        <w:ind w:left="1020" w:right="339"/>
        <w:spacing w:after="0" w:line="252" w:lineRule="auto"/>
        <w:rPr>
          <w:sz w:val="20"/>
          <w:szCs w:val="20"/>
          <w:color w:val="auto"/>
        </w:rPr>
      </w:pPr>
      <w:r>
        <w:rPr>
          <w:rFonts w:ascii="Arial" w:cs="Arial" w:eastAsia="Arial" w:hAnsi="Arial"/>
          <w:sz w:val="17"/>
          <w:szCs w:val="17"/>
          <w:color w:val="auto"/>
        </w:rPr>
        <w:t>(v)  the Borrower shall have reached agreement with the lenders making the Incremental Term Loan (the “</w:t>
      </w:r>
      <w:r>
        <w:rPr>
          <w:rFonts w:ascii="Arial" w:cs="Arial" w:eastAsia="Arial" w:hAnsi="Arial"/>
          <w:sz w:val="17"/>
          <w:szCs w:val="17"/>
          <w:b w:val="1"/>
          <w:bCs w:val="1"/>
          <w:color w:val="auto"/>
        </w:rPr>
        <w:t>Incremental Term Loan Lenders</w:t>
      </w:r>
      <w:r>
        <w:rPr>
          <w:rFonts w:ascii="Arial" w:cs="Arial" w:eastAsia="Arial" w:hAnsi="Arial"/>
          <w:sz w:val="17"/>
          <w:szCs w:val="17"/>
          <w:color w:val="auto"/>
        </w:rPr>
        <w:t>”) with respect to the interest margins applicable to such Incremental Term Loan (which interest margins may be higher than, equal to, or 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Arial" w:cs="Arial" w:eastAsia="Arial" w:hAnsi="Arial"/>
          <w:sz w:val="17"/>
          <w:szCs w:val="17"/>
          <w:b w:val="1"/>
          <w:bCs w:val="1"/>
          <w:color w:val="auto"/>
        </w:rPr>
        <w:t>All In Yield</w:t>
      </w:r>
      <w:r>
        <w:rPr>
          <w:rFonts w:ascii="Arial" w:cs="Arial" w:eastAsia="Arial" w:hAnsi="Arial"/>
          <w:sz w:val="17"/>
          <w:szCs w:val="17"/>
          <w:color w:val="auto"/>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Arial" w:cs="Arial" w:eastAsia="Arial" w:hAnsi="Arial"/>
          <w:sz w:val="17"/>
          <w:szCs w:val="17"/>
          <w:u w:val="single" w:color="auto"/>
          <w:color w:val="auto"/>
        </w:rPr>
        <w:t>Excess</w:t>
      </w:r>
      <w:r>
        <w:rPr>
          <w:rFonts w:ascii="Arial" w:cs="Arial" w:eastAsia="Arial" w:hAnsi="Arial"/>
          <w:sz w:val="17"/>
          <w:szCs w:val="17"/>
          <w:color w:val="auto"/>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spacing w:after="0" w:line="64" w:lineRule="exact"/>
        <w:rPr>
          <w:sz w:val="20"/>
          <w:szCs w:val="20"/>
          <w:color w:val="auto"/>
        </w:rPr>
      </w:pPr>
    </w:p>
    <w:p>
      <w:pPr>
        <w:ind w:left="660" w:right="999"/>
        <w:spacing w:after="0" w:line="271" w:lineRule="auto"/>
        <w:rPr>
          <w:sz w:val="20"/>
          <w:szCs w:val="20"/>
          <w:color w:val="auto"/>
        </w:rPr>
      </w:pPr>
      <w:r>
        <w:rPr>
          <w:rFonts w:ascii="Arial" w:cs="Arial" w:eastAsia="Arial" w:hAnsi="Arial"/>
          <w:sz w:val="18"/>
          <w:szCs w:val="18"/>
          <w:color w:val="auto"/>
        </w:rPr>
        <w:t>(c)  The Incremental Term Loan Lender shall make an Incremental Term Loan subject to the satisfaction of each of the following conditions:</w:t>
      </w:r>
    </w:p>
    <w:p>
      <w:pPr>
        <w:spacing w:after="0" w:line="46" w:lineRule="exact"/>
        <w:rPr>
          <w:sz w:val="20"/>
          <w:szCs w:val="20"/>
          <w:color w:val="auto"/>
        </w:rPr>
      </w:pPr>
    </w:p>
    <w:p>
      <w:pPr>
        <w:ind w:left="1020" w:right="639"/>
        <w:spacing w:after="0" w:line="271" w:lineRule="auto"/>
        <w:rPr>
          <w:sz w:val="20"/>
          <w:szCs w:val="20"/>
          <w:color w:val="auto"/>
        </w:rPr>
      </w:pPr>
      <w:r>
        <w:rPr>
          <w:rFonts w:ascii="Arial" w:cs="Arial" w:eastAsia="Arial" w:hAnsi="Arial"/>
          <w:sz w:val="18"/>
          <w:szCs w:val="18"/>
          <w:color w:val="auto"/>
        </w:rPr>
        <w:t>(i)  each of the conditions set forth in Section 4.2 shall have been satisfied on the applicable Credit Date; and</w:t>
      </w:r>
    </w:p>
    <w:p>
      <w:pPr>
        <w:spacing w:after="0" w:line="46" w:lineRule="exact"/>
        <w:rPr>
          <w:sz w:val="20"/>
          <w:szCs w:val="20"/>
          <w:color w:val="auto"/>
        </w:rPr>
      </w:pPr>
    </w:p>
    <w:p>
      <w:pPr>
        <w:ind w:left="1020" w:right="519"/>
        <w:spacing w:after="0" w:line="247" w:lineRule="auto"/>
        <w:rPr>
          <w:sz w:val="20"/>
          <w:szCs w:val="20"/>
          <w:color w:val="auto"/>
        </w:rPr>
      </w:pPr>
      <w:r>
        <w:rPr>
          <w:rFonts w:ascii="Arial" w:cs="Arial" w:eastAsia="Arial" w:hAnsi="Arial"/>
          <w:sz w:val="18"/>
          <w:szCs w:val="18"/>
          <w:color w:val="auto"/>
        </w:rPr>
        <w:t>(ii)  any such Incremental Term Loan shall be in an aggregate amount of at least $5,000,000 and integral multiples of $1,000,000 above such amount (except, in each case, such minimum amount and integral multiples amount shall not apply when the Borrower uses all of the Incremental Term Loan Commitments available at such time).</w:t>
      </w:r>
    </w:p>
    <w:p>
      <w:pPr>
        <w:spacing w:after="0" w:line="66" w:lineRule="exact"/>
        <w:rPr>
          <w:sz w:val="20"/>
          <w:szCs w:val="20"/>
          <w:color w:val="auto"/>
        </w:rPr>
      </w:pPr>
    </w:p>
    <w:p>
      <w:pPr>
        <w:ind w:left="660" w:right="559"/>
        <w:spacing w:after="0" w:line="242" w:lineRule="auto"/>
        <w:rPr>
          <w:sz w:val="20"/>
          <w:szCs w:val="20"/>
          <w:color w:val="auto"/>
        </w:rPr>
      </w:pPr>
      <w:r>
        <w:rPr>
          <w:rFonts w:ascii="Arial" w:cs="Arial" w:eastAsia="Arial" w:hAnsi="Arial"/>
          <w:sz w:val="18"/>
          <w:szCs w:val="18"/>
          <w:color w:val="auto"/>
        </w:rPr>
        <w:t>(d)  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spacing w:after="0" w:line="71" w:lineRule="exact"/>
        <w:rPr>
          <w:sz w:val="20"/>
          <w:szCs w:val="20"/>
          <w:color w:val="auto"/>
        </w:rPr>
      </w:pPr>
    </w:p>
    <w:p>
      <w:pPr>
        <w:ind w:left="660" w:right="399"/>
        <w:spacing w:after="0" w:line="239" w:lineRule="auto"/>
        <w:rPr>
          <w:sz w:val="20"/>
          <w:szCs w:val="20"/>
          <w:color w:val="auto"/>
        </w:rPr>
      </w:pPr>
      <w:r>
        <w:rPr>
          <w:rFonts w:ascii="Arial" w:cs="Arial" w:eastAsia="Arial" w:hAnsi="Arial"/>
          <w:sz w:val="18"/>
          <w:szCs w:val="18"/>
          <w:color w:val="auto"/>
        </w:rPr>
        <w:t xml:space="preserve">(e)  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 shall not be secured by a Lien on any assets of the Borrower or any Guarantor not constituting Collateral and shall not be guaranteed by any person other than the Guarantors.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SOFR Option</w:t>
      </w:r>
      <w:r>
        <w:rPr>
          <w:rFonts w:ascii="Arial" w:cs="Arial" w:eastAsia="Arial" w:hAnsi="Arial"/>
          <w:sz w:val="18"/>
          <w:szCs w:val="18"/>
          <w:color w:val="auto"/>
        </w:rPr>
        <w:t>.</w:t>
      </w:r>
    </w:p>
    <w:p>
      <w:pPr>
        <w:spacing w:after="0" w:line="104" w:lineRule="exact"/>
        <w:rPr>
          <w:sz w:val="20"/>
          <w:szCs w:val="20"/>
          <w:color w:val="auto"/>
        </w:rPr>
      </w:pPr>
    </w:p>
    <w:p>
      <w:pPr>
        <w:jc w:val="both"/>
        <w:ind w:left="660" w:right="379"/>
        <w:spacing w:after="0" w:line="253" w:lineRule="auto"/>
        <w:rPr>
          <w:sz w:val="20"/>
          <w:szCs w:val="20"/>
          <w:color w:val="auto"/>
        </w:rPr>
      </w:pPr>
      <w:r>
        <w:rPr>
          <w:rFonts w:ascii="Arial" w:cs="Arial" w:eastAsia="Arial" w:hAnsi="Arial"/>
          <w:sz w:val="18"/>
          <w:szCs w:val="18"/>
          <w:color w:val="auto"/>
        </w:rPr>
        <w:t>(a)  The Borrower may, at any time and from time to time, so long as no Default or Event of Default has occurred and is continuing, elect to have interest on all or a portion of the Loans be charged at a rate of interest based upon Adjusted Term SOFR (the “</w:t>
      </w:r>
      <w:r>
        <w:rPr>
          <w:rFonts w:ascii="Arial" w:cs="Arial" w:eastAsia="Arial" w:hAnsi="Arial"/>
          <w:sz w:val="18"/>
          <w:szCs w:val="18"/>
          <w:u w:val="single" w:color="auto"/>
          <w:color w:val="auto"/>
        </w:rPr>
        <w:t>SOFR Option</w:t>
      </w:r>
      <w:r>
        <w:rPr>
          <w:rFonts w:ascii="Arial" w:cs="Arial" w:eastAsia="Arial" w:hAnsi="Arial"/>
          <w:sz w:val="18"/>
          <w:szCs w:val="18"/>
          <w:color w:val="auto"/>
        </w:rPr>
        <w:t>”) by notifying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the Agent prior to 11:00 a.m. (New York City time) at least three Business Days prior to (i) the proposed borrowing date of a Loan (as provided in Section 2.3), (ii) in the case of the conversion of a Reference Rate Loan to a SOFR Loan, the commencement of the proposed Interest Period or (iii) in the case of the continuation of a SOFR Loan as a SOFR Loan, the last day of the then current Interest Period (the “</w:t>
      </w:r>
      <w:r>
        <w:rPr>
          <w:rFonts w:ascii="Arial" w:cs="Arial" w:eastAsia="Arial" w:hAnsi="Arial"/>
          <w:sz w:val="18"/>
          <w:szCs w:val="18"/>
          <w:u w:val="single" w:color="auto"/>
          <w:color w:val="auto"/>
        </w:rPr>
        <w:t>SOFR Deadline</w:t>
      </w:r>
      <w:r>
        <w:rPr>
          <w:rFonts w:ascii="Arial" w:cs="Arial" w:eastAsia="Arial" w:hAnsi="Arial"/>
          <w:sz w:val="18"/>
          <w:szCs w:val="18"/>
          <w:color w:val="auto"/>
        </w:rPr>
        <w:t>”). Notice of the Borrower’s election of the SOFR Option for a permitted portion of the Loans and an Interest Period pursuant to this Section 2.12(a) shall be made by delivery to the Agent of (A) a Request for Loan (in the case of the initial making of a Loan) in accordance with Section 2.3 or (B) a SOFR Notice prior to the SOFR Deadline. Promptly upon its receipt of each such SOFR Notice, the Agent shall provide a copy thereof to each of the Lenders. Each SOFR Notice shall be irrevocable and binding on the Borrower. For the avoidance of doubt, the first Interest Period for the Term Loans shall commence on the Restatement Date and end on the last Business Day of the Fiscal Quarter in which the Restatement Date occurs.</w:t>
      </w:r>
    </w:p>
    <w:p>
      <w:pPr>
        <w:spacing w:after="0" w:line="75"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(b)  Interest on SOFR Loans shall be payable in accordance with Section 2.6(a). On the last day of each applicable Interest Period, unless the Borrower properly have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Borrower no longer shall have the option to request that any portion of the Loans bear interest at Adjusted Term SOFR and the Agent shall have the right to convert the interest rate on all outstanding SOFR Loans to the rate of interest then applicable to Reference Rate Loans of the same type hereunder on the last day of the then current Interest Period.</w:t>
      </w:r>
    </w:p>
    <w:p>
      <w:pPr>
        <w:spacing w:after="0" w:line="75" w:lineRule="exact"/>
        <w:rPr>
          <w:sz w:val="20"/>
          <w:szCs w:val="20"/>
          <w:color w:val="auto"/>
        </w:rPr>
      </w:pPr>
    </w:p>
    <w:p>
      <w:pPr>
        <w:ind w:left="660" w:right="599"/>
        <w:spacing w:after="0" w:line="247" w:lineRule="auto"/>
        <w:rPr>
          <w:sz w:val="20"/>
          <w:szCs w:val="20"/>
          <w:color w:val="auto"/>
        </w:rPr>
      </w:pPr>
      <w:r>
        <w:rPr>
          <w:rFonts w:ascii="Arial" w:cs="Arial" w:eastAsia="Arial" w:hAnsi="Arial"/>
          <w:sz w:val="18"/>
          <w:szCs w:val="18"/>
          <w:color w:val="auto"/>
        </w:rPr>
        <w:t>(c)  Notwithstanding anything to the contrary contained in this Agreement, the Borrower (i) shall have not more than five (5) SOFR Loans in effect at any given time, and (ii) only may exercise the SOFR Option for SOFR Loans of at least $500,000 and integral multiples of $100,000 in excess thereof.</w:t>
      </w:r>
    </w:p>
    <w:p>
      <w:pPr>
        <w:spacing w:after="0" w:line="66"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(d)  The Borrower may prepay SOFR Loans at any time; provided, however, that in the event that SOFR Loans are prepaid on any date that is not the last day of the Interest Period applicable thereto, including as a result of any mandatory prepayment pursuant to Section 2.8 or any application of payments or proceeds of Collateral in accordance with Section 9.2 or for any other reason, including early termination of the term of this Agreement or acceleration of all or any portion of the Indebtedness pursuant to the terms hereof, the Borrower shall indemnify, defend and hold the Agent and the Lenders and their participants harmless against any and all Funding Losses (as defined below) in accordance with Section 2.13.</w:t>
      </w:r>
    </w:p>
    <w:p>
      <w:pPr>
        <w:spacing w:after="0" w:line="72"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(e)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 Anything to the contrary contained herein notwithstanding, neither Agent, nor any Lender, nor any of their participants, is required actually to match fund any Obligation as to which interest accrues at Adjusted Term SOFR or the Term SOFR Reference Rate.</w:t>
      </w:r>
    </w:p>
    <w:p>
      <w:pPr>
        <w:spacing w:after="0" w:line="75"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(f)  Subject to clause (g) below, if on or prior to the first day of any Interest Period for any SOFR Loan,</w:t>
      </w:r>
    </w:p>
    <w:p>
      <w:pPr>
        <w:spacing w:after="0" w:line="46" w:lineRule="exact"/>
        <w:rPr>
          <w:sz w:val="20"/>
          <w:szCs w:val="20"/>
          <w:color w:val="auto"/>
        </w:rPr>
      </w:pPr>
    </w:p>
    <w:p>
      <w:pPr>
        <w:ind w:left="1020" w:right="379"/>
        <w:spacing w:after="0" w:line="271" w:lineRule="auto"/>
        <w:rPr>
          <w:sz w:val="20"/>
          <w:szCs w:val="20"/>
          <w:color w:val="auto"/>
        </w:rPr>
      </w:pPr>
      <w:r>
        <w:rPr>
          <w:rFonts w:ascii="Arial" w:cs="Arial" w:eastAsia="Arial" w:hAnsi="Arial"/>
          <w:sz w:val="18"/>
          <w:szCs w:val="18"/>
          <w:color w:val="auto"/>
        </w:rPr>
        <w:t>(i)  the Agent determines (which determination shall be conclusive and binding absent manifest error) that “Adjusted Term SOFR” cannot be determined pursuant to the definition thereof, or</w:t>
      </w:r>
    </w:p>
    <w:p>
      <w:pPr>
        <w:spacing w:after="0" w:line="46" w:lineRule="exact"/>
        <w:rPr>
          <w:sz w:val="20"/>
          <w:szCs w:val="20"/>
          <w:color w:val="auto"/>
        </w:rPr>
      </w:pPr>
    </w:p>
    <w:p>
      <w:pPr>
        <w:ind w:left="1020" w:right="479"/>
        <w:spacing w:after="0" w:line="253" w:lineRule="auto"/>
        <w:rPr>
          <w:sz w:val="20"/>
          <w:szCs w:val="20"/>
          <w:color w:val="auto"/>
        </w:rPr>
      </w:pPr>
      <w:r>
        <w:rPr>
          <w:rFonts w:ascii="Arial" w:cs="Arial" w:eastAsia="Arial" w:hAnsi="Arial"/>
          <w:sz w:val="18"/>
          <w:szCs w:val="18"/>
          <w:color w:val="auto"/>
        </w:rPr>
        <w:t>(ii)  the Majority Lenders determine that for any reason in connection with any request for a SOFR Loan or a conversion thereto or a continuation thereof that Adjusted Term SOFR for any requested Interest Period with respect to a proposed SOFR Loan does not adequately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spacing w:after="0" w:line="253" w:lineRule="auto"/>
        <w:rPr>
          <w:sz w:val="20"/>
          <w:szCs w:val="20"/>
          <w:color w:val="auto"/>
        </w:rPr>
      </w:pPr>
      <w:r>
        <w:rPr>
          <w:rFonts w:ascii="Arial" w:cs="Arial" w:eastAsia="Arial" w:hAnsi="Arial"/>
          <w:sz w:val="18"/>
          <w:szCs w:val="18"/>
          <w:color w:val="auto"/>
        </w:rPr>
        <w:t>and fairly reflect the cost to such Lenders of making and maintaining such Loan, and the Majority Lenders have provided notice of such determination to the Agent, then the Agent shall give written notice to the Borrower and to the Lenders as soon as practicable thereafter.</w:t>
      </w:r>
    </w:p>
    <w:p>
      <w:pPr>
        <w:spacing w:after="0" w:line="61" w:lineRule="exact"/>
        <w:rPr>
          <w:sz w:val="20"/>
          <w:szCs w:val="20"/>
          <w:color w:val="auto"/>
        </w:rPr>
      </w:pPr>
    </w:p>
    <w:p>
      <w:pPr>
        <w:ind w:left="300" w:right="439"/>
        <w:spacing w:after="0" w:line="237" w:lineRule="auto"/>
        <w:rPr>
          <w:sz w:val="20"/>
          <w:szCs w:val="20"/>
          <w:color w:val="auto"/>
        </w:rPr>
      </w:pPr>
      <w:r>
        <w:rPr>
          <w:rFonts w:ascii="Arial" w:cs="Arial" w:eastAsia="Arial" w:hAnsi="Arial"/>
          <w:sz w:val="18"/>
          <w:szCs w:val="18"/>
          <w:color w:val="auto"/>
        </w:rPr>
        <w:t>Upon notice thereof by the Agent to the Borrower, any obligation of the Lenders to make SOFR Loans, and any right of the Borrower to continue SOFR Loans or to convert Reference Rate Loans to SOFR Loans, shall be suspended (to the extent of the affected SOFR Loans or affected Interest Periods) until the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Reference Rate Loans in the amount specified therein and (ii) any outstanding affected SOFR Loans will be deemed to have been converted into Reference Rate Loans at the end of the applicable Interest Period. Upon any such conversion, the Borrower shall also pay accrued interest on the amount so converted, together with any additional amounts required pursuant to Section 2.13. Subject to Section 2.12(g), if the Agent determines (which determination shall be conclusive and binding absent manifest error) that “Adjusted Term SOFR” cannot be determined pursuant to the definition thereof on any given day, the interest rate on Reference Rate Loans shall be determined by the Agent without reference to clause (c) of the definition of “Reference Rate” until the Agent revokes such determination.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w:t>
      </w:r>
    </w:p>
    <w:p>
      <w:pPr>
        <w:spacing w:after="0" w:line="104" w:lineRule="exact"/>
        <w:rPr>
          <w:sz w:val="20"/>
          <w:szCs w:val="20"/>
          <w:color w:val="auto"/>
        </w:rPr>
      </w:pPr>
    </w:p>
    <w:p>
      <w:pPr>
        <w:ind w:left="1020" w:right="459"/>
        <w:spacing w:after="0" w:line="254" w:lineRule="auto"/>
        <w:rPr>
          <w:sz w:val="20"/>
          <w:szCs w:val="20"/>
          <w:color w:val="auto"/>
        </w:rPr>
      </w:pPr>
      <w:r>
        <w:rPr>
          <w:rFonts w:ascii="Arial" w:cs="Arial" w:eastAsia="Arial" w:hAnsi="Arial"/>
          <w:sz w:val="17"/>
          <w:szCs w:val="17"/>
          <w:color w:val="auto"/>
        </w:rPr>
        <w:t>(i)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Majority Lenders. No replacement of a Benchmark with a Benchmark Replacement pursuant to this Section 2.12(g)(i) will occur prior to the applicable Benchmark Transition Start Date. No swap agreement shall be deemed to be a “Loan Document” for purposes of this Section 2.12(g).</w:t>
      </w:r>
    </w:p>
    <w:p>
      <w:pPr>
        <w:spacing w:after="0" w:line="64" w:lineRule="exact"/>
        <w:rPr>
          <w:sz w:val="20"/>
          <w:szCs w:val="20"/>
          <w:color w:val="auto"/>
        </w:rPr>
      </w:pPr>
    </w:p>
    <w:p>
      <w:pPr>
        <w:ind w:left="1020" w:right="399"/>
        <w:spacing w:after="0" w:line="244" w:lineRule="auto"/>
        <w:rPr>
          <w:sz w:val="20"/>
          <w:szCs w:val="20"/>
          <w:color w:val="auto"/>
        </w:rPr>
      </w:pPr>
      <w:r>
        <w:rPr>
          <w:rFonts w:ascii="Arial" w:cs="Arial" w:eastAsia="Arial" w:hAnsi="Arial"/>
          <w:sz w:val="18"/>
          <w:szCs w:val="18"/>
          <w:color w:val="auto"/>
        </w:rPr>
        <w:t>(ii)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68" w:lineRule="exact"/>
        <w:rPr>
          <w:sz w:val="20"/>
          <w:szCs w:val="20"/>
          <w:color w:val="auto"/>
        </w:rPr>
      </w:pPr>
    </w:p>
    <w:p>
      <w:pPr>
        <w:ind w:left="1020" w:right="339"/>
        <w:spacing w:after="0" w:line="253" w:lineRule="auto"/>
        <w:rPr>
          <w:sz w:val="20"/>
          <w:szCs w:val="20"/>
          <w:color w:val="auto"/>
        </w:rPr>
      </w:pPr>
      <w:r>
        <w:rPr>
          <w:rFonts w:ascii="Arial" w:cs="Arial" w:eastAsia="Arial" w:hAnsi="Arial"/>
          <w:sz w:val="17"/>
          <w:szCs w:val="17"/>
          <w:color w:val="auto"/>
        </w:rPr>
        <w:t>(iii)  The Agent will promptly notify the Borrower and the Lenders of (A) the implementation of any Benchmark Replacement and (B) the effectiveness of any Conforming Changes in connection with the use, administration, adoption or implementation of a Benchmark Replacement. The Agent will notify the Borrower of (1) the removal or reinstatement of any tenor of a Benchmark pursuant to Section 2.12(g)(iv) and (2) the commencement of any Benchmark Unavailability Period. Any determination, decision or election that may be made by the Agent or, if applicable, any Lender (or group of Lenders) pursuant to this Section 2.12(g),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2.12(g).</w:t>
      </w:r>
    </w:p>
    <w:p>
      <w:pPr>
        <w:spacing w:after="0" w:line="65" w:lineRule="exact"/>
        <w:rPr>
          <w:sz w:val="20"/>
          <w:szCs w:val="20"/>
          <w:color w:val="auto"/>
        </w:rPr>
      </w:pPr>
    </w:p>
    <w:p>
      <w:pPr>
        <w:ind w:left="1020" w:right="319"/>
        <w:spacing w:after="0" w:line="253" w:lineRule="auto"/>
        <w:rPr>
          <w:sz w:val="20"/>
          <w:szCs w:val="20"/>
          <w:color w:val="auto"/>
        </w:rPr>
      </w:pPr>
      <w:r>
        <w:rPr>
          <w:rFonts w:ascii="Arial" w:cs="Arial" w:eastAsia="Arial" w:hAnsi="Arial"/>
          <w:sz w:val="18"/>
          <w:szCs w:val="18"/>
          <w:color w:val="auto"/>
        </w:rPr>
        <w:t>(iv)  Notwithstanding anything to the contrary herein or in any other Loan Document, at any time (including in connection with the implementation of a Benchmark Replacement), (A) if the then-current Benchmark is a term rate (including the Term SOFR Reference Rate)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299"/>
        <w:spacing w:after="0" w:line="259" w:lineRule="auto"/>
        <w:rPr>
          <w:sz w:val="20"/>
          <w:szCs w:val="20"/>
          <w:color w:val="auto"/>
        </w:rPr>
      </w:pPr>
      <w:r>
        <w:rPr>
          <w:rFonts w:ascii="Arial" w:cs="Arial" w:eastAsia="Arial" w:hAnsi="Arial"/>
          <w:sz w:val="17"/>
          <w:szCs w:val="17"/>
          <w:color w:val="auto"/>
        </w:rPr>
        <w:t>either (1) any tenor for such Benchmark is not displayed on a screen or other information service that publishes such rate from time to time as selected by the Agent in its reasonable discretion or</w:t>
      </w:r>
    </w:p>
    <w:p>
      <w:pPr>
        <w:ind w:left="1280" w:hanging="268"/>
        <w:spacing w:after="0" w:line="236"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regulatory supervisor for the administrator of such Benchmark has provided a public</w:t>
      </w:r>
    </w:p>
    <w:p>
      <w:pPr>
        <w:ind w:left="1020" w:right="419"/>
        <w:spacing w:after="0" w:line="248" w:lineRule="auto"/>
        <w:rPr>
          <w:rFonts w:ascii="Arial" w:cs="Arial" w:eastAsia="Arial" w:hAnsi="Arial"/>
          <w:sz w:val="18"/>
          <w:szCs w:val="18"/>
          <w:color w:val="auto"/>
        </w:rPr>
      </w:pPr>
      <w:r>
        <w:rPr>
          <w:rFonts w:ascii="Arial" w:cs="Arial" w:eastAsia="Arial" w:hAnsi="Arial"/>
          <w:sz w:val="17"/>
          <w:szCs w:val="17"/>
          <w:color w:val="auto"/>
        </w:rPr>
        <w:t>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w:t>
      </w:r>
    </w:p>
    <w:p>
      <w:pPr>
        <w:spacing w:after="0" w:line="2" w:lineRule="exact"/>
        <w:rPr>
          <w:rFonts w:ascii="Arial" w:cs="Arial" w:eastAsia="Arial" w:hAnsi="Arial"/>
          <w:sz w:val="18"/>
          <w:szCs w:val="18"/>
          <w:color w:val="auto"/>
        </w:rPr>
      </w:pPr>
    </w:p>
    <w:p>
      <w:pPr>
        <w:ind w:left="1020" w:right="439"/>
        <w:spacing w:after="0" w:line="238" w:lineRule="auto"/>
        <w:rPr>
          <w:rFonts w:ascii="Arial" w:cs="Arial" w:eastAsia="Arial" w:hAnsi="Arial"/>
          <w:sz w:val="18"/>
          <w:szCs w:val="18"/>
          <w:color w:val="auto"/>
        </w:rPr>
      </w:pPr>
      <w:r>
        <w:rPr>
          <w:rFonts w:ascii="Arial" w:cs="Arial" w:eastAsia="Arial" w:hAnsi="Arial"/>
          <w:sz w:val="18"/>
          <w:szCs w:val="18"/>
          <w:color w:val="auto"/>
        </w:rPr>
        <w:t>(A)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73" w:lineRule="exact"/>
        <w:rPr>
          <w:sz w:val="20"/>
          <w:szCs w:val="20"/>
          <w:color w:val="auto"/>
        </w:rPr>
      </w:pPr>
    </w:p>
    <w:p>
      <w:pPr>
        <w:ind w:left="1020" w:right="399"/>
        <w:spacing w:after="0" w:line="239" w:lineRule="auto"/>
        <w:rPr>
          <w:sz w:val="20"/>
          <w:szCs w:val="20"/>
          <w:color w:val="auto"/>
        </w:rPr>
      </w:pPr>
      <w:r>
        <w:rPr>
          <w:rFonts w:ascii="Arial" w:cs="Arial" w:eastAsia="Arial" w:hAnsi="Arial"/>
          <w:sz w:val="18"/>
          <w:szCs w:val="18"/>
          <w:color w:val="auto"/>
        </w:rPr>
        <w:t>(v)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Reference Rate Loans. During a Benchmark Unavailability Period or at any time that a tenor for the then-current Benchmark is not an Available Tenor, the component of Reference Rate based upon the then-current Benchmark or such tenor for such Benchmark, as applicable, will not be used in any determination of Reference Rate.</w:t>
      </w:r>
    </w:p>
    <w:p>
      <w:pPr>
        <w:spacing w:after="0" w:line="75" w:lineRule="exact"/>
        <w:rPr>
          <w:sz w:val="20"/>
          <w:szCs w:val="20"/>
          <w:color w:val="auto"/>
        </w:rPr>
      </w:pPr>
    </w:p>
    <w:p>
      <w:pPr>
        <w:ind w:left="300" w:right="359"/>
        <w:spacing w:after="0" w:line="25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Funding Losses</w:t>
      </w:r>
      <w:r>
        <w:rPr>
          <w:rFonts w:ascii="Arial" w:cs="Arial" w:eastAsia="Arial" w:hAnsi="Arial"/>
          <w:sz w:val="17"/>
          <w:szCs w:val="17"/>
          <w:color w:val="auto"/>
        </w:rPr>
        <w:t>. In the event of (a) the payment of any principal of any SOFR Loan other than on the last day of the Interest Period applicable thereto (including as a result of a Default or an Event of Default or any mandatory prepayment required pursuant to Section 2.8), (b) the conversion of any SOFR Loan other than on the last day of the Interest Period applicable thereto (including as a result of a Default or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or the Agent pursuant to Section 12.11, then, in any such event, the Borrower shall compensate each Lender for any loss, cost and expense (“</w:t>
      </w:r>
      <w:r>
        <w:rPr>
          <w:rFonts w:ascii="Arial" w:cs="Arial" w:eastAsia="Arial" w:hAnsi="Arial"/>
          <w:sz w:val="17"/>
          <w:szCs w:val="17"/>
          <w:u w:val="single" w:color="auto"/>
          <w:color w:val="auto"/>
        </w:rPr>
        <w:t>Funding Losses</w:t>
      </w:r>
      <w:r>
        <w:rPr>
          <w:rFonts w:ascii="Arial" w:cs="Arial" w:eastAsia="Arial" w:hAnsi="Arial"/>
          <w:sz w:val="17"/>
          <w:szCs w:val="17"/>
          <w:color w:val="auto"/>
        </w:rPr>
        <w:t>”) attributable to such event, including any loss, cost or expense arising from the liquidation or redeployment of funds or from any fees payable. A certificate of any Lender setting forth any amount or amounts that such Lender is entitled to receive pursuant to this Section 2.13 shall be delivered to the Borrower and shall be conclusive absent manifest error. The Borrower shall pay such Lender the amount shown as due on any such certificate upon demand after receipt thereof.</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Impracticability or Illegality</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[Reserved].</w:t>
      </w:r>
    </w:p>
    <w:p>
      <w:pPr>
        <w:spacing w:after="0" w:line="104"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(b)  If any Lender determines that any Requirement of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Agent) (an “</w:t>
      </w:r>
      <w:r>
        <w:rPr>
          <w:rFonts w:ascii="Arial" w:cs="Arial" w:eastAsia="Arial" w:hAnsi="Arial"/>
          <w:sz w:val="18"/>
          <w:szCs w:val="18"/>
          <w:u w:val="single" w:color="auto"/>
          <w:color w:val="auto"/>
        </w:rPr>
        <w:t>Illegality Notice</w:t>
      </w:r>
      <w:r>
        <w:rPr>
          <w:rFonts w:ascii="Arial" w:cs="Arial" w:eastAsia="Arial" w:hAnsi="Arial"/>
          <w:sz w:val="18"/>
          <w:szCs w:val="18"/>
          <w:color w:val="auto"/>
        </w:rPr>
        <w:t>”), (i) any obligation of the Lenders to make SOFR Loans, and any right of the Borrower to continue SOFR Loans or to convert Reference Rate Loans to SOFR Loans, shall be suspended, and (ii) the interest rate on which Reference Rate Loans shall, if necessary to avoid such illegality, be determined by the Agent without reference to clause (c) of the definition of “Reference Rate”, in each case until each affected Lender notifies the Agent and the Borrower that the circumstances giving rise to such determination no longer exist. Upon receipt of an Illegality Notice, the Borrower shall, if necessary to avoid such illegality, upon demand from any Lender (with a copy to the Agent), prepay or, if applicable, convert all SOFR Loans to Reference Rate Loans (the interest rate on which Reference Rate Loans shall, if necessary to avoid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illegality, be determined by the Agent without reference to clause (c) of the definition of “Reference Rate”), on the last day of the Interest Period therefor, if all affected Lenders may lawfully continue to maintain such SOFR Loans to such day, or immediately, if any Lender may not lawfully continue to maintain such SOFR Loans to such day, in each case until the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2.13.</w:t>
      </w:r>
    </w:p>
    <w:p>
      <w:pPr>
        <w:spacing w:after="0" w:line="72"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(c)  The obligations of the Credit Parties under this Section 2.14 shall survive the termination of this Agreement and the payment of the Loans and all other amounts payable hereunder.</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3.   [INTENTIONALLY OMITTED].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CONDITIONS.</w:t>
      </w:r>
    </w:p>
    <w:p>
      <w:pPr>
        <w:spacing w:after="0" w:line="104"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The effectiveness of this Agreement and the obligations of the Lenders to make the Restatement Date Term Loan pursuant to this Agreement on the Restatement Date are subject to the following conditions:</w:t>
      </w:r>
    </w:p>
    <w:p>
      <w:pPr>
        <w:spacing w:after="0" w:line="61"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Notes, this Agreement and the other Loan Documents</w:t>
      </w:r>
      <w:r>
        <w:rPr>
          <w:rFonts w:ascii="Arial" w:cs="Arial" w:eastAsia="Arial" w:hAnsi="Arial"/>
          <w:sz w:val="18"/>
          <w:szCs w:val="18"/>
          <w:color w:val="auto"/>
        </w:rPr>
        <w:t>. The Borrower shall have executed and delivered to the Agent for the account of each Lender requesting Notes, the Notes; the Borrower, the Agent, and each Lender shall have executed and delivered this Agreement; and the Borrower and each Guarantor shall have executed and delivered the other Loan Documents to which the Borrower or such Guarantor is required to be a party (including all schedules and other documents to be delivered pursuant hereto); and such Notes (if any), this Agreement and the other Loan Documents shall be in full force and effect in accordance with the terms of the Disbursement Letter.</w:t>
      </w:r>
    </w:p>
    <w:p>
      <w:pPr>
        <w:spacing w:after="0" w:line="77" w:lineRule="exact"/>
        <w:rPr>
          <w:sz w:val="20"/>
          <w:szCs w:val="20"/>
          <w:color w:val="auto"/>
        </w:rPr>
      </w:pPr>
    </w:p>
    <w:p>
      <w:pPr>
        <w:ind w:left="660" w:right="49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The Agent shall have received, from the Borrower and each Guarantor, a certificate of its Secretary, Assistant Secretary or Chief Operating Officer, dated as of the Restatement Date, as to:</w:t>
      </w:r>
    </w:p>
    <w:p>
      <w:pPr>
        <w:spacing w:after="0" w:line="61" w:lineRule="exact"/>
        <w:rPr>
          <w:sz w:val="20"/>
          <w:szCs w:val="20"/>
          <w:color w:val="auto"/>
        </w:rPr>
      </w:pPr>
    </w:p>
    <w:p>
      <w:pPr>
        <w:ind w:left="1020" w:right="319"/>
        <w:spacing w:after="0" w:line="242" w:lineRule="auto"/>
        <w:rPr>
          <w:sz w:val="20"/>
          <w:szCs w:val="20"/>
          <w:color w:val="auto"/>
        </w:rPr>
      </w:pPr>
      <w:r>
        <w:rPr>
          <w:rFonts w:ascii="Arial" w:cs="Arial" w:eastAsia="Arial" w:hAnsi="Arial"/>
          <w:sz w:val="18"/>
          <w:szCs w:val="18"/>
          <w:color w:val="auto"/>
        </w:rPr>
        <w:t>(i)  corporate resolutions (or the equivalent) of the Borrower and each Guarantor authorizing the transactions contemplated by this Agreement and the other Loan Documents, approving this Agreement and the other Loan Documents, in each case to which the Borrower and each such Guarantor is party, and authorizing the execution and delivery of this Agreement and the other Loan Documents, and in the case of the Borrower, authorizing the execution and delivery of requests for Loans hereunder,</w:t>
      </w:r>
    </w:p>
    <w:p>
      <w:pPr>
        <w:spacing w:after="0" w:line="71" w:lineRule="exact"/>
        <w:rPr>
          <w:sz w:val="20"/>
          <w:szCs w:val="20"/>
          <w:color w:val="auto"/>
        </w:rPr>
      </w:pPr>
    </w:p>
    <w:p>
      <w:pPr>
        <w:ind w:left="1020" w:right="399"/>
        <w:spacing w:after="0" w:line="253" w:lineRule="auto"/>
        <w:rPr>
          <w:sz w:val="20"/>
          <w:szCs w:val="20"/>
          <w:color w:val="auto"/>
        </w:rPr>
      </w:pPr>
      <w:r>
        <w:rPr>
          <w:rFonts w:ascii="Arial" w:cs="Arial" w:eastAsia="Arial" w:hAnsi="Arial"/>
          <w:sz w:val="18"/>
          <w:szCs w:val="18"/>
          <w:color w:val="auto"/>
        </w:rPr>
        <w:t>(ii)  the incumbency and signature of the officers or other authorized persons of the Borrower and each Guarantor executing any Loan Document and in the case of the Borrower, the officers who are authorized to execute any Requests for Loan,</w:t>
      </w:r>
    </w:p>
    <w:p>
      <w:pPr>
        <w:spacing w:after="0" w:line="61" w:lineRule="exact"/>
        <w:rPr>
          <w:sz w:val="20"/>
          <w:szCs w:val="20"/>
          <w:color w:val="auto"/>
        </w:rPr>
      </w:pPr>
    </w:p>
    <w:p>
      <w:pPr>
        <w:ind w:left="1020" w:right="439"/>
        <w:spacing w:after="0" w:line="244" w:lineRule="auto"/>
        <w:rPr>
          <w:sz w:val="20"/>
          <w:szCs w:val="20"/>
          <w:color w:val="auto"/>
        </w:rPr>
      </w:pPr>
      <w:r>
        <w:rPr>
          <w:rFonts w:ascii="Arial" w:cs="Arial" w:eastAsia="Arial" w:hAnsi="Arial"/>
          <w:sz w:val="18"/>
          <w:szCs w:val="18"/>
          <w:color w:val="auto"/>
        </w:rPr>
        <w:t>(iii)  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spacing w:after="0" w:line="68" w:lineRule="exact"/>
        <w:rPr>
          <w:sz w:val="20"/>
          <w:szCs w:val="20"/>
          <w:color w:val="auto"/>
        </w:rPr>
      </w:pPr>
    </w:p>
    <w:p>
      <w:pPr>
        <w:ind w:left="1020" w:right="359"/>
        <w:spacing w:after="0" w:line="271" w:lineRule="auto"/>
        <w:rPr>
          <w:sz w:val="20"/>
          <w:szCs w:val="20"/>
          <w:color w:val="auto"/>
        </w:rPr>
      </w:pPr>
      <w:r>
        <w:rPr>
          <w:rFonts w:ascii="Arial" w:cs="Arial" w:eastAsia="Arial" w:hAnsi="Arial"/>
          <w:sz w:val="18"/>
          <w:szCs w:val="18"/>
          <w:color w:val="auto"/>
        </w:rPr>
        <w:t>(iv)  copies of such articles of incorporation and bylaws or other constitutional documents of the Borrower and each Guarantor, as in effect on the Restatement Date.</w:t>
      </w:r>
    </w:p>
    <w:p>
      <w:pPr>
        <w:spacing w:after="0" w:line="46"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Collateral Documents, Guaranties and other Loan Documents.</w:t>
      </w:r>
      <w:r>
        <w:rPr>
          <w:rFonts w:ascii="Arial" w:cs="Arial" w:eastAsia="Arial" w:hAnsi="Arial"/>
          <w:sz w:val="18"/>
          <w:szCs w:val="18"/>
          <w:color w:val="auto"/>
        </w:rPr>
        <w:t xml:space="preserve"> The Agent shall have received the following documents, each in form and substance satisfactory to the Agent and fully executed by each party thereto:</w:t>
      </w:r>
    </w:p>
    <w:p>
      <w:pPr>
        <w:spacing w:after="0" w:line="61" w:lineRule="exact"/>
        <w:rPr>
          <w:sz w:val="20"/>
          <w:szCs w:val="20"/>
          <w:color w:val="auto"/>
        </w:rPr>
      </w:pPr>
    </w:p>
    <w:p>
      <w:pPr>
        <w:ind w:left="1020" w:right="599"/>
        <w:spacing w:after="0" w:line="271" w:lineRule="auto"/>
        <w:rPr>
          <w:sz w:val="20"/>
          <w:szCs w:val="20"/>
          <w:color w:val="auto"/>
        </w:rPr>
      </w:pPr>
      <w:r>
        <w:rPr>
          <w:rFonts w:ascii="Arial" w:cs="Arial" w:eastAsia="Arial" w:hAnsi="Arial"/>
          <w:sz w:val="18"/>
          <w:szCs w:val="18"/>
          <w:color w:val="auto"/>
        </w:rPr>
        <w:t>(i)  The following Collateral Documents, each in form and substance acceptable to the Agent and fully executed by each party thereto and dated as of the Restatement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380" w:right="859"/>
        <w:spacing w:after="0" w:line="271" w:lineRule="auto"/>
        <w:rPr>
          <w:sz w:val="20"/>
          <w:szCs w:val="20"/>
          <w:color w:val="auto"/>
        </w:rPr>
      </w:pPr>
      <w:r>
        <w:rPr>
          <w:rFonts w:ascii="Arial" w:cs="Arial" w:eastAsia="Arial" w:hAnsi="Arial"/>
          <w:sz w:val="18"/>
          <w:szCs w:val="18"/>
          <w:color w:val="auto"/>
        </w:rPr>
        <w:t>(A)  the Reaffirmation Agreement, executed and delivered by the Borrower and each Guarantor;</w:t>
      </w:r>
    </w:p>
    <w:p>
      <w:pPr>
        <w:spacing w:after="0" w:line="10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   the Perfection Certificate, duly executed by the Borrower;</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   the Security Agreement;</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   the Assignment of Business Interruption Insurance Policy; and</w:t>
      </w:r>
    </w:p>
    <w:p>
      <w:pPr>
        <w:spacing w:after="0" w:line="104" w:lineRule="exact"/>
        <w:rPr>
          <w:sz w:val="20"/>
          <w:szCs w:val="20"/>
          <w:color w:val="auto"/>
        </w:rPr>
      </w:pPr>
    </w:p>
    <w:p>
      <w:pPr>
        <w:jc w:val="both"/>
        <w:ind w:left="1380" w:right="679"/>
        <w:spacing w:after="0" w:line="257" w:lineRule="auto"/>
        <w:rPr>
          <w:sz w:val="20"/>
          <w:szCs w:val="20"/>
          <w:color w:val="auto"/>
        </w:rPr>
      </w:pPr>
      <w:r>
        <w:rPr>
          <w:rFonts w:ascii="Arial" w:cs="Arial" w:eastAsia="Arial" w:hAnsi="Arial"/>
          <w:sz w:val="18"/>
          <w:szCs w:val="18"/>
          <w:color w:val="auto"/>
        </w:rPr>
        <w:t>(E)  an Irish law deed of confirmation in respect of the amended and restated Irish law share charge dated 23 November 2021 between the Borrower and the Agent (the “</w:t>
      </w:r>
      <w:r>
        <w:rPr>
          <w:rFonts w:ascii="Arial" w:cs="Arial" w:eastAsia="Arial" w:hAnsi="Arial"/>
          <w:sz w:val="18"/>
          <w:szCs w:val="18"/>
          <w:b w:val="1"/>
          <w:bCs w:val="1"/>
          <w:color w:val="auto"/>
        </w:rPr>
        <w:t>Irish</w:t>
      </w:r>
      <w:r>
        <w:rPr>
          <w:rFonts w:ascii="Arial" w:cs="Arial" w:eastAsia="Arial" w:hAnsi="Arial"/>
          <w:sz w:val="18"/>
          <w:szCs w:val="18"/>
          <w:color w:val="auto"/>
        </w:rPr>
        <w:t xml:space="preserve"> </w:t>
      </w:r>
      <w:r>
        <w:rPr>
          <w:rFonts w:ascii="Arial" w:cs="Arial" w:eastAsia="Arial" w:hAnsi="Arial"/>
          <w:sz w:val="18"/>
          <w:szCs w:val="18"/>
          <w:b w:val="1"/>
          <w:bCs w:val="1"/>
          <w:color w:val="auto"/>
        </w:rPr>
        <w:t>Deed of Confirmation</w:t>
      </w:r>
      <w:r>
        <w:rPr>
          <w:rFonts w:ascii="Arial" w:cs="Arial" w:eastAsia="Arial" w:hAnsi="Arial"/>
          <w:sz w:val="18"/>
          <w:szCs w:val="18"/>
          <w:color w:val="auto"/>
        </w:rPr>
        <w:t>”);</w:t>
      </w:r>
    </w:p>
    <w:p>
      <w:pPr>
        <w:spacing w:after="0" w:line="51" w:lineRule="exact"/>
        <w:rPr>
          <w:sz w:val="20"/>
          <w:szCs w:val="20"/>
          <w:color w:val="auto"/>
        </w:rPr>
      </w:pPr>
    </w:p>
    <w:p>
      <w:pPr>
        <w:ind w:left="1020" w:right="479"/>
        <w:spacing w:after="0" w:line="271" w:lineRule="auto"/>
        <w:rPr>
          <w:sz w:val="20"/>
          <w:szCs w:val="20"/>
          <w:color w:val="auto"/>
        </w:rPr>
      </w:pPr>
      <w:r>
        <w:rPr>
          <w:rFonts w:ascii="Arial" w:cs="Arial" w:eastAsia="Arial" w:hAnsi="Arial"/>
          <w:sz w:val="18"/>
          <w:szCs w:val="18"/>
          <w:color w:val="auto"/>
        </w:rPr>
        <w:t>(ii)  the Fee Letter, executed and delivered by the Agent and the Borrower and dated as of the Restatement Date;</w:t>
      </w:r>
    </w:p>
    <w:p>
      <w:pPr>
        <w:spacing w:after="0" w:line="46" w:lineRule="exact"/>
        <w:rPr>
          <w:sz w:val="20"/>
          <w:szCs w:val="20"/>
          <w:color w:val="auto"/>
        </w:rPr>
      </w:pPr>
    </w:p>
    <w:p>
      <w:pPr>
        <w:ind w:left="1020" w:right="399"/>
        <w:spacing w:after="0" w:line="238" w:lineRule="auto"/>
        <w:rPr>
          <w:sz w:val="20"/>
          <w:szCs w:val="20"/>
          <w:color w:val="auto"/>
        </w:rPr>
      </w:pPr>
      <w:r>
        <w:rPr>
          <w:rFonts w:ascii="Arial" w:cs="Arial" w:eastAsia="Arial" w:hAnsi="Arial"/>
          <w:sz w:val="18"/>
          <w:szCs w:val="18"/>
          <w:color w:val="auto"/>
        </w:rPr>
        <w:t>(iii)  (A) Certified copies of uniform commercial code requests for information, or a similar search report certified by a party acceptable to the Agent, dated a date reasonably prior to the Restatement Date, listing all effective financing statements in the jurisdiction noted on Schedule 4.1(c)(iii) which name the Borrower or any Guarantor (under their present names or under any previous names used within five (5) years prior to the Restatement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 the United States Copyright Office for the Borrower and each Guarantor dated a date reasonably prior to the Restatement Date.</w:t>
      </w:r>
    </w:p>
    <w:p>
      <w:pPr>
        <w:spacing w:after="0" w:line="75" w:lineRule="exact"/>
        <w:rPr>
          <w:sz w:val="20"/>
          <w:szCs w:val="20"/>
          <w:color w:val="auto"/>
        </w:rPr>
      </w:pPr>
    </w:p>
    <w:p>
      <w:pPr>
        <w:ind w:left="1020" w:right="439"/>
        <w:spacing w:after="0"/>
        <w:rPr>
          <w:sz w:val="20"/>
          <w:szCs w:val="20"/>
          <w:color w:val="auto"/>
        </w:rPr>
      </w:pPr>
      <w:r>
        <w:rPr>
          <w:rFonts w:ascii="Arial" w:cs="Arial" w:eastAsia="Arial" w:hAnsi="Arial"/>
          <w:sz w:val="18"/>
          <w:szCs w:val="18"/>
          <w:color w:val="auto"/>
        </w:rPr>
        <w:t>(iv)  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spacing w:after="0" w:line="77"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Insurance</w:t>
      </w:r>
      <w:r>
        <w:rPr>
          <w:rFonts w:ascii="Arial" w:cs="Arial" w:eastAsia="Arial" w:hAnsi="Arial"/>
          <w:sz w:val="18"/>
          <w:szCs w:val="18"/>
          <w:color w:val="auto"/>
        </w:rPr>
        <w:t>. The Agent shall have received evidence reasonably satisfactory to it that the Borrower and Guarantors have obtained the insurance policies required by Section 6.5 hereof and that such insurance policies are in full force and effect (subject to Section 4.3 with respect to required endorsements).</w:t>
      </w:r>
    </w:p>
    <w:p>
      <w:pPr>
        <w:spacing w:after="0" w:line="66" w:lineRule="exact"/>
        <w:rPr>
          <w:sz w:val="20"/>
          <w:szCs w:val="20"/>
          <w:color w:val="auto"/>
        </w:rPr>
      </w:pPr>
    </w:p>
    <w:p>
      <w:pPr>
        <w:ind w:left="660" w:right="539"/>
        <w:spacing w:after="0" w:line="24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Schedules and Exhibits</w:t>
      </w:r>
      <w:r>
        <w:rPr>
          <w:rFonts w:ascii="Arial" w:cs="Arial" w:eastAsia="Arial" w:hAnsi="Arial"/>
          <w:sz w:val="18"/>
          <w:szCs w:val="18"/>
          <w:color w:val="auto"/>
        </w:rPr>
        <w:t>. The Agent shall have received (i) schedules to this Agreement, the Perfection Certificate, and the Security Agreement and (ii) exhibits to this Agreement and the Security Agreement, in each case of the foregoing clauses (i) and (ii), in form and substance reasonably satisfactory to the Agent (it being acknowledged that the form of the schedules to this Agreement and the Perfection Certificate as agreed between the Agent and the Borrower as of the date of the Exchange Agreement are satisfactory to the Agent).</w:t>
      </w:r>
    </w:p>
    <w:p>
      <w:pPr>
        <w:spacing w:after="0" w:line="71" w:lineRule="exact"/>
        <w:rPr>
          <w:sz w:val="20"/>
          <w:szCs w:val="20"/>
          <w:color w:val="auto"/>
        </w:rPr>
      </w:pPr>
    </w:p>
    <w:p>
      <w:pPr>
        <w:ind w:left="660" w:right="339"/>
        <w:spacing w:after="0" w:line="254"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Opinions of Counsel</w:t>
      </w:r>
      <w:r>
        <w:rPr>
          <w:rFonts w:ascii="Arial" w:cs="Arial" w:eastAsia="Arial" w:hAnsi="Arial"/>
          <w:sz w:val="17"/>
          <w:szCs w:val="17"/>
          <w:color w:val="auto"/>
        </w:rPr>
        <w:t xml:space="preserve">. The Borrower and Guarantors shall have furnished to the Agent and the Lenders customary opinions of counsel to the Borrower and Guarantors, in each case dated the Restatement Date and covering such matters as reasonably required by and otherwise reasonably satisfactory in form and substance to the Agent and each of the Lenders. The Agent and the Lenders shall have received a customary opinion of Arthur Cox LLP, Irish counsel to the Agent dated the Restatement Date and covering such matters as reasonably required by and otherwise reasonably satisfactory in form and substance to the Agent and each of the Lenders (it being acknowledged that form of opinion provided by Arthur Cox dated 23 November 2021 is satisfactory to the Agent and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Lenders fail to procure such opinion, the Borrower may cause the delivery of a customary opinion of another nationally recognized firm of counsel in lieu thereof.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66" w:lineRule="auto"/>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u w:val="single" w:color="auto"/>
          <w:color w:val="auto"/>
        </w:rPr>
        <w:t>Payment of Fees</w:t>
      </w:r>
      <w:r>
        <w:rPr>
          <w:rFonts w:ascii="Arial" w:cs="Arial" w:eastAsia="Arial" w:hAnsi="Arial"/>
          <w:sz w:val="17"/>
          <w:szCs w:val="17"/>
          <w:color w:val="auto"/>
        </w:rPr>
        <w:t>. The Borrower shall have paid to the Agent all fees, costs or expenses due and outstanding to the Agent or the Lenders as of the Restatement Date (including reasonable fees, disbursements and other charges of counsel to the Agent payable under Section 12.4(a) hereof), in each case to the extent invoiced at least one Business Day prior to the Restatement Date.</w:t>
      </w:r>
    </w:p>
    <w:p>
      <w:pPr>
        <w:spacing w:after="0" w:line="5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Borrower shall have delivered to the Lenders and the Agent, in form and substance satisfactory to the Agent: (a) audited financial statements of the Borrower for the Fiscal Year ended January 31, 2025, and presented in accordance with GAAP (it being acknowledged that the Agent and Lenders are in receipt of such audited financial statements described in this clause (a)), and (b) unaudited financial statements of the Borrower for the most recently ended Fiscal Quarter prior to the Restatement Date which are required to be delivered pursuant to Section 6.1(b) of the Existing Credit Agreement (collectively,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in form reasonably acceptable to the Agent.</w:t>
      </w:r>
    </w:p>
    <w:p>
      <w:pPr>
        <w:spacing w:after="0" w:line="72" w:lineRule="exact"/>
        <w:rPr>
          <w:sz w:val="20"/>
          <w:szCs w:val="20"/>
          <w:color w:val="auto"/>
        </w:rPr>
      </w:pPr>
    </w:p>
    <w:p>
      <w:pPr>
        <w:ind w:left="660" w:right="379"/>
        <w:spacing w:after="0" w:line="275"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Restatement Date Transactions</w:t>
      </w:r>
      <w:r>
        <w:rPr>
          <w:rFonts w:ascii="Arial" w:cs="Arial" w:eastAsia="Arial" w:hAnsi="Arial"/>
          <w:sz w:val="17"/>
          <w:szCs w:val="17"/>
          <w:color w:val="auto"/>
        </w:rPr>
        <w:t>. Each of the transactions set forth in the Exchange Agreement (including, without limitation, the Exchange Transactions (as defined therein)) and the Purchase and Sale Agreement shall have been consummated in accordance with the terms and conditions thereof.</w:t>
      </w:r>
    </w:p>
    <w:p>
      <w:pPr>
        <w:spacing w:after="0" w:line="44"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Material Contracts</w:t>
      </w:r>
      <w:r>
        <w:rPr>
          <w:rFonts w:ascii="Arial" w:cs="Arial" w:eastAsia="Arial" w:hAnsi="Arial"/>
          <w:sz w:val="18"/>
          <w:szCs w:val="18"/>
          <w:color w:val="auto"/>
        </w:rPr>
        <w:t>. The Agent shall have received copies of all Material Contracts described on Schedule 5.18 hereto.</w:t>
      </w:r>
    </w:p>
    <w:p>
      <w:pPr>
        <w:spacing w:after="0" w:line="46"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Governmental and Other Approvals</w:t>
      </w:r>
      <w:r>
        <w:rPr>
          <w:rFonts w:ascii="Arial" w:cs="Arial" w:eastAsia="Arial" w:hAnsi="Arial"/>
          <w:sz w:val="18"/>
          <w:szCs w:val="18"/>
          <w:color w:val="auto"/>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that, in each case, are necessary in connection with the transactions contemplated by the Loan Documents to occur on the Restatement Date.</w:t>
      </w:r>
    </w:p>
    <w:p>
      <w:pPr>
        <w:spacing w:after="0" w:line="71"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Agent shall have received a certificate of a Responsible Officer of the Borrower dated the Restatement Date, stating that to the best of his or her respective knowledge after due inquiry, (i) the conditions set forth in Sections 4.2(b) and 4.2(d) have been satisfied; and (ii) since January 31, 2025, no Material Adverse Effect has occurred.</w:t>
      </w:r>
    </w:p>
    <w:p>
      <w:pPr>
        <w:spacing w:after="0" w:line="66" w:lineRule="exact"/>
        <w:rPr>
          <w:sz w:val="20"/>
          <w:szCs w:val="20"/>
          <w:color w:val="auto"/>
        </w:rPr>
      </w:pPr>
    </w:p>
    <w:p>
      <w:pPr>
        <w:ind w:left="660" w:right="459"/>
        <w:spacing w:after="0" w:line="253"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Agent shall have received a certificate of the chief financial officer of the Borrower, certifying that the Borrower is Solvent (after giving effect to the making of the Restatement Date Term Loan and the other Restatement Date Transactions).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Notwithstanding the foregoing, the Agent and each Lender acknowledge that:</w:t>
      </w:r>
    </w:p>
    <w:p>
      <w:pPr>
        <w:spacing w:after="0" w:line="104" w:lineRule="exact"/>
        <w:rPr>
          <w:sz w:val="20"/>
          <w:szCs w:val="20"/>
          <w:color w:val="auto"/>
        </w:rPr>
      </w:pPr>
    </w:p>
    <w:p>
      <w:pPr>
        <w:ind w:left="660" w:right="399"/>
        <w:spacing w:after="0" w:line="242" w:lineRule="auto"/>
        <w:rPr>
          <w:sz w:val="20"/>
          <w:szCs w:val="20"/>
          <w:color w:val="auto"/>
        </w:rPr>
      </w:pPr>
      <w:r>
        <w:rPr>
          <w:rFonts w:ascii="Arial" w:cs="Arial" w:eastAsia="Arial" w:hAnsi="Arial"/>
          <w:sz w:val="18"/>
          <w:szCs w:val="18"/>
          <w:color w:val="auto"/>
        </w:rPr>
        <w:t>(1)  the form of any document or instrument required to be delivered pursuant to the foregoing shall be deemed satisfactory if such document or instrument is in the form separately agreed with the Agent prior to execution and delivery of the Exchange Agreement or, if no such form is agreed, in a form substantially consistent with the form of such document or instrument with respect to the Existing Credit Agreement or, if no such form exists, in customary form reasonably acceptable to the Agent; and</w:t>
      </w:r>
    </w:p>
    <w:p>
      <w:pPr>
        <w:spacing w:after="0" w:line="71" w:lineRule="exact"/>
        <w:rPr>
          <w:sz w:val="20"/>
          <w:szCs w:val="20"/>
          <w:color w:val="auto"/>
        </w:rPr>
      </w:pPr>
    </w:p>
    <w:p>
      <w:pPr>
        <w:ind w:left="660" w:right="359"/>
        <w:spacing w:after="0" w:line="256" w:lineRule="auto"/>
        <w:rPr>
          <w:sz w:val="20"/>
          <w:szCs w:val="20"/>
          <w:color w:val="auto"/>
        </w:rPr>
      </w:pPr>
      <w:r>
        <w:rPr>
          <w:rFonts w:ascii="Arial" w:cs="Arial" w:eastAsia="Arial" w:hAnsi="Arial"/>
          <w:sz w:val="17"/>
          <w:szCs w:val="17"/>
          <w:color w:val="auto"/>
        </w:rPr>
        <w:t>(2)  no failure to create or perfect any security interest shall constitute a condition precedent to the effectiveness of this Agreement so long as the Security Agreement and Account Control Agreements in respect of each deposit accounts and securities accounts (other than the Excluded Accounts) is executed and delivered by the Borrower and each Guarantor and the security interest under the Security Agreement is perfected to the extent it is capable of perfection by the filing of a UCC-1 financing statement; provided that any other document, instrument or action that would otherwise be required to create or perfect any security interest shall be delivered and/or complied with by the Borrower within 30 days after the Restatement Date (or such later date as the Agent may agree).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Conditions to all Loans</w:t>
      </w:r>
      <w:r>
        <w:rPr>
          <w:rFonts w:ascii="Arial" w:cs="Arial" w:eastAsia="Arial" w:hAnsi="Arial"/>
          <w:sz w:val="18"/>
          <w:szCs w:val="18"/>
          <w:color w:val="auto"/>
        </w:rPr>
        <w:t>. The obligations of each Lender to make Loans (including the Restatement Date Term Loan) shall be subject to the following conditions: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Agent shall have received a fully executed Request for Loan;</w:t>
      </w:r>
    </w:p>
    <w:p>
      <w:pPr>
        <w:spacing w:after="0" w:line="104"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(b)  at the time of and after giving effect to the making of such Loan and the application of the proceeds thereof, (i) except in connection with consummation of the Restatement Date Transactions, no Default or (ii) Event of Default, in each case has occurred and is continuing or would result from the making of the Loan to be made;</w:t>
      </w:r>
    </w:p>
    <w:p>
      <w:pPr>
        <w:spacing w:after="0" w:line="66"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(c)  other than in connection with consummation of the Restatement Date Transactions,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81"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(d)  solely in connection with consummation of the Restatement Date Transactions, (i) the Specified Representations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Restatement Date as though made at and as of such date, except to the extent that such representations and warranties expressly relate to an earlier date (in which case such representations and warranties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earlier date) and (ii) each of the representations and warranties other than the Specified Representations of the Credit Parties in this Agreement and the other Loan Documents shall be true and correct as of the Restatement Date as though made at and as of such date, except to the extent that any such other representations and warranties expressly relate to an earlier date (in which case such other representations and warranties shall be true and correct as of such earlier date), in each case of this clause (ii), determined without regard to qualifications as to “materiality” or “Material Adverse Effect”, except that the condition in this clause (ii) will be satisfied unless the failure of any such representations and warranties to be so true and correct has resulted in, or could reasonably be expected to result in, individually or in the aggregate, a Material Adverse Effect. The representations and warranties made in connection with the Restatement Date Transactions under the Loan Documents will be those required to be accurate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w:t>
      </w:r>
    </w:p>
    <w:p>
      <w:pPr>
        <w:spacing w:after="0" w:line="85"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Conditions Subsequent to Effectiveness</w:t>
      </w:r>
      <w:r>
        <w:rPr>
          <w:rFonts w:ascii="Arial" w:cs="Arial" w:eastAsia="Arial" w:hAnsi="Arial"/>
          <w:sz w:val="18"/>
          <w:szCs w:val="18"/>
          <w:color w:val="auto"/>
        </w:rPr>
        <w:t>. As an accommodation to the Credit Parties, the Agent and the Lenders have agreed to execute this Agreement and to make the Restatement Date Term Loan on the Restatement Date notwithstanding the failure by the Credit Parties to satisfy the conditions set forth below on or before the Restatement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and (ii) to the extent that the existence of any such condition subsequent would otherwise cause any representation, warranty or covenant in this Agreement or any other Loan Document to be breached, the Majority Lenders hereby waive such breach for the period from the Restatement Date until the date on which such condition subsequent is required to be fulfilled pursuant to this Section 4.3):</w:t>
      </w:r>
    </w:p>
    <w:p>
      <w:pPr>
        <w:spacing w:after="0" w:line="66"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(a)  on or prior to the date that is thirty (30) days following the Restatement Date (or such later date as agreed to in writing by the Agent in its sole discretion), the Borrower and each Guarantor shall have delivered to the Agent long form insurance endorsements with respect to the Borrower’s and such Guarantor’s insurance policies, in form and substance satisfactory to the Agent, naming the Agent as additional insured or lender’s loss payee thereunder, as applicable, and providing that such policy may be terminated or cancelled (by the insurer or the insured thereunder) only upon 30 days’ prior written notice to the Agent (or 10 days prior written notice in the case of nonpayment).</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5.   REPRESENTATIONS AND WARRANTIES.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Borrower represents and warrants to the Agent and the Lenders as follows:</w:t>
      </w:r>
    </w:p>
    <w:p>
      <w:pPr>
        <w:spacing w:after="0" w:line="104"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spacing w:after="0" w:line="72"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Due Authorization</w:t>
      </w:r>
      <w:r>
        <w:rPr>
          <w:rFonts w:ascii="Arial" w:cs="Arial" w:eastAsia="Arial" w:hAnsi="Arial"/>
          <w:sz w:val="18"/>
          <w:szCs w:val="18"/>
          <w:color w:val="auto"/>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 Lien (other than pursuant to any Loan Document or Senior Loan Document) upon or with respect to any of its properties.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Good Title; Leases; Assets; No Liens</w:t>
      </w:r>
      <w:r>
        <w:rPr>
          <w:rFonts w:ascii="Arial" w:cs="Arial" w:eastAsia="Arial" w:hAnsi="Arial"/>
          <w:sz w:val="18"/>
          <w:szCs w:val="18"/>
          <w:color w:val="auto"/>
        </w:rPr>
        <w:t>.</w:t>
      </w:r>
    </w:p>
    <w:p>
      <w:pPr>
        <w:spacing w:after="0" w:line="104" w:lineRule="exact"/>
        <w:rPr>
          <w:sz w:val="20"/>
          <w:szCs w:val="20"/>
          <w:color w:val="auto"/>
        </w:rPr>
      </w:pPr>
    </w:p>
    <w:p>
      <w:pPr>
        <w:ind w:left="660" w:right="659"/>
        <w:spacing w:after="0" w:line="247" w:lineRule="auto"/>
        <w:rPr>
          <w:sz w:val="20"/>
          <w:szCs w:val="20"/>
          <w:color w:val="auto"/>
        </w:rPr>
      </w:pPr>
      <w:r>
        <w:rPr>
          <w:rFonts w:ascii="Arial" w:cs="Arial" w:eastAsia="Arial" w:hAnsi="Arial"/>
          <w:sz w:val="18"/>
          <w:szCs w:val="18"/>
          <w:color w:val="auto"/>
        </w:rPr>
        <w:t>(a)  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w:t>
      </w:r>
    </w:p>
    <w:p>
      <w:pPr>
        <w:spacing w:after="0" w:line="66"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(b)  Schedule 5.3(b) hereto identifies all of the real property owned or leased, as lessee thereunder, by the Borrower or any Guarantor on the Restatement Date, including all warehouse or bailee locations;</w:t>
      </w:r>
    </w:p>
    <w:p>
      <w:pPr>
        <w:spacing w:after="0" w:line="61"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(c)  The Credit Parties will collectively own or collectively have a valid leasehold interest in all assets that were owned or leased (as lessee) by the Credit Parties immediately prior to the Restatement Date to the extent that such assets are necessary for the continued operation of the Credit Parties’ businesses in substantially the manner as such businesses were operated immediately prior to the Restatement Date;</w:t>
      </w:r>
    </w:p>
    <w:p>
      <w:pPr>
        <w:spacing w:after="0" w:line="6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(d)  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53" w:lineRule="auto"/>
        <w:rPr>
          <w:sz w:val="20"/>
          <w:szCs w:val="20"/>
          <w:color w:val="auto"/>
        </w:rPr>
      </w:pPr>
      <w:r>
        <w:rPr>
          <w:rFonts w:ascii="Arial" w:cs="Arial" w:eastAsia="Arial" w:hAnsi="Arial"/>
          <w:sz w:val="18"/>
          <w:szCs w:val="18"/>
          <w:color w:val="auto"/>
        </w:rPr>
        <w:t>(e)  There are no Liens on and no financing statements on file with respect to any of the assets owned by the Credit Parties, except for the Liens permitted pursuant to Section 7.2 of this Agreement and any financing statements relating thereto; and</w:t>
      </w:r>
    </w:p>
    <w:p>
      <w:pPr>
        <w:spacing w:after="0" w:line="61"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(f)  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Restatement Date).</w:t>
      </w:r>
    </w:p>
    <w:p>
      <w:pPr>
        <w:spacing w:after="0" w:line="6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Taxes</w:t>
      </w:r>
      <w:r>
        <w:rPr>
          <w:rFonts w:ascii="Arial" w:cs="Arial" w:eastAsia="Arial" w:hAnsi="Arial"/>
          <w:sz w:val="18"/>
          <w:szCs w:val="18"/>
          <w:color w:val="auto"/>
        </w:rPr>
        <w:t>.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Restatement Date have been paid, except</w:t>
      </w:r>
    </w:p>
    <w:p>
      <w:pPr>
        <w:ind w:left="300" w:right="459" w:hanging="8"/>
        <w:spacing w:after="0" w:line="239" w:lineRule="auto"/>
        <w:tabs>
          <w:tab w:leader="none" w:pos="5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spacing w:after="0" w:line="72" w:lineRule="exact"/>
        <w:rPr>
          <w:sz w:val="20"/>
          <w:szCs w:val="20"/>
          <w:color w:val="auto"/>
        </w:rPr>
      </w:pPr>
    </w:p>
    <w:p>
      <w:pPr>
        <w:ind w:left="300" w:right="479"/>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 Defaults</w:t>
      </w:r>
      <w:r>
        <w:rPr>
          <w:rFonts w:ascii="Arial" w:cs="Arial" w:eastAsia="Arial" w:hAnsi="Arial"/>
          <w:sz w:val="18"/>
          <w:szCs w:val="18"/>
          <w:color w:val="auto"/>
        </w:rPr>
        <w:t>. No Credit Party is in default under or with respect to any agreement, instrument or undertaking to which is a party or by which it or any of its property is bound which would cause or would reasonably be expected to cause a Material Adverse Effect.</w:t>
      </w:r>
    </w:p>
    <w:p>
      <w:pPr>
        <w:spacing w:after="0" w:line="61"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Enforceability of Agreement and Loan Documents</w:t>
      </w:r>
      <w:r>
        <w:rPr>
          <w:rFonts w:ascii="Arial" w:cs="Arial" w:eastAsia="Arial" w:hAnsi="Arial"/>
          <w:sz w:val="18"/>
          <w:szCs w:val="18"/>
          <w:color w:val="auto"/>
        </w:rPr>
        <w:t>.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72"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w:t>
      </w:r>
    </w:p>
    <w:p>
      <w:pPr>
        <w:spacing w:after="0" w:line="72"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spacing w:after="0" w:line="6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w:t>
      </w:r>
    </w:p>
    <w:p>
      <w:pPr>
        <w:spacing w:after="0" w:line="68"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Consents, Approvals and Filings, Etc</w:t>
      </w:r>
      <w:r>
        <w:rPr>
          <w:rFonts w:ascii="Arial" w:cs="Arial" w:eastAsia="Arial" w:hAnsi="Arial"/>
          <w:sz w:val="17"/>
          <w:szCs w:val="17"/>
          <w:color w:val="auto"/>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 (y) such filings to be made concurrently herewith or promptly following the Restatement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w:t>
      </w:r>
    </w:p>
    <w:p>
      <w:pPr>
        <w:spacing w:after="0" w:line="75"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Agreements Affecting Financial Condition</w:t>
      </w:r>
      <w:r>
        <w:rPr>
          <w:rFonts w:ascii="Arial" w:cs="Arial" w:eastAsia="Arial" w:hAnsi="Arial"/>
          <w:sz w:val="18"/>
          <w:szCs w:val="18"/>
          <w:color w:val="auto"/>
        </w:rPr>
        <w:t>. No Credit Party is party to any agreement or instrument or subject to any charter or other corporate restriction which could reasonably be expected to have a Material Adverse Effect.</w:t>
      </w:r>
    </w:p>
    <w:p>
      <w:pPr>
        <w:spacing w:after="0" w:line="61"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No Investment Company or Margin Stock</w:t>
      </w:r>
      <w:r>
        <w:rPr>
          <w:rFonts w:ascii="Arial" w:cs="Arial" w:eastAsia="Arial" w:hAnsi="Arial"/>
          <w:sz w:val="18"/>
          <w:szCs w:val="18"/>
          <w:color w:val="auto"/>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 Credit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 Terms for which meanings are provided in Regulation T, U and X of the Board of Governors of the Federal Reserve System or any regulations substituted therefore, as from time to time in effect, are used in this paragraph with such meanings.</w:t>
      </w:r>
    </w:p>
    <w:p>
      <w:pPr>
        <w:spacing w:after="0" w:line="72"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or Foreign Benefit Event has occurred and, to the knowledge of the Borrower, no ERISA Event or Foreign Benefit Event is reasonably expected to occur, except as would not reasonably be expected to have a Material Adverse Effect when taken either individually or in the aggregate with all other such ERISA Events or Foreign Benefit Events for which liability could be reasonably expected to occur. Each Pension Plan and Foreign Plan is being maintained and funded in accordance with its terms and is in compliance with the requirements of the Internal Revenue Code and ERISA and other Requirements of Law, except to the extent that failure to comply therewith could not, either individually or in the aggregate, reasonably be expected to have a Material Adverse Effect.</w:t>
      </w:r>
    </w:p>
    <w:p>
      <w:pPr>
        <w:spacing w:after="0" w:line="72" w:lineRule="exact"/>
        <w:rPr>
          <w:sz w:val="20"/>
          <w:szCs w:val="20"/>
          <w:color w:val="auto"/>
        </w:rPr>
      </w:pPr>
    </w:p>
    <w:p>
      <w:pPr>
        <w:ind w:left="300" w:right="479"/>
        <w:spacing w:after="0" w:line="24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Conditions Affecting Business or Properties</w:t>
      </w:r>
      <w:r>
        <w:rPr>
          <w:rFonts w:ascii="Arial" w:cs="Arial" w:eastAsia="Arial" w:hAnsi="Arial"/>
          <w:sz w:val="18"/>
          <w:szCs w:val="18"/>
          <w:color w:val="auto"/>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Environmental and Safety Matters</w:t>
      </w:r>
      <w:r>
        <w:rPr>
          <w:rFonts w:ascii="Arial" w:cs="Arial" w:eastAsia="Arial" w:hAnsi="Arial"/>
          <w:sz w:val="18"/>
          <w:szCs w:val="18"/>
          <w:color w:val="auto"/>
        </w:rPr>
        <w:t>. Except as set forth in Schedules 5.9, 5.10 and 5.15:</w:t>
      </w:r>
    </w:p>
    <w:p>
      <w:pPr>
        <w:spacing w:after="0" w:line="104" w:lineRule="exact"/>
        <w:rPr>
          <w:sz w:val="20"/>
          <w:szCs w:val="20"/>
          <w:color w:val="auto"/>
        </w:rPr>
      </w:pPr>
    </w:p>
    <w:p>
      <w:pPr>
        <w:ind w:left="660" w:right="699"/>
        <w:spacing w:after="0" w:line="253" w:lineRule="auto"/>
        <w:rPr>
          <w:sz w:val="20"/>
          <w:szCs w:val="20"/>
          <w:color w:val="auto"/>
        </w:rPr>
      </w:pPr>
      <w:r>
        <w:rPr>
          <w:rFonts w:ascii="Arial" w:cs="Arial" w:eastAsia="Arial" w:hAnsi="Arial"/>
          <w:sz w:val="18"/>
          <w:szCs w:val="18"/>
          <w:color w:val="auto"/>
        </w:rPr>
        <w:t>(a)  all facilities and property owned or leased by the Credit Parties are in compliance with all Hazardous Material Laws, except to the extent that any non-compliance could not reasonably be expected to result in a Material Adverse Effect;</w:t>
      </w:r>
    </w:p>
    <w:p>
      <w:pPr>
        <w:spacing w:after="0" w:line="61"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(b)  to the best knowledge of the Borrower, except as could not reasonably be expected to result in a Material Adverse Effect, there have been no unresolved and outstanding past, and there are no pending or threatened:</w:t>
      </w:r>
    </w:p>
    <w:p>
      <w:pPr>
        <w:spacing w:after="0" w:line="61" w:lineRule="exact"/>
        <w:rPr>
          <w:sz w:val="20"/>
          <w:szCs w:val="20"/>
          <w:color w:val="auto"/>
        </w:rPr>
      </w:pPr>
    </w:p>
    <w:p>
      <w:pPr>
        <w:ind w:left="1020" w:right="699"/>
        <w:spacing w:after="0" w:line="271" w:lineRule="auto"/>
        <w:rPr>
          <w:sz w:val="20"/>
          <w:szCs w:val="20"/>
          <w:color w:val="auto"/>
        </w:rPr>
      </w:pPr>
      <w:r>
        <w:rPr>
          <w:rFonts w:ascii="Arial" w:cs="Arial" w:eastAsia="Arial" w:hAnsi="Arial"/>
          <w:sz w:val="18"/>
          <w:szCs w:val="18"/>
          <w:color w:val="auto"/>
        </w:rPr>
        <w:t>(i)  claims, complaints, notices or requests for information received by any Credit Party with respect to any alleged violation of any Hazardous Material Law, or</w:t>
      </w:r>
    </w:p>
    <w:p>
      <w:pPr>
        <w:spacing w:after="0" w:line="46" w:lineRule="exact"/>
        <w:rPr>
          <w:sz w:val="20"/>
          <w:szCs w:val="20"/>
          <w:color w:val="auto"/>
        </w:rPr>
      </w:pPr>
    </w:p>
    <w:p>
      <w:pPr>
        <w:ind w:left="1020" w:right="379"/>
        <w:spacing w:after="0" w:line="271" w:lineRule="auto"/>
        <w:rPr>
          <w:sz w:val="20"/>
          <w:szCs w:val="20"/>
          <w:color w:val="auto"/>
        </w:rPr>
      </w:pPr>
      <w:r>
        <w:rPr>
          <w:rFonts w:ascii="Arial" w:cs="Arial" w:eastAsia="Arial" w:hAnsi="Arial"/>
          <w:sz w:val="18"/>
          <w:szCs w:val="18"/>
          <w:color w:val="auto"/>
        </w:rPr>
        <w:t>(ii)  written complaints, notices or inquiries to any Credit Party regarding potential liability of any Credit Parties under any Hazardous Material Law; and</w:t>
      </w:r>
    </w:p>
    <w:p>
      <w:pPr>
        <w:spacing w:after="0" w:line="46" w:lineRule="exact"/>
        <w:rPr>
          <w:sz w:val="20"/>
          <w:szCs w:val="20"/>
          <w:color w:val="auto"/>
        </w:rPr>
      </w:pPr>
    </w:p>
    <w:p>
      <w:pPr>
        <w:ind w:left="660" w:right="339"/>
        <w:spacing w:after="0" w:line="261" w:lineRule="auto"/>
        <w:rPr>
          <w:sz w:val="20"/>
          <w:szCs w:val="20"/>
          <w:color w:val="auto"/>
        </w:rPr>
      </w:pPr>
      <w:r>
        <w:rPr>
          <w:rFonts w:ascii="Arial" w:cs="Arial" w:eastAsia="Arial" w:hAnsi="Arial"/>
          <w:sz w:val="17"/>
          <w:szCs w:val="17"/>
          <w:color w:val="auto"/>
        </w:rPr>
        <w:t>(c)  to the best knowledge of the Borrower, no conditions exist at, on or under any property now or previously owned or leased by any Credit Party, in each case which, with the passage of 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w:t>
      </w:r>
    </w:p>
    <w:p>
      <w:pPr>
        <w:spacing w:after="0" w:line="58" w:lineRule="exact"/>
        <w:rPr>
          <w:sz w:val="20"/>
          <w:szCs w:val="20"/>
          <w:color w:val="auto"/>
        </w:rPr>
      </w:pPr>
    </w:p>
    <w:p>
      <w:pPr>
        <w:ind w:left="300" w:right="879"/>
        <w:spacing w:after="0" w:line="253"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disclosed on Schedule 5.16 hereto as of the Restatement Date, and thereafter, except as disclosed to the Agent in writing from time to time, no Credit Party has any Subsidiaries.</w:t>
      </w:r>
    </w:p>
    <w:p>
      <w:pPr>
        <w:spacing w:after="0" w:line="61"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Adverse Agreements, Etc</w:t>
      </w:r>
      <w:r>
        <w:rPr>
          <w:rFonts w:ascii="Arial" w:cs="Arial" w:eastAsia="Arial" w:hAnsi="Arial"/>
          <w:sz w:val="18"/>
          <w:szCs w:val="18"/>
          <w:color w:val="auto"/>
        </w:rPr>
        <w:t>. No Credit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spacing w:after="0" w:line="68" w:lineRule="exact"/>
        <w:rPr>
          <w:sz w:val="20"/>
          <w:szCs w:val="20"/>
          <w:color w:val="auto"/>
        </w:rPr>
      </w:pPr>
    </w:p>
    <w:p>
      <w:pPr>
        <w:ind w:left="300" w:right="499"/>
        <w:spacing w:after="0" w:line="24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Material Contracts</w:t>
      </w:r>
      <w:r>
        <w:rPr>
          <w:rFonts w:ascii="Arial" w:cs="Arial" w:eastAsia="Arial" w:hAnsi="Arial"/>
          <w:sz w:val="18"/>
          <w:szCs w:val="18"/>
          <w:color w:val="auto"/>
        </w:rPr>
        <w:t>. Schedule 5.18 attached hereto is an accurate and complete list of all Material Contracts in effect on or as of the Restatement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Insurance</w:t>
      </w:r>
      <w:r>
        <w:rPr>
          <w:rFonts w:ascii="Arial" w:cs="Arial" w:eastAsia="Arial" w:hAnsi="Arial"/>
          <w:sz w:val="18"/>
          <w:szCs w:val="18"/>
          <w:color w:val="auto"/>
        </w:rPr>
        <w:t>. Each Credit Party maintains all insurance required by Section 6.5.</w:t>
      </w:r>
    </w:p>
    <w:p>
      <w:pPr>
        <w:spacing w:after="0" w:line="104"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Capital Structure</w:t>
      </w:r>
      <w:r>
        <w:rPr>
          <w:rFonts w:ascii="Arial" w:cs="Arial" w:eastAsia="Arial" w:hAnsi="Arial"/>
          <w:sz w:val="18"/>
          <w:szCs w:val="18"/>
          <w:color w:val="auto"/>
        </w:rPr>
        <w:t>.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Restatement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44" w:lineRule="auto"/>
        <w:rPr>
          <w:sz w:val="20"/>
          <w:szCs w:val="20"/>
          <w:color w:val="auto"/>
        </w:rPr>
      </w:pPr>
      <w:r>
        <w:rPr>
          <w:rFonts w:ascii="Arial" w:cs="Arial" w:eastAsia="Arial" w:hAnsi="Arial"/>
          <w:sz w:val="18"/>
          <w:szCs w:val="18"/>
          <w:color w:val="auto"/>
        </w:rPr>
        <w:t>(a)  The audited financial statements for the fiscal year ended January 31, 2025, furnished to the Agent and the Lenders prior to the Restatement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Restatement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Since January 31, 2025, no Material Adverse Effect has occurred.</w:t>
      </w:r>
    </w:p>
    <w:p>
      <w:pPr>
        <w:spacing w:after="0" w:line="104"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(c)  To the best knowledge of the Credit Parties, as of the Restatement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Parties which contingent obligations and losses in the aggregate could reasonably be expected to have a Material Adverse Effect.</w:t>
      </w:r>
    </w:p>
    <w:p>
      <w:pPr>
        <w:spacing w:after="0" w:line="71"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Solvency</w:t>
      </w:r>
      <w:r>
        <w:rPr>
          <w:rFonts w:ascii="Arial" w:cs="Arial" w:eastAsia="Arial" w:hAnsi="Arial"/>
          <w:sz w:val="18"/>
          <w:szCs w:val="18"/>
          <w:color w:val="auto"/>
        </w:rPr>
        <w:t>. (i) After giving effect to the consummation of the Restatement Date Transactions and the other transactions contemplated by this Agreement and the other Loan Documents and (ii) after the Restatement Date, before and after giving effect to each Loan, the Credit Parties, taken as a whole, will be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w:t>
      </w:r>
    </w:p>
    <w:p>
      <w:pPr>
        <w:spacing w:after="0" w:line="75"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Employee Matters</w:t>
      </w:r>
      <w:r>
        <w:rPr>
          <w:rFonts w:ascii="Arial" w:cs="Arial" w:eastAsia="Arial" w:hAnsi="Arial"/>
          <w:sz w:val="18"/>
          <w:szCs w:val="18"/>
          <w:color w:val="auto"/>
        </w:rPr>
        <w:t>.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Restatement Date and the related expiration dates of each such contract.</w:t>
      </w:r>
    </w:p>
    <w:p>
      <w:pPr>
        <w:spacing w:after="0" w:line="77"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Disclosure</w:t>
      </w:r>
      <w:r>
        <w:rPr>
          <w:rFonts w:ascii="Arial" w:cs="Arial" w:eastAsia="Arial" w:hAnsi="Arial"/>
          <w:sz w:val="18"/>
          <w:szCs w:val="18"/>
          <w:color w:val="auto"/>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spacing w:after="0" w:line="78"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Corporate Documents and Corporate Existence</w:t>
      </w:r>
      <w:r>
        <w:rPr>
          <w:rFonts w:ascii="Arial" w:cs="Arial" w:eastAsia="Arial" w:hAnsi="Arial"/>
          <w:sz w:val="18"/>
          <w:szCs w:val="18"/>
          <w:color w:val="auto"/>
        </w:rPr>
        <w:t>.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w:t>
      </w:r>
    </w:p>
    <w:p>
      <w:pPr>
        <w:spacing w:after="0" w:line="71"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Anti-Money Laundering/Anti-Terrorism</w:t>
      </w:r>
      <w:r>
        <w:rPr>
          <w:rFonts w:ascii="Arial" w:cs="Arial" w:eastAsia="Arial" w:hAnsi="Arial"/>
          <w:sz w:val="18"/>
          <w:szCs w:val="18"/>
          <w:color w:val="auto"/>
        </w:rPr>
        <w:t>.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Neither the Borrower nor any Guarantor is an EEA Financial Institution.</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57" w:lineRule="auto"/>
        <w:rPr>
          <w:sz w:val="20"/>
          <w:szCs w:val="20"/>
          <w:color w:val="auto"/>
        </w:rPr>
      </w:pPr>
      <w:r>
        <w:rPr>
          <w:rFonts w:ascii="Arial" w:cs="Arial" w:eastAsia="Arial" w:hAnsi="Arial"/>
          <w:sz w:val="17"/>
          <w:szCs w:val="17"/>
          <w:color w:val="auto"/>
        </w:rPr>
        <w:t>(a)  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w:t>
      </w:r>
    </w:p>
    <w:p>
      <w:pPr>
        <w:spacing w:after="0" w:line="60" w:lineRule="exact"/>
        <w:rPr>
          <w:sz w:val="20"/>
          <w:szCs w:val="20"/>
          <w:color w:val="auto"/>
        </w:rPr>
      </w:pPr>
    </w:p>
    <w:p>
      <w:pPr>
        <w:ind w:left="660" w:right="579"/>
        <w:spacing w:after="0" w:line="253" w:lineRule="auto"/>
        <w:rPr>
          <w:sz w:val="20"/>
          <w:szCs w:val="20"/>
          <w:color w:val="auto"/>
        </w:rPr>
      </w:pPr>
      <w:r>
        <w:rPr>
          <w:rFonts w:ascii="Arial" w:cs="Arial" w:eastAsia="Arial" w:hAnsi="Arial"/>
          <w:sz w:val="18"/>
          <w:szCs w:val="18"/>
          <w:color w:val="auto"/>
        </w:rPr>
        <w:t>(b)  The Credit Parties and any Person acting for or on behalf of the Credit Parties have complied with all Data Security Requirements, except such non-compliance that could not reasonably be expected to result in a Material Adverse Effect.</w:t>
      </w:r>
    </w:p>
    <w:p>
      <w:pPr>
        <w:spacing w:after="0" w:line="61" w:lineRule="exact"/>
        <w:rPr>
          <w:sz w:val="20"/>
          <w:szCs w:val="20"/>
          <w:color w:val="auto"/>
        </w:rPr>
      </w:pPr>
    </w:p>
    <w:p>
      <w:pPr>
        <w:ind w:left="300" w:right="459"/>
        <w:spacing w:after="0" w:line="244" w:lineRule="auto"/>
        <w:rPr>
          <w:sz w:val="20"/>
          <w:szCs w:val="20"/>
          <w:color w:val="auto"/>
        </w:rPr>
      </w:pPr>
      <w:r>
        <w:rPr>
          <w:rFonts w:ascii="Arial" w:cs="Arial" w:eastAsia="Arial" w:hAnsi="Arial"/>
          <w:sz w:val="18"/>
          <w:szCs w:val="18"/>
          <w:color w:val="auto"/>
        </w:rPr>
        <w:t xml:space="preserve">5.29  </w:t>
      </w:r>
      <w:r>
        <w:rPr>
          <w:rFonts w:ascii="Arial" w:cs="Arial" w:eastAsia="Arial" w:hAnsi="Arial"/>
          <w:sz w:val="18"/>
          <w:szCs w:val="18"/>
          <w:u w:val="single" w:color="auto"/>
          <w:color w:val="auto"/>
        </w:rPr>
        <w:t>Inbound Licenses</w:t>
      </w:r>
      <w:r>
        <w:rPr>
          <w:rFonts w:ascii="Arial" w:cs="Arial" w:eastAsia="Arial" w:hAnsi="Arial"/>
          <w:sz w:val="18"/>
          <w:szCs w:val="18"/>
          <w:color w:val="auto"/>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5.30 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in accordance with Section 2.10.</w:t>
      </w:r>
    </w:p>
    <w:p>
      <w:pPr>
        <w:spacing w:after="0" w:line="104"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Security Documents</w:t>
      </w:r>
      <w:r>
        <w:rPr>
          <w:rFonts w:ascii="Arial" w:cs="Arial" w:eastAsia="Arial" w:hAnsi="Arial"/>
          <w:sz w:val="18"/>
          <w:szCs w:val="18"/>
          <w:color w:val="auto"/>
        </w:rPr>
        <w:t>.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spacing w:after="0" w:line="68"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 There exists no actual or threatened termination, cancellation or limitation of, or modification to or change in, the business relationship between (i) any Credit Party, on the one hand, and any customer or any group thereof, on the other hand, whose agreements with any Credit Party are individually or in the aggregate material to the business or operations of such Credit Party, or (ii) any Credit Party, on the one hand, and any supplier or any group thereof, on the other hand, whose agreements with any Credit Party are individually or in the aggregate material to the business or operations of such Credit Party; and there exists no present state of facts or circumstances that could give rise to or result in any such termination, cancellation, limitation, modification or change, except, in each case of this Section 5.32, where such termination, cancellation, limitation, modification or change that could not reasonably be expected to result in a Material Adverse Effect.</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Technology Security Systems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39" w:lineRule="auto"/>
        <w:rPr>
          <w:sz w:val="20"/>
          <w:szCs w:val="20"/>
          <w:color w:val="auto"/>
        </w:rPr>
      </w:pPr>
      <w:r>
        <w:rPr>
          <w:rFonts w:ascii="Arial" w:cs="Arial" w:eastAsia="Arial" w:hAnsi="Arial"/>
          <w:sz w:val="18"/>
          <w:szCs w:val="18"/>
          <w:color w:val="auto"/>
        </w:rPr>
        <w:t>(a)  Each Credit Party and each of its Subsidiaries has implemented and maintains adequate administrative, physical, and technical security measures and procedures (consistent with industry standards for companies and businesses of similar size in similar industries) to protect the confidentiality, integrity, and security of (i) its computers, computer systems, servers, hardware, software, websites, databases, networks, and all other information technology equipment and systems, including any hosted locations and other outsourced systems and processes (all of the foregoing in this clause (i), “</w:t>
      </w:r>
      <w:r>
        <w:rPr>
          <w:rFonts w:ascii="Arial" w:cs="Arial" w:eastAsia="Arial" w:hAnsi="Arial"/>
          <w:sz w:val="18"/>
          <w:szCs w:val="18"/>
          <w:u w:val="single" w:color="auto"/>
          <w:color w:val="auto"/>
        </w:rPr>
        <w:t>Credit Party Systems</w:t>
      </w:r>
      <w:r>
        <w:rPr>
          <w:rFonts w:ascii="Arial" w:cs="Arial" w:eastAsia="Arial" w:hAnsi="Arial"/>
          <w:sz w:val="18"/>
          <w:szCs w:val="18"/>
          <w:color w:val="auto"/>
        </w:rPr>
        <w:t>”) and (ii) all individually identifiable information, including sensitive and confidential information, accessed, collected, used, processed, stored, transferred or disclosed by or on behalf of any Credit Party or any Subsidiary of any Credit Party (all such data and information referred to in this clause (ii), “</w:t>
      </w:r>
      <w:r>
        <w:rPr>
          <w:rFonts w:ascii="Arial" w:cs="Arial" w:eastAsia="Arial" w:hAnsi="Arial"/>
          <w:sz w:val="18"/>
          <w:szCs w:val="18"/>
          <w:u w:val="single" w:color="auto"/>
          <w:color w:val="auto"/>
        </w:rPr>
        <w:t>Credit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rPr>
          <w:sz w:val="20"/>
          <w:szCs w:val="20"/>
          <w:color w:val="auto"/>
        </w:rPr>
      </w:pPr>
      <w:r>
        <w:rPr>
          <w:rFonts w:ascii="Arial" w:cs="Arial" w:eastAsia="Arial" w:hAnsi="Arial"/>
          <w:sz w:val="18"/>
          <w:szCs w:val="18"/>
          <w:u w:val="single" w:color="auto"/>
          <w:color w:val="auto"/>
        </w:rPr>
        <w:t>Party Data</w:t>
      </w:r>
      <w:r>
        <w:rPr>
          <w:rFonts w:ascii="Arial" w:cs="Arial" w:eastAsia="Arial" w:hAnsi="Arial"/>
          <w:sz w:val="18"/>
          <w:szCs w:val="18"/>
          <w:color w:val="auto"/>
        </w:rPr>
        <w:t>”), in all cases including from theft, destruction, corruption, loss or unauthorized use, access, interruption, deletion, alteration or modification by any Person except, in each case of this clause (a), as has not had, and would not reasonably be expected to have, individually or in the aggregate, a Material Adverse Effect. All Credit Party Systems necessary to the operation of Credit Party’s business are operational in all material respects and have adequate backups and disaster recovery arrangements that are at least reasonable and at least consistent with, as protective as, and no less rigorous than, industry standards for companies and businesses of similar size in similar</w:t>
      </w:r>
    </w:p>
    <w:p>
      <w:pPr>
        <w:spacing w:after="0" w:line="9" w:lineRule="exact"/>
        <w:rPr>
          <w:sz w:val="20"/>
          <w:szCs w:val="20"/>
          <w:color w:val="auto"/>
        </w:rPr>
      </w:pPr>
    </w:p>
    <w:p>
      <w:pPr>
        <w:ind w:left="660" w:right="339"/>
        <w:spacing w:after="0" w:line="261" w:lineRule="auto"/>
        <w:rPr>
          <w:sz w:val="20"/>
          <w:szCs w:val="20"/>
          <w:color w:val="auto"/>
        </w:rPr>
      </w:pPr>
      <w:r>
        <w:rPr>
          <w:rFonts w:ascii="Arial" w:cs="Arial" w:eastAsia="Arial" w:hAnsi="Arial"/>
          <w:sz w:val="17"/>
          <w:szCs w:val="17"/>
          <w:color w:val="auto"/>
        </w:rPr>
        <w:t>industries. Without limiting the generality of the foregoing, each Credit Party and each of its Subsidiaries (x) takes commercially reasonable efforts to securely store applicable equipment and software that is material to its business, (y) utilizes industry-accepted virus and intrusion checking software and firewalls, and (z) limits access to Credit Party Data to only those employees and agents who need such access for the conduct of the business of the Credit Parties and their Subsidiaries.</w:t>
      </w:r>
    </w:p>
    <w:p>
      <w:pPr>
        <w:spacing w:after="0" w:line="58"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(b)  No Credit Party or any Subsidiary of any Credit Party has experienced any (i) security incidents, data breaches, intrusions or unauthorized access, use or compromise of any of the Credit Party Systems, (ii) unauthorized collection, access, use, processing, loss, compromise, interruption, deletion, modification or disclosure of any Credit Party Data or trade secrets of any Credit Party or any Subsidiary of any Credit Party or (iii) cyber, social engineering, spoofing, phishing, ransom, viral or other attack, theft or intrusion (all of the foregoing clauses (i), (ii) and (iii), “</w:t>
      </w:r>
      <w:r>
        <w:rPr>
          <w:rFonts w:ascii="Arial" w:cs="Arial" w:eastAsia="Arial" w:hAnsi="Arial"/>
          <w:sz w:val="18"/>
          <w:szCs w:val="18"/>
          <w:u w:val="single" w:color="auto"/>
          <w:color w:val="auto"/>
        </w:rPr>
        <w:t>Security Breaches</w:t>
      </w:r>
      <w:r>
        <w:rPr>
          <w:rFonts w:ascii="Arial" w:cs="Arial" w:eastAsia="Arial" w:hAnsi="Arial"/>
          <w:sz w:val="18"/>
          <w:szCs w:val="18"/>
          <w:color w:val="auto"/>
        </w:rPr>
        <w:t>”) that has allowed an unauthorized Person to access, copy, encrypt or otherwise use any Credit Party Data, in each case, which could reasonably be expected to cause a Material Adverse Effect. Each Credit Party and each of its Subsidiaries is in material compliance with all Requirements of Laws regarding the privacy or security of all Credit Party Data. Except as set forth on Schedule 5.33(b), no Credit Party or any Subsidiary of any Credit Party has received or is aware of any notice, allegation, complaint or other communication, and to the knowledge of the Credit Parties there is no pending investigation by any Governmental Authority or other Person regarding any actual or possible violation of any Requirements of Laws regarding the privacy or security of any Credit Party Data.</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6.  AFFIRMATIVE COVENANTS.</w:t>
      </w:r>
    </w:p>
    <w:p>
      <w:pPr>
        <w:spacing w:after="0" w:line="104" w:lineRule="exact"/>
        <w:rPr>
          <w:sz w:val="20"/>
          <w:szCs w:val="20"/>
          <w:color w:val="auto"/>
        </w:rPr>
      </w:pPr>
    </w:p>
    <w:p>
      <w:pPr>
        <w:ind w:left="300" w:right="659"/>
        <w:spacing w:after="0" w:line="253" w:lineRule="auto"/>
        <w:rPr>
          <w:sz w:val="20"/>
          <w:szCs w:val="20"/>
          <w:color w:val="auto"/>
        </w:rPr>
      </w:pPr>
      <w:r>
        <w:rPr>
          <w:rFonts w:ascii="Arial" w:cs="Arial" w:eastAsia="Arial" w:hAnsi="Arial"/>
          <w:sz w:val="18"/>
          <w:szCs w:val="18"/>
          <w:color w:val="auto"/>
        </w:rPr>
        <w:t>The Borrower covenants and agrees, so long as any Lender has any commitment to extend credit hereunder, or any of the Indebtedness (including any Prepayment Premium) remains outstanding and unpaid, that it will, and, as applicable, it will cause each of its Subsidiaries to:</w:t>
      </w:r>
    </w:p>
    <w:p>
      <w:pPr>
        <w:spacing w:after="0" w:line="61" w:lineRule="exact"/>
        <w:rPr>
          <w:sz w:val="20"/>
          <w:szCs w:val="20"/>
          <w:color w:val="auto"/>
        </w:rPr>
      </w:pPr>
    </w:p>
    <w:p>
      <w:pPr>
        <w:ind w:left="300" w:right="1019"/>
        <w:spacing w:after="0" w:line="27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Agent, in form and detail satisfactory to the Agent, with sufficient copies for each Lender, the following documents:</w:t>
      </w:r>
    </w:p>
    <w:p>
      <w:pPr>
        <w:spacing w:after="0" w:line="46" w:lineRule="exact"/>
        <w:rPr>
          <w:sz w:val="20"/>
          <w:szCs w:val="20"/>
          <w:color w:val="auto"/>
        </w:rPr>
      </w:pPr>
    </w:p>
    <w:p>
      <w:pPr>
        <w:ind w:left="660" w:right="379"/>
        <w:spacing w:after="0" w:line="237" w:lineRule="auto"/>
        <w:rPr>
          <w:sz w:val="20"/>
          <w:szCs w:val="20"/>
          <w:color w:val="auto"/>
        </w:rPr>
      </w:pPr>
      <w:r>
        <w:rPr>
          <w:rFonts w:ascii="Arial" w:cs="Arial" w:eastAsia="Arial" w:hAnsi="Arial"/>
          <w:sz w:val="18"/>
          <w:szCs w:val="18"/>
          <w:color w:val="auto"/>
        </w:rPr>
        <w:t>(a)  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81"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(b)  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w:t>
      </w:r>
    </w:p>
    <w:p>
      <w:pPr>
        <w:spacing w:after="0" w:line="77"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(c)  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Restatement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spacing w:after="0" w:line="78"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w:t>
      </w:r>
    </w:p>
    <w:p>
      <w:pPr>
        <w:spacing w:after="0" w:line="75"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Notwithstanding the foregoing, the obligations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may be satisfied with respect to financial information of the Borrower and its Consolidated Subsidiaries by furnishing Form 10-K or 10-Q of the Borrower,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information is in lieu of information required to be provided under </w:t>
      </w:r>
      <w:r>
        <w:rPr>
          <w:rFonts w:ascii="Arial" w:cs="Arial" w:eastAsia="Arial" w:hAnsi="Arial"/>
          <w:sz w:val="18"/>
          <w:szCs w:val="18"/>
          <w:u w:val="single" w:color="auto"/>
          <w:color w:val="auto"/>
        </w:rPr>
        <w:t>Section 6.1(a)</w:t>
      </w:r>
      <w:r>
        <w:rPr>
          <w:rFonts w:ascii="Arial" w:cs="Arial" w:eastAsia="Arial" w:hAnsi="Arial"/>
          <w:sz w:val="18"/>
          <w:szCs w:val="18"/>
          <w:color w:val="auto"/>
        </w:rPr>
        <w:t>,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75" w:lineRule="exact"/>
        <w:rPr>
          <w:sz w:val="20"/>
          <w:szCs w:val="20"/>
          <w:color w:val="auto"/>
        </w:rPr>
      </w:pPr>
    </w:p>
    <w:p>
      <w:pPr>
        <w:ind w:left="300" w:right="339"/>
        <w:spacing w:after="0" w:line="27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Agent, in form and detail acceptable to the Agent, with sufficient copies for each Lender, the following documents:</w:t>
      </w:r>
    </w:p>
    <w:p>
      <w:pPr>
        <w:spacing w:after="0" w:line="46"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(a)  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w:t>
      </w:r>
    </w:p>
    <w:p>
      <w:pPr>
        <w:spacing w:after="0" w:line="68"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(b)  Any financial reports, statements, press releases, other material information or written notices delivered to the Senior Agent, the Senior Lenders or the holders of the Subordinated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w:t>
      </w:r>
    </w:p>
    <w:p>
      <w:pPr>
        <w:spacing w:after="0" w:line="66" w:lineRule="exact"/>
        <w:rPr>
          <w:sz w:val="20"/>
          <w:szCs w:val="20"/>
          <w:color w:val="auto"/>
        </w:rPr>
      </w:pPr>
    </w:p>
    <w:p>
      <w:pPr>
        <w:ind w:left="660" w:right="399"/>
        <w:spacing w:after="0"/>
        <w:rPr>
          <w:sz w:val="20"/>
          <w:szCs w:val="20"/>
          <w:color w:val="auto"/>
        </w:rPr>
      </w:pPr>
      <w:r>
        <w:rPr>
          <w:rFonts w:ascii="Arial" w:cs="Arial" w:eastAsia="Arial" w:hAnsi="Arial"/>
          <w:sz w:val="18"/>
          <w:szCs w:val="18"/>
          <w:color w:val="auto"/>
        </w:rPr>
        <w:t>(c)  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spacing w:after="0" w:line="77" w:lineRule="exact"/>
        <w:rPr>
          <w:sz w:val="20"/>
          <w:szCs w:val="20"/>
          <w:color w:val="auto"/>
        </w:rPr>
      </w:pPr>
    </w:p>
    <w:p>
      <w:pPr>
        <w:ind w:left="660" w:right="419"/>
        <w:spacing w:after="0"/>
        <w:rPr>
          <w:sz w:val="20"/>
          <w:szCs w:val="20"/>
          <w:color w:val="auto"/>
        </w:rPr>
      </w:pPr>
      <w:r>
        <w:rPr>
          <w:rFonts w:ascii="Arial" w:cs="Arial" w:eastAsia="Arial" w:hAnsi="Arial"/>
          <w:sz w:val="18"/>
          <w:szCs w:val="18"/>
          <w:color w:val="auto"/>
        </w:rPr>
        <w:t>(d)  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spacing w:after="0" w:line="72"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(e)  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w:t>
      </w:r>
    </w:p>
    <w:p>
      <w:pPr>
        <w:spacing w:after="0" w:line="77" w:lineRule="exact"/>
        <w:rPr>
          <w:sz w:val="20"/>
          <w:szCs w:val="20"/>
          <w:color w:val="auto"/>
        </w:rPr>
      </w:pPr>
    </w:p>
    <w:p>
      <w:pPr>
        <w:ind w:left="660" w:right="479"/>
        <w:spacing w:after="0" w:line="271" w:lineRule="auto"/>
        <w:rPr>
          <w:sz w:val="20"/>
          <w:szCs w:val="20"/>
          <w:color w:val="auto"/>
        </w:rPr>
      </w:pPr>
      <w:r>
        <w:rPr>
          <w:rFonts w:ascii="Arial" w:cs="Arial" w:eastAsia="Arial" w:hAnsi="Arial"/>
          <w:sz w:val="18"/>
          <w:szCs w:val="18"/>
          <w:color w:val="auto"/>
        </w:rPr>
        <w:t xml:space="preserve">(f)  Promptly upon the Agent’s request, a report of the cash account balances of the Credit Parties, confirming the Credit Parties’ compliance with the covenant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and</w:t>
      </w:r>
    </w:p>
    <w:p>
      <w:pPr>
        <w:spacing w:after="0" w:line="46"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(g)  Such additional financial and/or other information as the Agent or any Lender may from time to time reasonably request, promptly following such request.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Payment of Taxes and Other Obligations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(a)  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spacing w:after="0" w:line="71" w:lineRule="exact"/>
        <w:rPr>
          <w:sz w:val="20"/>
          <w:szCs w:val="20"/>
          <w:color w:val="auto"/>
        </w:rPr>
      </w:pPr>
    </w:p>
    <w:p>
      <w:pPr>
        <w:ind w:left="660" w:right="439"/>
        <w:spacing w:after="0" w:line="242" w:lineRule="auto"/>
        <w:rPr>
          <w:sz w:val="20"/>
          <w:szCs w:val="20"/>
          <w:color w:val="auto"/>
        </w:rPr>
      </w:pPr>
      <w:r>
        <w:rPr>
          <w:rFonts w:ascii="Arial" w:cs="Arial" w:eastAsia="Arial" w:hAnsi="Arial"/>
          <w:sz w:val="18"/>
          <w:szCs w:val="18"/>
          <w:color w:val="auto"/>
        </w:rPr>
        <w:t>(b)  Pay, discharge or otherwise satisfy, at or before maturity or before they become delinquent, as the case may be, all of its material obligations (other than obligations described in clause (a)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Conduct of Business and Maintenance of Existence; Compliance with Laws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(a)  Continue to engage in their respective business and operations substantially as conducted immediately prior to the Restatement Date, except as otherwise permitted pursuant to Section 7.4 or as may be agreed by the Agent from time to time in its reasonable discretion;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379"/>
        <w:spacing w:after="0" w:line="253" w:lineRule="auto"/>
        <w:rPr>
          <w:sz w:val="20"/>
          <w:szCs w:val="20"/>
          <w:color w:val="auto"/>
        </w:rPr>
      </w:pPr>
      <w:r>
        <w:rPr>
          <w:rFonts w:ascii="Arial" w:cs="Arial" w:eastAsia="Arial" w:hAnsi="Arial"/>
          <w:sz w:val="18"/>
          <w:szCs w:val="18"/>
          <w:color w:val="auto"/>
        </w:rPr>
        <w:t>(b)  Preserve, renew and keep in full force and effect its existence and maintain its qualifications to do business in each jurisdiction where such qualifications are necessary for its operations, except as otherwise permitted pursuant to Section 7.4;</w:t>
      </w:r>
    </w:p>
    <w:p>
      <w:pPr>
        <w:spacing w:after="0" w:line="61"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(c)  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spacing w:after="0" w:line="80" w:lineRule="exact"/>
        <w:rPr>
          <w:sz w:val="20"/>
          <w:szCs w:val="20"/>
          <w:color w:val="auto"/>
        </w:rPr>
      </w:pPr>
    </w:p>
    <w:p>
      <w:pPr>
        <w:jc w:val="both"/>
        <w:ind w:left="660" w:right="399"/>
        <w:spacing w:after="0" w:line="253" w:lineRule="auto"/>
        <w:rPr>
          <w:sz w:val="20"/>
          <w:szCs w:val="20"/>
          <w:color w:val="auto"/>
        </w:rPr>
      </w:pPr>
      <w:r>
        <w:rPr>
          <w:rFonts w:ascii="Arial" w:cs="Arial" w:eastAsia="Arial" w:hAnsi="Arial"/>
          <w:sz w:val="18"/>
          <w:szCs w:val="18"/>
          <w:color w:val="auto"/>
        </w:rPr>
        <w:t>(d)  Preserve or renew all of its Intellectual Property, except to the extent such Intellectual Property is no longer used or useful to the business of the Credit Parties, based on Credit Parties’ reasonable business judgment;</w:t>
      </w:r>
    </w:p>
    <w:p>
      <w:pPr>
        <w:spacing w:after="0" w:line="61" w:lineRule="exact"/>
        <w:rPr>
          <w:sz w:val="20"/>
          <w:szCs w:val="20"/>
          <w:color w:val="auto"/>
        </w:rPr>
      </w:pPr>
    </w:p>
    <w:p>
      <w:pPr>
        <w:jc w:val="both"/>
        <w:ind w:left="660" w:right="659"/>
        <w:spacing w:after="0" w:line="253" w:lineRule="auto"/>
        <w:rPr>
          <w:sz w:val="20"/>
          <w:szCs w:val="20"/>
          <w:color w:val="auto"/>
        </w:rPr>
      </w:pPr>
      <w:r>
        <w:rPr>
          <w:rFonts w:ascii="Arial" w:cs="Arial" w:eastAsia="Arial" w:hAnsi="Arial"/>
          <w:sz w:val="18"/>
          <w:szCs w:val="18"/>
          <w:color w:val="auto"/>
        </w:rPr>
        <w:t>(e)  Comply with all Contractual Obligations and Requirements of Law, except to the extent that failure to comply therewith could not, either singly or in the aggregate, reasonably be expected to have a Material Adverse Effect; and</w:t>
      </w:r>
    </w:p>
    <w:p>
      <w:pPr>
        <w:spacing w:after="0" w:line="61"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(f)  (i)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Arial" w:cs="Arial" w:eastAsia="Arial" w:hAnsi="Arial"/>
          <w:sz w:val="18"/>
          <w:szCs w:val="18"/>
          <w:b w:val="1"/>
          <w:bCs w:val="1"/>
          <w:color w:val="auto"/>
        </w:rPr>
        <w:t>Order</w:t>
      </w:r>
      <w:r>
        <w:rPr>
          <w:rFonts w:ascii="Arial" w:cs="Arial" w:eastAsia="Arial" w:hAnsi="Arial"/>
          <w:sz w:val="18"/>
          <w:szCs w:val="18"/>
          <w:color w:val="auto"/>
        </w:rPr>
        <w:t>”),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spacing w:after="0" w:line="72"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Maintenance of Property; Insurance</w:t>
      </w:r>
      <w:r>
        <w:rPr>
          <w:rFonts w:ascii="Arial" w:cs="Arial" w:eastAsia="Arial" w:hAnsi="Arial"/>
          <w:sz w:val="17"/>
          <w:szCs w:val="17"/>
          <w:color w:val="auto"/>
        </w:rPr>
        <w:t>.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72"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Inspection of Property; Books and Records, Discussions</w:t>
      </w:r>
      <w:r>
        <w:rPr>
          <w:rFonts w:ascii="Arial" w:cs="Arial" w:eastAsia="Arial" w:hAnsi="Arial"/>
          <w:sz w:val="18"/>
          <w:szCs w:val="18"/>
          <w:color w:val="auto"/>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Notices</w:t>
      </w:r>
      <w:r>
        <w:rPr>
          <w:rFonts w:ascii="Arial" w:cs="Arial" w:eastAsia="Arial" w:hAnsi="Arial"/>
          <w:sz w:val="18"/>
          <w:szCs w:val="18"/>
          <w:color w:val="auto"/>
        </w:rPr>
        <w:t>. Give written notice to the Agent of:</w:t>
      </w:r>
    </w:p>
    <w:p>
      <w:pPr>
        <w:spacing w:after="0" w:line="104" w:lineRule="exact"/>
        <w:rPr>
          <w:sz w:val="20"/>
          <w:szCs w:val="20"/>
          <w:color w:val="auto"/>
        </w:rPr>
      </w:pPr>
    </w:p>
    <w:p>
      <w:pPr>
        <w:ind w:left="660" w:right="459"/>
        <w:spacing w:after="0" w:line="253" w:lineRule="auto"/>
        <w:rPr>
          <w:sz w:val="20"/>
          <w:szCs w:val="20"/>
          <w:color w:val="auto"/>
        </w:rPr>
      </w:pPr>
      <w:r>
        <w:rPr>
          <w:rFonts w:ascii="Arial" w:cs="Arial" w:eastAsia="Arial" w:hAnsi="Arial"/>
          <w:sz w:val="18"/>
          <w:szCs w:val="18"/>
          <w:color w:val="auto"/>
        </w:rPr>
        <w:t>(a)  as soon as possible, and in any event within 2 Business Days after the occurrence thereof, the occurrence of any Default or Event of Default of which any Credit Party has knowledge or the occurrence of any Reportable Compliance Event;</w:t>
      </w:r>
    </w:p>
    <w:p>
      <w:pPr>
        <w:spacing w:after="0" w:line="6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(b)  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w:t>
      </w:r>
    </w:p>
    <w:p>
      <w:pPr>
        <w:spacing w:after="0" w:line="77" w:lineRule="exact"/>
        <w:rPr>
          <w:sz w:val="20"/>
          <w:szCs w:val="20"/>
          <w:color w:val="auto"/>
        </w:rPr>
      </w:pPr>
    </w:p>
    <w:p>
      <w:pPr>
        <w:jc w:val="both"/>
        <w:ind w:left="660" w:right="499"/>
        <w:spacing w:after="0" w:line="253" w:lineRule="auto"/>
        <w:rPr>
          <w:sz w:val="20"/>
          <w:szCs w:val="20"/>
          <w:color w:val="auto"/>
        </w:rPr>
      </w:pPr>
      <w:r>
        <w:rPr>
          <w:rFonts w:ascii="Arial" w:cs="Arial" w:eastAsia="Arial" w:hAnsi="Arial"/>
          <w:sz w:val="18"/>
          <w:szCs w:val="18"/>
          <w:color w:val="auto"/>
        </w:rPr>
        <w:t>(c)  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spacing w:after="0" w:line="61" w:lineRule="exact"/>
        <w:rPr>
          <w:sz w:val="20"/>
          <w:szCs w:val="20"/>
          <w:color w:val="auto"/>
        </w:rPr>
      </w:pPr>
    </w:p>
    <w:p>
      <w:pPr>
        <w:ind w:left="660" w:right="439"/>
        <w:spacing w:after="0" w:line="244" w:lineRule="auto"/>
        <w:rPr>
          <w:sz w:val="20"/>
          <w:szCs w:val="20"/>
          <w:color w:val="auto"/>
        </w:rPr>
      </w:pPr>
      <w:r>
        <w:rPr>
          <w:rFonts w:ascii="Arial" w:cs="Arial" w:eastAsia="Arial" w:hAnsi="Arial"/>
          <w:sz w:val="18"/>
          <w:szCs w:val="18"/>
          <w:color w:val="auto"/>
        </w:rPr>
        <w:t>(d)  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spacing w:after="0" w:line="68" w:lineRule="exact"/>
        <w:rPr>
          <w:sz w:val="20"/>
          <w:szCs w:val="20"/>
          <w:color w:val="auto"/>
        </w:rPr>
      </w:pPr>
    </w:p>
    <w:p>
      <w:pPr>
        <w:jc w:val="both"/>
        <w:ind w:left="660" w:right="559"/>
        <w:spacing w:after="0" w:line="259" w:lineRule="auto"/>
        <w:rPr>
          <w:sz w:val="20"/>
          <w:szCs w:val="20"/>
          <w:color w:val="auto"/>
        </w:rPr>
      </w:pPr>
      <w:r>
        <w:rPr>
          <w:rFonts w:ascii="Arial" w:cs="Arial" w:eastAsia="Arial" w:hAnsi="Arial"/>
          <w:sz w:val="17"/>
          <w:szCs w:val="17"/>
          <w:color w:val="auto"/>
        </w:rPr>
        <w:t>(e)  (i) all jurisdictions in which the Borrower or any Guarantor proposes to become qualified after the Restatement Date to transact business, (ii) the acquisition or creation of any new Subsidiaries,</w:t>
      </w:r>
    </w:p>
    <w:p>
      <w:pPr>
        <w:spacing w:after="0" w:line="1" w:lineRule="exact"/>
        <w:rPr>
          <w:sz w:val="20"/>
          <w:szCs w:val="20"/>
          <w:color w:val="auto"/>
        </w:rPr>
      </w:pPr>
    </w:p>
    <w:p>
      <w:pPr>
        <w:ind w:left="660" w:right="459" w:hanging="8"/>
        <w:spacing w:after="0" w:line="242" w:lineRule="auto"/>
        <w:tabs>
          <w:tab w:leader="none" w:pos="9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material change after the Restatement Date in the authorized and issued Equity Interests of any Credit Party or any other material amendment to any Credit Party’s charter, by-laws or other organizational documents, such notice, in each case, to identify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w:t>
      </w:r>
    </w:p>
    <w:p>
      <w:pPr>
        <w:spacing w:after="0" w:line="66" w:lineRule="exact"/>
        <w:rPr>
          <w:sz w:val="20"/>
          <w:szCs w:val="20"/>
          <w:color w:val="auto"/>
        </w:rPr>
      </w:pPr>
    </w:p>
    <w:p>
      <w:pPr>
        <w:ind w:left="660" w:right="659"/>
        <w:spacing w:after="0" w:line="253" w:lineRule="auto"/>
        <w:rPr>
          <w:sz w:val="20"/>
          <w:szCs w:val="20"/>
          <w:color w:val="auto"/>
        </w:rPr>
      </w:pPr>
      <w:r>
        <w:rPr>
          <w:rFonts w:ascii="Arial" w:cs="Arial" w:eastAsia="Arial" w:hAnsi="Arial"/>
          <w:sz w:val="18"/>
          <w:szCs w:val="18"/>
          <w:color w:val="auto"/>
        </w:rPr>
        <w:t>(f)  material notices that any Credit Party executes or receives in connection with any Material Contract, as soon as possible and in any event within 5 Business Days after execution, receipt or delivery thereof, together with copies thereof;</w:t>
      </w:r>
    </w:p>
    <w:p>
      <w:pPr>
        <w:spacing w:after="0" w:line="61"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(g)  promptly after (i) the sending or filing thereof, copies of all statements, reports and other information any Credit Party sends to any holders of its Debt in excess of $100,000 or its securities or files with the SEC or any national (domestic or foreign) securities exchange, and (ii) the receipt thereof, a copy of any material notice any Credit Party receives from any holder of its Debt in excess of $100,000;</w:t>
      </w:r>
    </w:p>
    <w:p>
      <w:pPr>
        <w:spacing w:after="0" w:line="68" w:lineRule="exact"/>
        <w:rPr>
          <w:sz w:val="20"/>
          <w:szCs w:val="20"/>
          <w:color w:val="auto"/>
        </w:rPr>
      </w:pPr>
    </w:p>
    <w:p>
      <w:pPr>
        <w:ind w:left="660" w:right="539"/>
        <w:spacing w:after="0" w:line="247" w:lineRule="auto"/>
        <w:rPr>
          <w:sz w:val="20"/>
          <w:szCs w:val="20"/>
          <w:color w:val="auto"/>
        </w:rPr>
      </w:pPr>
      <w:r>
        <w:rPr>
          <w:rFonts w:ascii="Arial" w:cs="Arial" w:eastAsia="Arial" w:hAnsi="Arial"/>
          <w:sz w:val="18"/>
          <w:szCs w:val="18"/>
          <w:color w:val="auto"/>
        </w:rPr>
        <w:t>(h)  all material Security Breaches, all investigations by a Governmental Authority or other Person regarding an actual or possible material violation of any Applicable Laws regarding the privacy or security of any Credit Party Data, and all material notices, allegations, complaints, and other communications relating to any of the foregoing;</w:t>
      </w:r>
    </w:p>
    <w:p>
      <w:pPr>
        <w:spacing w:after="0" w:line="66" w:lineRule="exact"/>
        <w:rPr>
          <w:sz w:val="20"/>
          <w:szCs w:val="20"/>
          <w:color w:val="auto"/>
        </w:rPr>
      </w:pPr>
    </w:p>
    <w:p>
      <w:pPr>
        <w:ind w:left="660" w:right="499"/>
        <w:spacing w:after="0" w:line="242" w:lineRule="auto"/>
        <w:rPr>
          <w:sz w:val="20"/>
          <w:szCs w:val="20"/>
          <w:color w:val="auto"/>
        </w:rPr>
      </w:pPr>
      <w:r>
        <w:rPr>
          <w:rFonts w:ascii="Arial" w:cs="Arial" w:eastAsia="Arial" w:hAnsi="Arial"/>
          <w:sz w:val="18"/>
          <w:szCs w:val="18"/>
          <w:color w:val="auto"/>
        </w:rPr>
        <w:t>(i)  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w:t>
      </w:r>
    </w:p>
    <w:p>
      <w:pPr>
        <w:spacing w:after="0" w:line="71" w:lineRule="exact"/>
        <w:rPr>
          <w:sz w:val="20"/>
          <w:szCs w:val="20"/>
          <w:color w:val="auto"/>
        </w:rPr>
      </w:pPr>
    </w:p>
    <w:p>
      <w:pPr>
        <w:ind w:left="660" w:right="1059"/>
        <w:spacing w:after="0" w:line="259" w:lineRule="auto"/>
        <w:rPr>
          <w:sz w:val="20"/>
          <w:szCs w:val="20"/>
          <w:color w:val="auto"/>
        </w:rPr>
      </w:pPr>
      <w:r>
        <w:rPr>
          <w:rFonts w:ascii="Arial" w:cs="Arial" w:eastAsia="Arial" w:hAnsi="Arial"/>
          <w:sz w:val="17"/>
          <w:szCs w:val="17"/>
          <w:color w:val="auto"/>
        </w:rPr>
        <w:t>(j)  any default or event of default by any Person under any Senior Loan Document or any Subordinated Debt Document, concurrently with delivery or promptly, but in any event within</w:t>
      </w:r>
    </w:p>
    <w:p>
      <w:pPr>
        <w:spacing w:after="0" w:line="1" w:lineRule="exact"/>
        <w:rPr>
          <w:sz w:val="20"/>
          <w:szCs w:val="20"/>
          <w:color w:val="auto"/>
        </w:rPr>
      </w:pPr>
    </w:p>
    <w:p>
      <w:pPr>
        <w:ind w:left="660" w:right="379"/>
        <w:spacing w:after="0" w:line="250" w:lineRule="auto"/>
        <w:rPr>
          <w:sz w:val="20"/>
          <w:szCs w:val="20"/>
          <w:color w:val="auto"/>
        </w:rPr>
      </w:pPr>
      <w:r>
        <w:rPr>
          <w:rFonts w:ascii="Arial" w:cs="Arial" w:eastAsia="Arial" w:hAnsi="Arial"/>
          <w:sz w:val="18"/>
          <w:szCs w:val="18"/>
          <w:color w:val="auto"/>
        </w:rPr>
        <w:t>5 Business Days, after receipt (as the case may be) of any notice of default or event of default under the applicable document, as the case may be.</w:t>
      </w:r>
    </w:p>
    <w:p>
      <w:pPr>
        <w:spacing w:after="0" w:line="64" w:lineRule="exact"/>
        <w:rPr>
          <w:sz w:val="20"/>
          <w:szCs w:val="20"/>
          <w:color w:val="auto"/>
        </w:rPr>
      </w:pPr>
    </w:p>
    <w:p>
      <w:pPr>
        <w:ind w:left="660" w:right="299"/>
        <w:spacing w:after="0" w:line="247"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Borrower setting forth details of the occurrence referred to therein and, in the case of notices referred to in clauses (a), (b), (c), (d), (h) and (j) hereof stating what action the applicable Credit Party has taken or proposes to take with respect thereto.</w:t>
      </w:r>
    </w:p>
    <w:p>
      <w:pPr>
        <w:spacing w:after="0" w:line="6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Notwithstanding the foregoing, the obligations in this Section may be satisfied by disclosure in public filings of the Borrower filed with the SEC.</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Hazardous Material Laws</w:t>
      </w:r>
      <w:r>
        <w:rPr>
          <w:rFonts w:ascii="Arial" w:cs="Arial" w:eastAsia="Arial" w:hAnsi="Arial"/>
          <w:sz w:val="18"/>
          <w:szCs w:val="18"/>
          <w:color w:val="auto"/>
        </w:rPr>
        <w:t>.</w:t>
      </w:r>
    </w:p>
    <w:p>
      <w:pPr>
        <w:spacing w:after="0" w:line="104"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(a)  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spacing w:after="0" w:line="68"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(b)  (i)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spacing w:after="0" w:line="72" w:lineRule="exact"/>
        <w:rPr>
          <w:sz w:val="20"/>
          <w:szCs w:val="20"/>
          <w:color w:val="auto"/>
        </w:rPr>
      </w:pPr>
    </w:p>
    <w:p>
      <w:pPr>
        <w:ind w:left="660" w:right="799"/>
        <w:spacing w:after="0" w:line="301" w:lineRule="auto"/>
        <w:rPr>
          <w:sz w:val="20"/>
          <w:szCs w:val="20"/>
          <w:color w:val="auto"/>
        </w:rPr>
      </w:pPr>
      <w:r>
        <w:rPr>
          <w:rFonts w:ascii="Arial" w:cs="Arial" w:eastAsia="Arial" w:hAnsi="Arial"/>
          <w:sz w:val="17"/>
          <w:szCs w:val="17"/>
          <w:color w:val="auto"/>
        </w:rPr>
        <w:t>(c)  To the extent necessary to comply with Hazardous Material Laws, remediate or monitor contamination arising from a release or disposal of Hazardous Material, or undertake corrective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19"/>
        <w:spacing w:after="0" w:line="275" w:lineRule="auto"/>
        <w:rPr>
          <w:sz w:val="20"/>
          <w:szCs w:val="20"/>
          <w:color w:val="auto"/>
        </w:rPr>
      </w:pPr>
      <w:r>
        <w:rPr>
          <w:rFonts w:ascii="Arial" w:cs="Arial" w:eastAsia="Arial" w:hAnsi="Arial"/>
          <w:sz w:val="17"/>
          <w:szCs w:val="17"/>
          <w:color w:val="auto"/>
        </w:rPr>
        <w:t>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spacing w:after="0" w:line="44" w:lineRule="exact"/>
        <w:rPr>
          <w:sz w:val="20"/>
          <w:szCs w:val="20"/>
          <w:color w:val="auto"/>
        </w:rPr>
      </w:pPr>
    </w:p>
    <w:p>
      <w:pPr>
        <w:ind w:left="660" w:right="779"/>
        <w:spacing w:after="0" w:line="271" w:lineRule="auto"/>
        <w:rPr>
          <w:sz w:val="20"/>
          <w:szCs w:val="20"/>
          <w:color w:val="auto"/>
        </w:rPr>
      </w:pPr>
      <w:r>
        <w:rPr>
          <w:rFonts w:ascii="Arial" w:cs="Arial" w:eastAsia="Arial" w:hAnsi="Arial"/>
          <w:sz w:val="18"/>
          <w:szCs w:val="18"/>
          <w:color w:val="auto"/>
        </w:rPr>
        <w:t>(d)  Provide such information and certifications which the Agent or any Lender may reasonably request from time to time to evidence compliance with this Section 6.8.</w:t>
      </w:r>
    </w:p>
    <w:p>
      <w:pPr>
        <w:spacing w:after="0" w:line="46" w:lineRule="exact"/>
        <w:rPr>
          <w:sz w:val="20"/>
          <w:szCs w:val="20"/>
          <w:color w:val="auto"/>
        </w:rPr>
      </w:pPr>
    </w:p>
    <w:p>
      <w:pPr>
        <w:ind w:left="300" w:right="299"/>
        <w:spacing w:after="0" w:line="23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Board Observation Rights</w:t>
      </w:r>
      <w:r>
        <w:rPr>
          <w:rFonts w:ascii="Arial" w:cs="Arial" w:eastAsia="Arial" w:hAnsi="Arial"/>
          <w:sz w:val="18"/>
          <w:szCs w:val="18"/>
          <w:color w:val="auto"/>
        </w:rPr>
        <w:t>. (a) Each of STORY3 and Nexus shall be entitled to designate one observer and (b) CHS Investments shall be entitled to designate two observers (each such observer described in foregoing clauses (a) and (b), a “</w:t>
      </w:r>
      <w:r>
        <w:rPr>
          <w:rFonts w:ascii="Arial" w:cs="Arial" w:eastAsia="Arial" w:hAnsi="Arial"/>
          <w:sz w:val="18"/>
          <w:szCs w:val="18"/>
          <w:b w:val="1"/>
          <w:bCs w:val="1"/>
          <w:color w:val="auto"/>
        </w:rPr>
        <w:t>Board Observer</w:t>
      </w:r>
      <w:r>
        <w:rPr>
          <w:rFonts w:ascii="Arial" w:cs="Arial" w:eastAsia="Arial" w:hAnsi="Arial"/>
          <w:sz w:val="18"/>
          <w:szCs w:val="18"/>
          <w:color w:val="auto"/>
        </w:rPr>
        <w:t>”), in each case, to attend in person (or, only in the case of BOD Meetings that other board members or observers are permitted to attend by telephone, videoconference or other electronic means, by telephone, videoconference or such other electronic means) any regular or special meeting (a “</w:t>
      </w:r>
      <w:r>
        <w:rPr>
          <w:rFonts w:ascii="Arial" w:cs="Arial" w:eastAsia="Arial" w:hAnsi="Arial"/>
          <w:sz w:val="18"/>
          <w:szCs w:val="18"/>
          <w:b w:val="1"/>
          <w:bCs w:val="1"/>
          <w:color w:val="auto"/>
        </w:rPr>
        <w:t>BOD Meeting</w:t>
      </w:r>
      <w:r>
        <w:rPr>
          <w:rFonts w:ascii="Arial" w:cs="Arial" w:eastAsia="Arial" w:hAnsi="Arial"/>
          <w:sz w:val="18"/>
          <w:szCs w:val="18"/>
          <w:color w:val="auto"/>
        </w:rPr>
        <w:t xml:space="preserve">”) of the board of directors of the Borrower (or any relevant committees thereof), except that no Board Observer shall be entitled to vote on matters presented to or discussed by the board of directors (or any relevant committee thereof) of the Borrower at any such meetings. Each Board Observer shall be timely notified of the time and place of any BOD Meetings and will be given written notice (such notice to be delivered to the Board Observers contemporaneously with delivery of such notice to the other board members) of all proposed actions to be taken by the board of directors (or any relevant committee thereof) of the Borrower at such meeting as if such Board Observer were a member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in this Section 6.9, the Board Observers may be excluded from meetings (or a portion thereof) and materials provided to the Board Observers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any Board Observer is excluded from any meeting or portion thereof or is delivered any redacted information or materials related thereto, the Borrower shall promptly provide to such Board Observer a general description, which shall be true and correct in all material respects, of the matters discussed during such meeting or portion thereof at which such Board Observer was excluded and any such redacted information or materials;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Observers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videoconference or otherwise), in addition to copies of the records of the proceedings or minutes of such meeting, when provided to the members, and the Board Observers shall keep such materials and information confidential in accordance with Section 12.10. Each Board Observer shall be identified by CHS Investments, STORY3 or Nexus, as applicable, and consented to by the Borrower (such consent not to be unreasonably delayed or withheld), and each of CHS Investments, STORY3 and Nexus shall have the right to replace its Board Observer(s) at any time subject to consent by the Borrower (such consent not to be unreasonably delayed or withheld). The Borrower shall reimburse each Board Observer for all reasonable out-of-pocket costs and expenses incurred in connection with its participation in any such BOD Meeting.</w:t>
      </w:r>
    </w:p>
    <w:p>
      <w:pPr>
        <w:spacing w:after="0" w:line="101" w:lineRule="exact"/>
        <w:rPr>
          <w:sz w:val="20"/>
          <w:szCs w:val="20"/>
          <w:color w:val="auto"/>
        </w:rPr>
      </w:pPr>
    </w:p>
    <w:p>
      <w:pPr>
        <w:ind w:left="300" w:right="579"/>
        <w:spacing w:after="0" w:line="25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Governmental and Other Approvals</w:t>
      </w:r>
      <w:r>
        <w:rPr>
          <w:rFonts w:ascii="Arial" w:cs="Arial" w:eastAsia="Arial" w:hAnsi="Arial"/>
          <w:sz w:val="18"/>
          <w:szCs w:val="18"/>
          <w:color w:val="auto"/>
        </w:rPr>
        <w:t>. Apply for, obtain and/or maintain in effect, as applicable, all authorizations, consents, approvals, licenses, qualifications, exemptions, filings, declarations and registrations (whether with any court, governmental agency, regulatory authority,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Compliance with ERISA; ERISA Notices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44" w:lineRule="auto"/>
        <w:rPr>
          <w:sz w:val="20"/>
          <w:szCs w:val="20"/>
          <w:color w:val="auto"/>
        </w:rPr>
      </w:pPr>
      <w:r>
        <w:rPr>
          <w:rFonts w:ascii="Arial" w:cs="Arial" w:eastAsia="Arial" w:hAnsi="Arial"/>
          <w:sz w:val="18"/>
          <w:szCs w:val="18"/>
          <w:color w:val="auto"/>
        </w:rPr>
        <w:t>(a)  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individually or in the aggregate, reasonably be expected to have a Material Adverse Effect.</w:t>
      </w:r>
    </w:p>
    <w:p>
      <w:pPr>
        <w:spacing w:after="0" w:line="68" w:lineRule="exact"/>
        <w:rPr>
          <w:sz w:val="20"/>
          <w:szCs w:val="20"/>
          <w:color w:val="auto"/>
        </w:rPr>
      </w:pPr>
    </w:p>
    <w:p>
      <w:pPr>
        <w:ind w:left="660" w:right="579"/>
        <w:spacing w:after="0" w:line="244" w:lineRule="auto"/>
        <w:rPr>
          <w:sz w:val="20"/>
          <w:szCs w:val="20"/>
          <w:color w:val="auto"/>
        </w:rPr>
      </w:pPr>
      <w:r>
        <w:rPr>
          <w:rFonts w:ascii="Arial" w:cs="Arial" w:eastAsia="Arial" w:hAnsi="Arial"/>
          <w:sz w:val="18"/>
          <w:szCs w:val="18"/>
          <w:color w:val="auto"/>
        </w:rPr>
        <w:t>(b)  Promptly notify the Agent in writing if any ERISA Event or Foreign Benefit Event occurs, or is reasonably expected to occur, to the extent that such ERISA Event or Foreign Benefit Event could reasonably be expected to have a Material Adverse Effect when taken either individually or in the aggregate with all other such ERISA Events or Foreign Benefit Events for which liability could be reasonably expected to occur.</w:t>
      </w:r>
    </w:p>
    <w:p>
      <w:pPr>
        <w:spacing w:after="0" w:line="68" w:lineRule="exact"/>
        <w:rPr>
          <w:sz w:val="20"/>
          <w:szCs w:val="20"/>
          <w:color w:val="auto"/>
        </w:rPr>
      </w:pPr>
    </w:p>
    <w:p>
      <w:pPr>
        <w:ind w:left="300" w:right="1119"/>
        <w:spacing w:after="0" w:line="271"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Defense of Collateral</w:t>
      </w:r>
      <w:r>
        <w:rPr>
          <w:rFonts w:ascii="Arial" w:cs="Arial" w:eastAsia="Arial" w:hAnsi="Arial"/>
          <w:sz w:val="18"/>
          <w:szCs w:val="18"/>
          <w:color w:val="auto"/>
        </w:rPr>
        <w:t>. Defend the Collateral from any Liens other than Liens permitted by Section 7.2.</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Future Subsidiaries; Additional Collateral</w:t>
      </w:r>
      <w:r>
        <w:rPr>
          <w:rFonts w:ascii="Arial" w:cs="Arial" w:eastAsia="Arial" w:hAnsi="Arial"/>
          <w:sz w:val="18"/>
          <w:szCs w:val="18"/>
          <w:color w:val="auto"/>
        </w:rPr>
        <w:t>.</w:t>
      </w:r>
    </w:p>
    <w:p>
      <w:pPr>
        <w:spacing w:after="0" w:line="104"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(a)  With respect to each Person which becomes a (i) Domestic Subsidiary of the Borrower (directly or indirectly) subsequent to the Restatement Date, whether by Permitted Acquisition or otherwise, cause such new Domestic Subsidiary or (ii) Foreign Subsidiary (including any CFC) of the Borrower (directly or indirectly) subsequent to the Restatement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w:t>
      </w:r>
    </w:p>
    <w:p>
      <w:pPr>
        <w:spacing w:after="0" w:line="72" w:lineRule="exact"/>
        <w:rPr>
          <w:sz w:val="20"/>
          <w:szCs w:val="20"/>
          <w:color w:val="auto"/>
        </w:rPr>
      </w:pPr>
    </w:p>
    <w:p>
      <w:pPr>
        <w:ind w:left="1020" w:right="339"/>
        <w:spacing w:after="0" w:line="247" w:lineRule="auto"/>
        <w:rPr>
          <w:sz w:val="20"/>
          <w:szCs w:val="20"/>
          <w:color w:val="auto"/>
        </w:rPr>
      </w:pPr>
      <w:r>
        <w:rPr>
          <w:rFonts w:ascii="Arial" w:cs="Arial" w:eastAsia="Arial" w:hAnsi="Arial"/>
          <w:sz w:val="18"/>
          <w:szCs w:val="18"/>
          <w:color w:val="auto"/>
        </w:rPr>
        <w:t>(i)  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spacing w:after="0" w:line="66" w:lineRule="exact"/>
        <w:rPr>
          <w:sz w:val="20"/>
          <w:szCs w:val="20"/>
          <w:color w:val="auto"/>
        </w:rPr>
      </w:pPr>
    </w:p>
    <w:p>
      <w:pPr>
        <w:ind w:left="1020" w:right="299"/>
        <w:spacing w:after="0"/>
        <w:rPr>
          <w:sz w:val="20"/>
          <w:szCs w:val="20"/>
          <w:color w:val="auto"/>
        </w:rPr>
      </w:pPr>
      <w:r>
        <w:rPr>
          <w:rFonts w:ascii="Arial" w:cs="Arial" w:eastAsia="Arial" w:hAnsi="Arial"/>
          <w:sz w:val="18"/>
          <w:szCs w:val="18"/>
          <w:color w:val="auto"/>
        </w:rPr>
        <w:t>(ii)  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spacing w:after="0" w:line="77" w:lineRule="exact"/>
        <w:rPr>
          <w:sz w:val="20"/>
          <w:szCs w:val="20"/>
          <w:color w:val="auto"/>
        </w:rPr>
      </w:pPr>
    </w:p>
    <w:p>
      <w:pPr>
        <w:ind w:left="1020" w:right="379"/>
        <w:spacing w:after="0" w:line="253" w:lineRule="auto"/>
        <w:rPr>
          <w:sz w:val="20"/>
          <w:szCs w:val="20"/>
          <w:color w:val="auto"/>
        </w:rPr>
      </w:pPr>
      <w:r>
        <w:rPr>
          <w:rFonts w:ascii="Arial" w:cs="Arial" w:eastAsia="Arial" w:hAnsi="Arial"/>
          <w:sz w:val="18"/>
          <w:szCs w:val="18"/>
          <w:color w:val="auto"/>
        </w:rPr>
        <w:t>(iii)  within the time period specified in and to the extent required under clause (c) of this Section 6.13, a Mortgage, Collateral Access Agreements and/or other documents required to be delivered in connection therewith;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(b)  With respect to the Equity Interests of each Person which becomes (whether by Permitted Acquisition or otherwise) (i) a Domestic Subsidiary or a Foreign Subsidiary which becomes (or is required to become) a Guarantor subsequent to the Restatement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Restatement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w:t>
      </w:r>
    </w:p>
    <w:p>
      <w:pPr>
        <w:spacing w:after="0" w:line="82" w:lineRule="exact"/>
        <w:rPr>
          <w:sz w:val="20"/>
          <w:szCs w:val="20"/>
          <w:color w:val="auto"/>
        </w:rPr>
      </w:pPr>
    </w:p>
    <w:p>
      <w:pPr>
        <w:ind w:left="660" w:right="339"/>
        <w:spacing w:after="0" w:line="250" w:lineRule="auto"/>
        <w:rPr>
          <w:sz w:val="20"/>
          <w:szCs w:val="20"/>
          <w:color w:val="auto"/>
        </w:rPr>
      </w:pPr>
      <w:r>
        <w:rPr>
          <w:rFonts w:ascii="Arial" w:cs="Arial" w:eastAsia="Arial" w:hAnsi="Arial"/>
          <w:sz w:val="17"/>
          <w:szCs w:val="17"/>
          <w:color w:val="auto"/>
        </w:rPr>
        <w:t>(c)  (i) With respect to the acquisition of a fee interest in real property by the Borrower or any Guarantor after the Restatement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Restatement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w:t>
      </w:r>
    </w:p>
    <w:p>
      <w:pPr>
        <w:ind w:left="660" w:right="299" w:hanging="8"/>
        <w:spacing w:after="0" w:line="236" w:lineRule="auto"/>
        <w:tabs>
          <w:tab w:leader="none" w:pos="9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the acquisition of any other leasehold interest in real property by the Borrower or any Guarantor after the Restatement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spacing w:after="0" w:line="71"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Accounts</w:t>
      </w:r>
      <w:r>
        <w:rPr>
          <w:rFonts w:ascii="Arial" w:cs="Arial" w:eastAsia="Arial" w:hAnsi="Arial"/>
          <w:sz w:val="18"/>
          <w:szCs w:val="18"/>
          <w:color w:val="auto"/>
        </w:rPr>
        <w:t>. All deposit accounts and securities accounts of the Borrower and the Guarantors (other than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and the Guarantors into an account of the Borrower or Guarantors. The Borrower and the Guarantors shall not maintain cash or other amounts in any deposit account or securities account, unless the Agent shall have received an Account Control Agreement in respect of each such account (other than the Excluded Accounts). Subject to the terms of the Specified Subordination Agreement, if an Event of Default has occurred and is continuing, all amounts received in such accounts shall, if so directed by the Agent, be wired each Business Day into the Agent’s Account.</w:t>
      </w:r>
    </w:p>
    <w:p>
      <w:pPr>
        <w:spacing w:after="0" w:line="7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spacing w:after="0" w:line="72"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or otherwise protect against infringements of the Trademarks, Patents and Copyrights or misappropriation of Trade Secrets owned by the Borrower and promptly advise the Agent in writing of material infringements or misappropriations detected and (iii) not allow any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spacing w:after="0" w:line="81" w:lineRule="exact"/>
        <w:rPr>
          <w:sz w:val="20"/>
          <w:szCs w:val="20"/>
          <w:color w:val="auto"/>
        </w:rPr>
      </w:pPr>
    </w:p>
    <w:p>
      <w:pPr>
        <w:ind w:left="300" w:right="499"/>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Consent of Inbound Licensors</w:t>
      </w:r>
      <w:r>
        <w:rPr>
          <w:rFonts w:ascii="Arial" w:cs="Arial" w:eastAsia="Arial" w:hAnsi="Arial"/>
          <w:sz w:val="18"/>
          <w:szCs w:val="18"/>
          <w:color w:val="auto"/>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spacing w:after="0" w:line="77" w:lineRule="exact"/>
        <w:rPr>
          <w:sz w:val="20"/>
          <w:szCs w:val="20"/>
          <w:color w:val="auto"/>
        </w:rPr>
      </w:pPr>
    </w:p>
    <w:p>
      <w:pPr>
        <w:ind w:left="300" w:right="359"/>
        <w:spacing w:after="0" w:line="251"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Anti-Terrorism</w:t>
      </w:r>
      <w:r>
        <w:rPr>
          <w:rFonts w:ascii="Arial" w:cs="Arial" w:eastAsia="Arial" w:hAnsi="Arial"/>
          <w:sz w:val="17"/>
          <w:szCs w:val="17"/>
          <w:color w:val="auto"/>
        </w:rPr>
        <w:t>.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w:t>
      </w:r>
    </w:p>
    <w:p>
      <w:pPr>
        <w:spacing w:after="0" w:line="4" w:lineRule="exact"/>
        <w:rPr>
          <w:sz w:val="20"/>
          <w:szCs w:val="20"/>
          <w:color w:val="auto"/>
        </w:rPr>
      </w:pPr>
    </w:p>
    <w:p>
      <w:pPr>
        <w:ind w:left="300" w:right="339" w:hanging="8"/>
        <w:spacing w:after="0" w:line="238"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Further Assurances and Information</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(a)  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spacing w:after="0" w:line="77" w:lineRule="exact"/>
        <w:rPr>
          <w:sz w:val="20"/>
          <w:szCs w:val="20"/>
          <w:color w:val="auto"/>
        </w:rPr>
      </w:pPr>
    </w:p>
    <w:p>
      <w:pPr>
        <w:ind w:left="660" w:right="659"/>
        <w:spacing w:after="0" w:line="247" w:lineRule="auto"/>
        <w:rPr>
          <w:sz w:val="20"/>
          <w:szCs w:val="20"/>
          <w:color w:val="auto"/>
        </w:rPr>
      </w:pPr>
      <w:r>
        <w:rPr>
          <w:rFonts w:ascii="Arial" w:cs="Arial" w:eastAsia="Arial" w:hAnsi="Arial"/>
          <w:sz w:val="18"/>
          <w:szCs w:val="18"/>
          <w:color w:val="auto"/>
        </w:rPr>
        <w:t>(b)  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spacing w:after="0" w:line="66" w:lineRule="exact"/>
        <w:rPr>
          <w:sz w:val="20"/>
          <w:szCs w:val="20"/>
          <w:color w:val="auto"/>
        </w:rPr>
      </w:pPr>
    </w:p>
    <w:p>
      <w:pPr>
        <w:ind w:left="660" w:right="479"/>
        <w:spacing w:after="0" w:line="253" w:lineRule="auto"/>
        <w:rPr>
          <w:sz w:val="20"/>
          <w:szCs w:val="20"/>
          <w:color w:val="auto"/>
        </w:rPr>
      </w:pPr>
      <w:r>
        <w:rPr>
          <w:rFonts w:ascii="Arial" w:cs="Arial" w:eastAsia="Arial" w:hAnsi="Arial"/>
          <w:sz w:val="18"/>
          <w:szCs w:val="18"/>
          <w:color w:val="auto"/>
        </w:rPr>
        <w:t>(c)  Provide the Agent and the Lenders with any other information required by Section 326 of the USA Patriot Act or necessary for the Agent and the Lenders to verify the identity of any Credit Party as required by Section 326 of the USA Patriot Act.</w:t>
      </w:r>
    </w:p>
    <w:p>
      <w:pPr>
        <w:spacing w:after="0" w:line="61"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(d)  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7.   NEGATIVE COVENANTS.</w:t>
      </w:r>
    </w:p>
    <w:p>
      <w:pPr>
        <w:spacing w:after="0" w:line="104" w:lineRule="exact"/>
        <w:rPr>
          <w:sz w:val="20"/>
          <w:szCs w:val="20"/>
          <w:color w:val="auto"/>
        </w:rPr>
      </w:pPr>
    </w:p>
    <w:p>
      <w:pPr>
        <w:jc w:val="both"/>
        <w:ind w:left="300" w:right="599"/>
        <w:spacing w:after="0" w:line="253" w:lineRule="auto"/>
        <w:rPr>
          <w:sz w:val="20"/>
          <w:szCs w:val="20"/>
          <w:color w:val="auto"/>
        </w:rPr>
      </w:pPr>
      <w:r>
        <w:rPr>
          <w:rFonts w:ascii="Arial" w:cs="Arial" w:eastAsia="Arial" w:hAnsi="Arial"/>
          <w:sz w:val="18"/>
          <w:szCs w:val="18"/>
          <w:color w:val="auto"/>
        </w:rPr>
        <w:t>The Borrower covenants and agrees that, so long as any Lender has any commitment to extend credit hereunder, or any of the Indebtedness (including any Prepayment Premium) remains outstanding and unpaid, it will not, and, as applicable, it will not permit any of its Subsidiaries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Limitation on Debt</w:t>
      </w:r>
      <w:r>
        <w:rPr>
          <w:rFonts w:ascii="Arial" w:cs="Arial" w:eastAsia="Arial" w:hAnsi="Arial"/>
          <w:sz w:val="18"/>
          <w:szCs w:val="18"/>
          <w:color w:val="auto"/>
        </w:rPr>
        <w:t>. Create, incur, assume or suffer to exist any Debt, except: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Indebtedness of any Credit Party to the Agent or any Lender;</w:t>
      </w:r>
    </w:p>
    <w:p>
      <w:pPr>
        <w:spacing w:after="0" w:line="104"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(b)  any Debt existing on the Restatement Date and set forth in Schedule 7.1 attached hereto and any Permitted Refinancing Debt in respect of such Debt;</w:t>
      </w:r>
    </w:p>
    <w:p>
      <w:pPr>
        <w:spacing w:after="0" w:line="46"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(c)  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$10,000,000;</w:t>
      </w:r>
    </w:p>
    <w:p>
      <w:pPr>
        <w:spacing w:after="0" w:line="72" w:lineRule="exact"/>
        <w:rPr>
          <w:sz w:val="20"/>
          <w:szCs w:val="20"/>
          <w:color w:val="auto"/>
        </w:rPr>
      </w:pPr>
    </w:p>
    <w:p>
      <w:pPr>
        <w:jc w:val="both"/>
        <w:ind w:left="660" w:right="779"/>
        <w:spacing w:after="0" w:line="253" w:lineRule="auto"/>
        <w:rPr>
          <w:sz w:val="20"/>
          <w:szCs w:val="20"/>
          <w:color w:val="auto"/>
        </w:rPr>
      </w:pPr>
      <w:r>
        <w:rPr>
          <w:rFonts w:ascii="Arial" w:cs="Arial" w:eastAsia="Arial" w:hAnsi="Arial"/>
          <w:sz w:val="18"/>
          <w:szCs w:val="18"/>
          <w:color w:val="auto"/>
        </w:rPr>
        <w:t>(d)  the Debt of the Credit Parties under the Senior Loan Documents in the aggregate principal amount not to exceed $30,000,000 so long as such Debt and all other obligations of the Credit Parties in connection therewith are subject to the Specified Subordination Agreement;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Subordinated Debt;</w:t>
      </w:r>
    </w:p>
    <w:p>
      <w:pPr>
        <w:spacing w:after="0" w:line="104"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(f)  Debt under any Hedging Transactions, provided that such transaction is entered into for risk management purposes and not for speculative purposes;</w:t>
      </w:r>
    </w:p>
    <w:p>
      <w:pPr>
        <w:spacing w:after="0" w:line="46"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(g)  Debt arising from judgments or decrees not deemed to be a Default or Event of Default under Section 8.1(g);</w:t>
      </w:r>
    </w:p>
    <w:p>
      <w:pPr>
        <w:spacing w:after="0" w:line="46" w:lineRule="exact"/>
        <w:rPr>
          <w:sz w:val="20"/>
          <w:szCs w:val="20"/>
          <w:color w:val="auto"/>
        </w:rPr>
      </w:pPr>
    </w:p>
    <w:p>
      <w:pPr>
        <w:ind w:left="660" w:right="1359"/>
        <w:spacing w:after="0" w:line="271" w:lineRule="auto"/>
        <w:rPr>
          <w:sz w:val="20"/>
          <w:szCs w:val="20"/>
          <w:color w:val="auto"/>
        </w:rPr>
      </w:pPr>
      <w:r>
        <w:rPr>
          <w:rFonts w:ascii="Arial" w:cs="Arial" w:eastAsia="Arial" w:hAnsi="Arial"/>
          <w:sz w:val="18"/>
          <w:szCs w:val="18"/>
          <w:color w:val="auto"/>
        </w:rPr>
        <w:t>(h)  Debt owing to a Person that is a Credit Party, but only to the extent permitted under Section 7.6(d) or 7.6(m);</w:t>
      </w:r>
    </w:p>
    <w:p>
      <w:pPr>
        <w:spacing w:after="0" w:line="46"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(i)  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spacing w:after="0" w:line="61"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 xml:space="preserve">(j)  reimbursement obligations with respect to Cash Secured L/Cs;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the aggregate face amount of all Cash Secured L/Cs shall not exceed $15,000,000 at any time; and</w:t>
      </w:r>
    </w:p>
    <w:p>
      <w:pPr>
        <w:spacing w:after="0" w:line="46"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(k)  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spacing w:after="0" w:line="6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Permitted Liens;</w:t>
      </w:r>
    </w:p>
    <w:p>
      <w:pPr>
        <w:spacing w:after="0" w:line="104" w:lineRule="exact"/>
        <w:rPr>
          <w:sz w:val="20"/>
          <w:szCs w:val="20"/>
          <w:color w:val="auto"/>
        </w:rPr>
      </w:pPr>
    </w:p>
    <w:p>
      <w:pPr>
        <w:ind w:left="660" w:right="479"/>
        <w:spacing w:after="0"/>
        <w:rPr>
          <w:sz w:val="20"/>
          <w:szCs w:val="20"/>
          <w:color w:val="auto"/>
        </w:rPr>
      </w:pPr>
      <w:r>
        <w:rPr>
          <w:rFonts w:ascii="Arial" w:cs="Arial" w:eastAsia="Arial" w:hAnsi="Arial"/>
          <w:sz w:val="18"/>
          <w:szCs w:val="18"/>
          <w:color w:val="auto"/>
        </w:rPr>
        <w:t>(b)  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75" w:lineRule="auto"/>
        <w:rPr>
          <w:sz w:val="20"/>
          <w:szCs w:val="20"/>
          <w:color w:val="auto"/>
        </w:rPr>
      </w:pPr>
      <w:r>
        <w:rPr>
          <w:rFonts w:ascii="Arial" w:cs="Arial" w:eastAsia="Arial" w:hAnsi="Arial"/>
          <w:sz w:val="17"/>
          <w:szCs w:val="17"/>
          <w:color w:val="auto"/>
        </w:rPr>
        <w:t>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Liens created pursuant to the Loan Documents;</w:t>
      </w:r>
    </w:p>
    <w:p>
      <w:pPr>
        <w:spacing w:after="0" w:line="104" w:lineRule="exact"/>
        <w:rPr>
          <w:sz w:val="20"/>
          <w:szCs w:val="20"/>
          <w:color w:val="auto"/>
        </w:rPr>
      </w:pPr>
    </w:p>
    <w:p>
      <w:pPr>
        <w:jc w:val="both"/>
        <w:ind w:left="660" w:right="639"/>
        <w:spacing w:after="0" w:line="253" w:lineRule="auto"/>
        <w:rPr>
          <w:sz w:val="20"/>
          <w:szCs w:val="20"/>
          <w:color w:val="auto"/>
        </w:rPr>
      </w:pPr>
      <w:r>
        <w:rPr>
          <w:rFonts w:ascii="Arial" w:cs="Arial" w:eastAsia="Arial" w:hAnsi="Arial"/>
          <w:sz w:val="18"/>
          <w:szCs w:val="18"/>
          <w:color w:val="auto"/>
        </w:rPr>
        <w:t>(d)  Liens on the Collateral securing the Senior Debt permitted by Section 7.1(d) so long as such Liens and all obligations of the Credit Parties in connection therewith are subject to the Specified Subordination Agreement;</w:t>
      </w:r>
    </w:p>
    <w:p>
      <w:pPr>
        <w:spacing w:after="0" w:line="61"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(e)  other Liens, existing on the Restatement Date and set forth on Schedule 7.2; provided, that any such Lien shall only secure the Debt that it secures on the Restatement Date and any Permitted Refinancing Debt in respect thereof;</w:t>
      </w:r>
    </w:p>
    <w:p>
      <w:pPr>
        <w:spacing w:after="0" w:line="61"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(f)  cash collateral and cash on deposit in deposit accounts securing the Cash Secured L/Cs constituting Debt permitted by Section 7.1(j) (each, an “</w:t>
      </w:r>
      <w:r>
        <w:rPr>
          <w:rFonts w:ascii="Arial" w:cs="Arial" w:eastAsia="Arial" w:hAnsi="Arial"/>
          <w:sz w:val="18"/>
          <w:szCs w:val="18"/>
          <w:b w:val="1"/>
          <w:bCs w:val="1"/>
          <w:color w:val="auto"/>
        </w:rPr>
        <w:t>Excluded L/C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amount of such cash collateral and cash in Excluded L/C Accounts does not exceed 105% of the face amount of the Cash Secured L/Cs; and</w:t>
      </w:r>
    </w:p>
    <w:p>
      <w:pPr>
        <w:spacing w:after="0" w:line="66" w:lineRule="exact"/>
        <w:rPr>
          <w:sz w:val="20"/>
          <w:szCs w:val="20"/>
          <w:color w:val="auto"/>
        </w:rPr>
      </w:pPr>
    </w:p>
    <w:p>
      <w:pPr>
        <w:jc w:val="both"/>
        <w:ind w:left="660" w:right="319"/>
        <w:spacing w:after="0" w:line="247" w:lineRule="auto"/>
        <w:rPr>
          <w:sz w:val="20"/>
          <w:szCs w:val="20"/>
          <w:color w:val="auto"/>
        </w:rPr>
      </w:pPr>
      <w:r>
        <w:rPr>
          <w:rFonts w:ascii="Arial" w:cs="Arial" w:eastAsia="Arial" w:hAnsi="Arial"/>
          <w:sz w:val="18"/>
          <w:szCs w:val="18"/>
          <w:color w:val="auto"/>
        </w:rPr>
        <w:t>(g)  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spacing w:after="0" w:line="66"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spacing w:after="0" w:line="66"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Material Assets</w:t>
      </w:r>
      <w:r>
        <w:rPr>
          <w:rFonts w:ascii="Arial" w:cs="Arial" w:eastAsia="Arial" w:hAnsi="Arial"/>
          <w:sz w:val="18"/>
          <w:szCs w:val="18"/>
          <w:color w:val="auto"/>
        </w:rPr>
        <w:t>. Fail to cause the Borrower or a Guarantor to hold, acquire, develop, own and possess any asset that is material to the business of the Borrower and its Subsidiaries, including, without limitation, material Intellectual Property, material algorithms, material customer lists, material Software source code (or portions thereof) and, other than in the ordinary course, other material Software; provided, that, Rent the Runway Limited may develop and use on a non-exclusive basis Intellectual Property of the Borrower so long as such Intellectual Property is solely used to fulfill its obligations to Borrower pursuant to the Intercompany License Agreement as of the Restatement Date.</w:t>
      </w:r>
    </w:p>
    <w:p>
      <w:pPr>
        <w:spacing w:after="0" w:line="77"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Limitation on Mergers, Dissolution or Sale of Assets</w:t>
      </w:r>
      <w:r>
        <w:rPr>
          <w:rFonts w:ascii="Arial" w:cs="Arial" w:eastAsia="Arial" w:hAnsi="Arial"/>
          <w:sz w:val="18"/>
          <w:szCs w:val="18"/>
          <w:color w:val="auto"/>
        </w:rPr>
        <w:t>. Merge, dissolve, liquidate or consolidate with or into another Person (or agree to do any of the foregoing) or make any Asset Sale or enter into any agreement to make any Asset Sale except: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Inventory leased or sold in the ordinary course of business;</w:t>
      </w:r>
    </w:p>
    <w:p>
      <w:pPr>
        <w:spacing w:after="0" w:line="104" w:lineRule="exact"/>
        <w:rPr>
          <w:sz w:val="20"/>
          <w:szCs w:val="20"/>
          <w:color w:val="auto"/>
        </w:rPr>
      </w:pPr>
    </w:p>
    <w:p>
      <w:pPr>
        <w:ind w:left="660" w:right="419"/>
        <w:spacing w:after="0" w:line="242" w:lineRule="auto"/>
        <w:rPr>
          <w:sz w:val="20"/>
          <w:szCs w:val="20"/>
          <w:color w:val="auto"/>
        </w:rPr>
      </w:pPr>
      <w:r>
        <w:rPr>
          <w:rFonts w:ascii="Arial" w:cs="Arial" w:eastAsia="Arial" w:hAnsi="Arial"/>
          <w:sz w:val="18"/>
          <w:szCs w:val="18"/>
          <w:color w:val="auto"/>
        </w:rPr>
        <w:t>(b)  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 understood and agreed for the avoidance of doubt that any write-off of assets shall not count toward such cap);</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Permitted Acquisitions;</w:t>
      </w:r>
    </w:p>
    <w:p>
      <w:pPr>
        <w:spacing w:after="0" w:line="104" w:lineRule="exact"/>
        <w:rPr>
          <w:sz w:val="20"/>
          <w:szCs w:val="20"/>
          <w:color w:val="auto"/>
        </w:rPr>
      </w:pPr>
    </w:p>
    <w:p>
      <w:pPr>
        <w:ind w:left="660" w:right="639"/>
        <w:spacing w:after="0" w:line="244" w:lineRule="auto"/>
        <w:rPr>
          <w:sz w:val="20"/>
          <w:szCs w:val="20"/>
          <w:color w:val="auto"/>
        </w:rPr>
      </w:pPr>
      <w:r>
        <w:rPr>
          <w:rFonts w:ascii="Arial" w:cs="Arial" w:eastAsia="Arial" w:hAnsi="Arial"/>
          <w:sz w:val="18"/>
          <w:szCs w:val="18"/>
          <w:color w:val="auto"/>
        </w:rPr>
        <w:t>(d)  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(e)  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spacing w:after="0" w:line="61"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(f)  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[reserved];</w:t>
      </w:r>
    </w:p>
    <w:p>
      <w:pPr>
        <w:spacing w:after="0" w:line="104"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(h)  the use, sale or disposition of Permitted Investments and other cash or cash equivalents in the ordinary course of business;</w:t>
      </w:r>
    </w:p>
    <w:p>
      <w:pPr>
        <w:spacing w:after="0" w:line="46"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(i)  charitable donations of cash or Units (valued using the net book value) not to exceed $2,000,000 in the aggregate in any Fiscal Year; provided that charitable donations of cash may not exceed $750,000 in any Fiscal Year;</w:t>
      </w:r>
    </w:p>
    <w:p>
      <w:pPr>
        <w:spacing w:after="0" w:line="61"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(j)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w:t>
      </w:r>
    </w:p>
    <w:p>
      <w:pPr>
        <w:spacing w:after="0" w:line="66" w:lineRule="exact"/>
        <w:rPr>
          <w:sz w:val="20"/>
          <w:szCs w:val="20"/>
          <w:color w:val="auto"/>
        </w:rPr>
      </w:pPr>
    </w:p>
    <w:p>
      <w:pPr>
        <w:ind w:left="660" w:right="739"/>
        <w:spacing w:after="0" w:line="301" w:lineRule="auto"/>
        <w:rPr>
          <w:sz w:val="20"/>
          <w:szCs w:val="20"/>
          <w:color w:val="auto"/>
        </w:rPr>
      </w:pPr>
      <w:r>
        <w:rPr>
          <w:rFonts w:ascii="Arial" w:cs="Arial" w:eastAsia="Arial" w:hAnsi="Arial"/>
          <w:sz w:val="17"/>
          <w:szCs w:val="17"/>
          <w:color w:val="auto"/>
        </w:rPr>
        <w:t>(k)  dispositions of machinery or equipment to the extent that such machinery or equipment is exchanged for credit against the purchase price of similar replacement machinery or equipment;</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   dispositions of owned or leased vehicles in the ordinary course of business;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   dispositions of assets that are not permitted by any other provision of this Section; provided that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the aggregate fair value of all assets disposed of in reliance on this clause shall not exceed</w:t>
      </w:r>
    </w:p>
    <w:p>
      <w:pPr>
        <w:ind w:left="660" w:right="439"/>
        <w:spacing w:after="0" w:line="239" w:lineRule="auto"/>
        <w:rPr>
          <w:sz w:val="20"/>
          <w:szCs w:val="20"/>
          <w:color w:val="auto"/>
        </w:rPr>
      </w:pPr>
      <w:r>
        <w:rPr>
          <w:rFonts w:ascii="Arial" w:cs="Arial" w:eastAsia="Arial" w:hAnsi="Arial"/>
          <w:sz w:val="18"/>
          <w:szCs w:val="18"/>
          <w:color w:val="auto"/>
        </w:rPr>
        <w:t>$1,000,000 during any Fiscal Year, (ii) all dispositions made in reliance on this clause shall be made for fair value and at least 75% cash or cash equivalents consideration, (iii) the assets being sold do not consist of any Equity Interests of any Subsidiary of the Borrower, and (iv) no Default or Event of Default has occurred and is continuing at the time of each such sale (both before and after giving effect to such Asset Sale); and</w:t>
      </w:r>
    </w:p>
    <w:p>
      <w:pPr>
        <w:spacing w:after="0" w:line="72" w:lineRule="exact"/>
        <w:rPr>
          <w:sz w:val="20"/>
          <w:szCs w:val="20"/>
          <w:color w:val="auto"/>
        </w:rPr>
      </w:pPr>
    </w:p>
    <w:p>
      <w:pPr>
        <w:jc w:val="both"/>
        <w:ind w:left="660" w:right="419"/>
        <w:spacing w:after="0" w:line="253" w:lineRule="auto"/>
        <w:rPr>
          <w:sz w:val="20"/>
          <w:szCs w:val="20"/>
          <w:color w:val="auto"/>
        </w:rPr>
      </w:pPr>
      <w:r>
        <w:rPr>
          <w:rFonts w:ascii="Arial" w:cs="Arial" w:eastAsia="Arial" w:hAnsi="Arial"/>
          <w:sz w:val="18"/>
          <w:szCs w:val="18"/>
          <w:color w:val="auto"/>
        </w:rPr>
        <w:t>(n)  other Asset Sales approved in writing by the Majority Lenders in their sole discretion so long as the Net Cash Proceeds of such Asset Sale described in this clause (n) are paid to the Agent for the benefit of the Agent and the Lenders pursuant to the terms of Section 2.8(a).</w:t>
      </w:r>
    </w:p>
    <w:p>
      <w:pPr>
        <w:spacing w:after="0" w:line="61" w:lineRule="exact"/>
        <w:rPr>
          <w:sz w:val="20"/>
          <w:szCs w:val="20"/>
          <w:color w:val="auto"/>
        </w:rPr>
      </w:pPr>
    </w:p>
    <w:p>
      <w:pPr>
        <w:ind w:left="660" w:right="479"/>
        <w:spacing w:after="0" w:line="261" w:lineRule="auto"/>
        <w:rPr>
          <w:sz w:val="20"/>
          <w:szCs w:val="20"/>
          <w:color w:val="auto"/>
        </w:rPr>
      </w:pPr>
      <w:r>
        <w:rPr>
          <w:rFonts w:ascii="Arial" w:cs="Arial" w:eastAsia="Arial" w:hAnsi="Arial"/>
          <w:sz w:val="17"/>
          <w:szCs w:val="17"/>
          <w:color w:val="auto"/>
        </w:rPr>
        <w:t xml:space="preserve">Notwithstanding anything else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to the contrary, except to the extent permitted under </w:t>
      </w:r>
      <w:r>
        <w:rPr>
          <w:rFonts w:ascii="Arial" w:cs="Arial" w:eastAsia="Arial" w:hAnsi="Arial"/>
          <w:sz w:val="17"/>
          <w:szCs w:val="17"/>
          <w:u w:val="single" w:color="auto"/>
          <w:color w:val="auto"/>
        </w:rPr>
        <w:t>Section 7.4(j)</w:t>
      </w:r>
      <w:r>
        <w:rPr>
          <w:rFonts w:ascii="Arial" w:cs="Arial" w:eastAsia="Arial" w:hAnsi="Arial"/>
          <w:sz w:val="17"/>
          <w:szCs w:val="17"/>
          <w:color w:val="auto"/>
        </w:rPr>
        <w:t>, no Asset Sale (other than an Asset Sale to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58" w:lineRule="exact"/>
        <w:rPr>
          <w:sz w:val="20"/>
          <w:szCs w:val="20"/>
          <w:color w:val="auto"/>
        </w:rPr>
      </w:pPr>
    </w:p>
    <w:p>
      <w:pPr>
        <w:ind w:left="660" w:right="859"/>
        <w:spacing w:after="0" w:line="271" w:lineRule="auto"/>
        <w:rPr>
          <w:sz w:val="20"/>
          <w:szCs w:val="20"/>
          <w:color w:val="auto"/>
        </w:rPr>
      </w:pPr>
      <w:r>
        <w:rPr>
          <w:rFonts w:ascii="Arial" w:cs="Arial" w:eastAsia="Arial" w:hAnsi="Arial"/>
          <w:sz w:val="18"/>
          <w:szCs w:val="18"/>
          <w:color w:val="auto"/>
        </w:rPr>
        <w:t>The Lenders hereby consent and agree to the release by the Agent of any and all Liens on the property sold or otherwise disposed of in compliance with this Section 7.4.</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Restricted Payments</w:t>
      </w:r>
      <w:r>
        <w:rPr>
          <w:rFonts w:ascii="Arial" w:cs="Arial" w:eastAsia="Arial" w:hAnsi="Arial"/>
          <w:sz w:val="17"/>
          <w:szCs w:val="17"/>
          <w:color w:val="auto"/>
        </w:rPr>
        <w:t>. Declare or make, directly or indirectly, (x) any distributions, dividend, payment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 other distribution of assets, properties, cash, rights, obligations or securities (collectively,</w:t>
      </w:r>
    </w:p>
    <w:p>
      <w:pPr>
        <w:ind w:left="3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Distributions</w:t>
      </w:r>
      <w:r>
        <w:rPr>
          <w:rFonts w:ascii="Arial" w:cs="Arial" w:eastAsia="Arial" w:hAnsi="Arial"/>
          <w:sz w:val="18"/>
          <w:szCs w:val="18"/>
          <w:color w:val="auto"/>
        </w:rPr>
        <w:t>”) on account of any of its Equity Interests, as applicable, or (y) any payment (whether in</w:t>
      </w:r>
    </w:p>
    <w:p>
      <w:pPr>
        <w:ind w:left="300"/>
        <w:spacing w:after="0" w:line="235" w:lineRule="auto"/>
        <w:rPr>
          <w:sz w:val="20"/>
          <w:szCs w:val="20"/>
          <w:color w:val="auto"/>
        </w:rPr>
      </w:pPr>
      <w:r>
        <w:rPr>
          <w:rFonts w:ascii="Arial" w:cs="Arial" w:eastAsia="Arial" w:hAnsi="Arial"/>
          <w:sz w:val="18"/>
          <w:szCs w:val="18"/>
          <w:color w:val="auto"/>
        </w:rPr>
        <w:t>cash, securities or other property), including any sinking fund or similar deposit, on account of the</w:t>
      </w:r>
    </w:p>
    <w:p>
      <w:pPr>
        <w:ind w:left="300"/>
        <w:spacing w:after="0" w:line="235" w:lineRule="auto"/>
        <w:rPr>
          <w:sz w:val="20"/>
          <w:szCs w:val="20"/>
          <w:color w:val="auto"/>
        </w:rPr>
      </w:pPr>
      <w:r>
        <w:rPr>
          <w:rFonts w:ascii="Arial" w:cs="Arial" w:eastAsia="Arial" w:hAnsi="Arial"/>
          <w:sz w:val="18"/>
          <w:szCs w:val="18"/>
          <w:color w:val="auto"/>
        </w:rPr>
        <w:t>purchase, redemption, retirement, defeasance, acquisition, cancellation or termination of any such Equity</w:t>
      </w:r>
    </w:p>
    <w:p>
      <w:pPr>
        <w:ind w:left="300"/>
        <w:spacing w:after="0" w:line="235" w:lineRule="auto"/>
        <w:rPr>
          <w:sz w:val="20"/>
          <w:szCs w:val="20"/>
          <w:color w:val="auto"/>
        </w:rPr>
      </w:pPr>
      <w:r>
        <w:rPr>
          <w:rFonts w:ascii="Arial" w:cs="Arial" w:eastAsia="Arial" w:hAnsi="Arial"/>
          <w:sz w:val="18"/>
          <w:szCs w:val="18"/>
          <w:color w:val="auto"/>
        </w:rPr>
        <w:t>Interest, or on account of any return of capital to its stockholders, partners or members (or the equivalent</w:t>
      </w:r>
    </w:p>
    <w:p>
      <w:pPr>
        <w:ind w:left="300"/>
        <w:spacing w:after="0" w:line="235" w:lineRule="auto"/>
        <w:rPr>
          <w:sz w:val="20"/>
          <w:szCs w:val="20"/>
          <w:color w:val="auto"/>
        </w:rPr>
      </w:pPr>
      <w:r>
        <w:rPr>
          <w:rFonts w:ascii="Arial" w:cs="Arial" w:eastAsia="Arial" w:hAnsi="Arial"/>
          <w:sz w:val="18"/>
          <w:szCs w:val="18"/>
          <w:color w:val="auto"/>
        </w:rPr>
        <w:t>of any thereof), or any option, warrant or other right to acquire any such dividend or other distribution or</w:t>
      </w:r>
    </w:p>
    <w:p>
      <w:pPr>
        <w:ind w:left="300"/>
        <w:spacing w:after="0" w:line="234" w:lineRule="auto"/>
        <w:rPr>
          <w:sz w:val="20"/>
          <w:szCs w:val="20"/>
          <w:color w:val="auto"/>
        </w:rPr>
      </w:pPr>
      <w:r>
        <w:rPr>
          <w:rFonts w:ascii="Arial" w:cs="Arial" w:eastAsia="Arial" w:hAnsi="Arial"/>
          <w:sz w:val="18"/>
          <w:szCs w:val="18"/>
          <w:color w:val="auto"/>
        </w:rPr>
        <w:t>payment (collectively, “</w:t>
      </w:r>
      <w:r>
        <w:rPr>
          <w:rFonts w:ascii="Arial" w:cs="Arial" w:eastAsia="Arial" w:hAnsi="Arial"/>
          <w:sz w:val="18"/>
          <w:szCs w:val="18"/>
          <w:b w:val="1"/>
          <w:bCs w:val="1"/>
          <w:color w:val="auto"/>
        </w:rPr>
        <w:t>Purchases</w:t>
      </w:r>
      <w:r>
        <w:rPr>
          <w:rFonts w:ascii="Arial" w:cs="Arial" w:eastAsia="Arial" w:hAnsi="Arial"/>
          <w:sz w:val="18"/>
          <w:szCs w:val="18"/>
          <w:color w:val="auto"/>
        </w:rPr>
        <w:t>”), or incur any obligation (contingent or otherwise) to do any of the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foregoing, except that (subject to Section 7.3):</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each Credit Party may pay cash Distributions to the Borrower or a Guarantor;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(b)  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spacing w:after="0" w:line="66" w:lineRule="exact"/>
        <w:rPr>
          <w:sz w:val="20"/>
          <w:szCs w:val="20"/>
          <w:color w:val="auto"/>
        </w:rPr>
      </w:pPr>
    </w:p>
    <w:p>
      <w:pPr>
        <w:jc w:val="both"/>
        <w:ind w:left="660" w:right="899"/>
        <w:spacing w:after="0" w:line="253" w:lineRule="auto"/>
        <w:rPr>
          <w:sz w:val="20"/>
          <w:szCs w:val="20"/>
          <w:color w:val="auto"/>
        </w:rPr>
      </w:pPr>
      <w:r>
        <w:rPr>
          <w:rFonts w:ascii="Arial" w:cs="Arial" w:eastAsia="Arial" w:hAnsi="Arial"/>
          <w:sz w:val="18"/>
          <w:szCs w:val="18"/>
          <w:color w:val="auto"/>
        </w:rPr>
        <w:t>(c)  the Borrower may Purchase the stock of current and former employees pursuant to stock repurchase agreements by the cancellation of indebtedness owed by such former employees, regardless of whether an Event of Default exists; and</w:t>
      </w:r>
    </w:p>
    <w:p>
      <w:pPr>
        <w:spacing w:after="0" w:line="61" w:lineRule="exact"/>
        <w:rPr>
          <w:sz w:val="20"/>
          <w:szCs w:val="20"/>
          <w:color w:val="auto"/>
        </w:rPr>
      </w:pPr>
    </w:p>
    <w:p>
      <w:pPr>
        <w:ind w:left="660" w:right="539"/>
        <w:spacing w:after="0" w:line="247" w:lineRule="auto"/>
        <w:rPr>
          <w:sz w:val="20"/>
          <w:szCs w:val="20"/>
          <w:color w:val="auto"/>
        </w:rPr>
      </w:pPr>
      <w:r>
        <w:rPr>
          <w:rFonts w:ascii="Arial" w:cs="Arial" w:eastAsia="Arial" w:hAnsi="Arial"/>
          <w:sz w:val="18"/>
          <w:szCs w:val="18"/>
          <w:color w:val="auto"/>
        </w:rPr>
        <w:t>(d)  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w:t>
      </w:r>
    </w:p>
    <w:p>
      <w:pPr>
        <w:spacing w:after="0" w:line="6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w:t>
      </w:r>
    </w:p>
    <w:p>
      <w:pPr>
        <w:spacing w:after="0" w:line="68" w:lineRule="exact"/>
        <w:rPr>
          <w:sz w:val="20"/>
          <w:szCs w:val="20"/>
          <w:color w:val="auto"/>
        </w:rPr>
      </w:pPr>
    </w:p>
    <w:p>
      <w:pPr>
        <w:ind w:left="300" w:right="519"/>
        <w:spacing w:after="0" w:line="24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Limitation on Investments, Loans and Advances</w:t>
      </w:r>
      <w:r>
        <w:rPr>
          <w:rFonts w:ascii="Arial" w:cs="Arial" w:eastAsia="Arial" w:hAnsi="Arial"/>
          <w:sz w:val="18"/>
          <w:szCs w:val="18"/>
          <w:color w:val="auto"/>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Permitted Investments;</w:t>
      </w:r>
    </w:p>
    <w:p>
      <w:pPr>
        <w:spacing w:after="0" w:line="104" w:lineRule="exact"/>
        <w:rPr>
          <w:sz w:val="20"/>
          <w:szCs w:val="20"/>
          <w:color w:val="auto"/>
        </w:rPr>
      </w:pPr>
    </w:p>
    <w:p>
      <w:pPr>
        <w:jc w:val="both"/>
        <w:ind w:left="660" w:right="559"/>
        <w:spacing w:after="0" w:line="253" w:lineRule="auto"/>
        <w:rPr>
          <w:sz w:val="20"/>
          <w:szCs w:val="20"/>
          <w:color w:val="auto"/>
        </w:rPr>
      </w:pPr>
      <w:r>
        <w:rPr>
          <w:rFonts w:ascii="Arial" w:cs="Arial" w:eastAsia="Arial" w:hAnsi="Arial"/>
          <w:sz w:val="18"/>
          <w:szCs w:val="18"/>
          <w:color w:val="auto"/>
        </w:rPr>
        <w:t>(b)  Investments existing on the Restatement Date and listed on Schedule 7.6 hereto but not any increase in the amount thereof as set forth in such Schedule or any other modification of the terms thereof;</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Accounts receivable created in the ordinary course of business;</w:t>
      </w:r>
    </w:p>
    <w:p>
      <w:pPr>
        <w:spacing w:after="0" w:line="104"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(d)  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$ 250,000;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spacing w:after="0" w:line="78"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(e)  Investments in respect of Hedging Transactions provided that such transaction is entered into for risk management purposes and not for speculative purposes;</w:t>
      </w:r>
    </w:p>
    <w:p>
      <w:pPr>
        <w:spacing w:after="0" w:line="46" w:lineRule="exact"/>
        <w:rPr>
          <w:sz w:val="20"/>
          <w:szCs w:val="20"/>
          <w:color w:val="auto"/>
        </w:rPr>
      </w:pPr>
    </w:p>
    <w:p>
      <w:pPr>
        <w:ind w:left="660" w:right="779"/>
        <w:spacing w:after="0" w:line="275" w:lineRule="auto"/>
        <w:rPr>
          <w:sz w:val="20"/>
          <w:szCs w:val="20"/>
          <w:color w:val="auto"/>
        </w:rPr>
      </w:pPr>
      <w:r>
        <w:rPr>
          <w:rFonts w:ascii="Arial" w:cs="Arial" w:eastAsia="Arial" w:hAnsi="Arial"/>
          <w:sz w:val="17"/>
          <w:szCs w:val="17"/>
          <w:color w:val="auto"/>
        </w:rPr>
        <w:t>(f)  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spacing w:after="0" w:line="44" w:lineRule="exact"/>
        <w:rPr>
          <w:sz w:val="20"/>
          <w:szCs w:val="20"/>
          <w:color w:val="auto"/>
        </w:rPr>
      </w:pPr>
    </w:p>
    <w:p>
      <w:pPr>
        <w:ind w:left="660" w:right="699"/>
        <w:spacing w:after="0" w:line="275" w:lineRule="auto"/>
        <w:rPr>
          <w:sz w:val="20"/>
          <w:szCs w:val="20"/>
          <w:color w:val="auto"/>
        </w:rPr>
      </w:pPr>
      <w:r>
        <w:rPr>
          <w:rFonts w:ascii="Arial" w:cs="Arial" w:eastAsia="Arial" w:hAnsi="Arial"/>
          <w:sz w:val="17"/>
          <w:szCs w:val="17"/>
          <w:color w:val="auto"/>
        </w:rPr>
        <w:t>(g)  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spacing w:after="0" w:line="44" w:lineRule="exact"/>
        <w:rPr>
          <w:sz w:val="20"/>
          <w:szCs w:val="20"/>
          <w:color w:val="auto"/>
        </w:rPr>
      </w:pPr>
    </w:p>
    <w:p>
      <w:pPr>
        <w:ind w:left="660" w:right="799"/>
        <w:spacing w:after="0" w:line="271" w:lineRule="auto"/>
        <w:rPr>
          <w:sz w:val="20"/>
          <w:szCs w:val="20"/>
          <w:color w:val="auto"/>
        </w:rPr>
      </w:pPr>
      <w:r>
        <w:rPr>
          <w:rFonts w:ascii="Arial" w:cs="Arial" w:eastAsia="Arial" w:hAnsi="Arial"/>
          <w:sz w:val="18"/>
          <w:szCs w:val="18"/>
          <w:color w:val="auto"/>
        </w:rPr>
        <w:t>(h)  Investments consisting of deposit accounts and securities accounts in which the Agent, on behalf of itself and the Lenders, has a perfected security interest;</w:t>
      </w:r>
    </w:p>
    <w:p>
      <w:pPr>
        <w:spacing w:after="0" w:line="46"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(i)  Investments accepted in connection with transfers or dispositions of property that are otherwise permitted under Section 7.4(m);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39"/>
        <w:spacing w:after="0" w:line="244" w:lineRule="auto"/>
        <w:rPr>
          <w:sz w:val="20"/>
          <w:szCs w:val="20"/>
          <w:color w:val="auto"/>
        </w:rPr>
      </w:pPr>
      <w:r>
        <w:rPr>
          <w:rFonts w:ascii="Arial" w:cs="Arial" w:eastAsia="Arial" w:hAnsi="Arial"/>
          <w:sz w:val="18"/>
          <w:szCs w:val="18"/>
          <w:color w:val="auto"/>
        </w:rPr>
        <w:t>(j)  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   Permitted Acquisitions;</w:t>
      </w:r>
    </w:p>
    <w:p>
      <w:pPr>
        <w:spacing w:after="0" w:line="104" w:lineRule="exact"/>
        <w:rPr>
          <w:sz w:val="20"/>
          <w:szCs w:val="20"/>
          <w:color w:val="auto"/>
        </w:rPr>
      </w:pPr>
    </w:p>
    <w:p>
      <w:pPr>
        <w:jc w:val="both"/>
        <w:ind w:left="660" w:right="439"/>
        <w:spacing w:after="0" w:line="253" w:lineRule="auto"/>
        <w:rPr>
          <w:sz w:val="20"/>
          <w:szCs w:val="20"/>
          <w:color w:val="auto"/>
        </w:rPr>
      </w:pPr>
      <w:r>
        <w:rPr>
          <w:rFonts w:ascii="Arial" w:cs="Arial" w:eastAsia="Arial" w:hAnsi="Arial"/>
          <w:sz w:val="18"/>
          <w:szCs w:val="18"/>
          <w:color w:val="auto"/>
        </w:rPr>
        <w:t>(l)  Investments constituting notes receivable of, or prepaid royalties and other credit extensions, to customers and suppliers who are not Affiliates, in the ordinary course of business, provided that this clause (l) shall not apply to Investments by the Borrower in any Subsidiary;</w:t>
      </w:r>
    </w:p>
    <w:p>
      <w:pPr>
        <w:spacing w:after="0" w:line="61" w:lineRule="exact"/>
        <w:rPr>
          <w:sz w:val="20"/>
          <w:szCs w:val="20"/>
          <w:color w:val="auto"/>
        </w:rPr>
      </w:pPr>
    </w:p>
    <w:p>
      <w:pPr>
        <w:ind w:left="660" w:right="619"/>
        <w:spacing w:after="0" w:line="271" w:lineRule="auto"/>
        <w:rPr>
          <w:sz w:val="20"/>
          <w:szCs w:val="20"/>
          <w:color w:val="auto"/>
        </w:rPr>
      </w:pPr>
      <w:r>
        <w:rPr>
          <w:rFonts w:ascii="Arial" w:cs="Arial" w:eastAsia="Arial" w:hAnsi="Arial"/>
          <w:sz w:val="18"/>
          <w:szCs w:val="18"/>
          <w:color w:val="auto"/>
        </w:rPr>
        <w:t>(m)  to the extent constituting Investments, Investments permitted under Section 7.4(d), 7.4(e) or 7.4(f); and</w:t>
      </w:r>
    </w:p>
    <w:p>
      <w:pPr>
        <w:spacing w:after="0" w:line="46"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(n)  so long as no Default or Event of Default has occurred and is continuing or would result therefrom, any other Investments in an aggregate amount not to exceed $2,500,000 in the aggregate at any time outstanding; provided, however, that no more than $1,250,000 in the aggregate at any time outstanding may be used for Investments by the Borrower or any Guarantor in any Subsidiary that is not a Guarantor;</w:t>
      </w:r>
    </w:p>
    <w:p>
      <w:pPr>
        <w:spacing w:after="0" w:line="68"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 xml:space="preserve">Notwithstanding anything else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to the contrary, no Investment (other than an investment in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6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spacing w:after="0" w:line="66" w:lineRule="exact"/>
        <w:rPr>
          <w:sz w:val="20"/>
          <w:szCs w:val="20"/>
          <w:color w:val="auto"/>
        </w:rPr>
      </w:pPr>
    </w:p>
    <w:p>
      <w:pPr>
        <w:ind w:left="300" w:right="419"/>
        <w:spacing w:after="0" w:line="23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 (y) 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spacing w:after="0" w:line="75"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Sale-Leaseback Transactions</w:t>
      </w:r>
      <w:r>
        <w:rPr>
          <w:rFonts w:ascii="Arial" w:cs="Arial" w:eastAsia="Arial" w:hAnsi="Arial"/>
          <w:sz w:val="18"/>
          <w:szCs w:val="18"/>
          <w:color w:val="auto"/>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spacing w:after="0" w:line="78"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Limitations on Other Restrictions</w:t>
      </w:r>
      <w:r>
        <w:rPr>
          <w:rFonts w:ascii="Arial" w:cs="Arial" w:eastAsia="Arial" w:hAnsi="Arial"/>
          <w:sz w:val="18"/>
          <w:szCs w:val="18"/>
          <w:color w:val="auto"/>
        </w:rPr>
        <w:t>.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399"/>
        <w:spacing w:after="0" w:line="253" w:lineRule="auto"/>
        <w:rPr>
          <w:sz w:val="20"/>
          <w:szCs w:val="20"/>
          <w:color w:val="auto"/>
        </w:rPr>
      </w:pPr>
      <w:r>
        <w:rPr>
          <w:rFonts w:ascii="Arial" w:cs="Arial" w:eastAsia="Arial" w:hAnsi="Arial"/>
          <w:sz w:val="18"/>
          <w:szCs w:val="18"/>
          <w:color w:val="auto"/>
        </w:rPr>
        <w:t>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spacing w:after="0" w:line="61" w:lineRule="exact"/>
        <w:rPr>
          <w:sz w:val="20"/>
          <w:szCs w:val="20"/>
          <w:color w:val="auto"/>
        </w:rPr>
      </w:pPr>
    </w:p>
    <w:p>
      <w:pPr>
        <w:ind w:left="300" w:right="939"/>
        <w:spacing w:after="0" w:line="266"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Prepayment of Subordinated Debt</w:t>
      </w:r>
      <w:r>
        <w:rPr>
          <w:rFonts w:ascii="Arial" w:cs="Arial" w:eastAsia="Arial" w:hAnsi="Arial"/>
          <w:sz w:val="17"/>
          <w:szCs w:val="17"/>
          <w:color w:val="auto"/>
        </w:rPr>
        <w: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w:t>
      </w:r>
    </w:p>
    <w:p>
      <w:pPr>
        <w:spacing w:after="0" w:line="51"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Amendment of Senior Loan Documents and Subordinated Debt Documents</w:t>
      </w:r>
      <w:r>
        <w:rPr>
          <w:rFonts w:ascii="Arial" w:cs="Arial" w:eastAsia="Arial" w:hAnsi="Arial"/>
          <w:sz w:val="18"/>
          <w:szCs w:val="18"/>
          <w:color w:val="auto"/>
        </w:rPr>
        <w:t>.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w:t>
      </w:r>
    </w:p>
    <w:p>
      <w:pPr>
        <w:spacing w:after="0" w:line="71"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Modification of Certain Agreements</w:t>
      </w:r>
      <w:r>
        <w:rPr>
          <w:rFonts w:ascii="Arial" w:cs="Arial" w:eastAsia="Arial" w:hAnsi="Arial"/>
          <w:sz w:val="18"/>
          <w:szCs w:val="18"/>
          <w:color w:val="auto"/>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 (ii) 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Restatement Date) payable thereunder in excess of 105% of the fees historically paid thereunder as of the Restatement Date.</w:t>
      </w:r>
    </w:p>
    <w:p>
      <w:pPr>
        <w:spacing w:after="0" w:line="72"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Fiscal Year</w:t>
      </w:r>
      <w:r>
        <w:rPr>
          <w:rFonts w:ascii="Arial" w:cs="Arial" w:eastAsia="Arial" w:hAnsi="Arial"/>
          <w:sz w:val="18"/>
          <w:szCs w:val="18"/>
          <w:color w:val="auto"/>
        </w:rPr>
        <w:t>. Permit the Fiscal Year of any Credit Party to end on a day other than January 31, except as may be agreed to by the Agent from time to time in its reasonable discretion.</w:t>
      </w:r>
    </w:p>
    <w:p>
      <w:pPr>
        <w:spacing w:after="0" w:line="46"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Liquidity</w:t>
      </w:r>
      <w:r>
        <w:rPr>
          <w:rFonts w:ascii="Arial" w:cs="Arial" w:eastAsia="Arial" w:hAnsi="Arial"/>
          <w:sz w:val="17"/>
          <w:szCs w:val="17"/>
          <w:color w:val="auto"/>
        </w:rPr>
        <w:t>. Permit Liquidity to be less than (a) $15,000,000 at any time during the period from the Restatement Date until the date that is eighteen (18) months after the Effective Date (as defined in the Exchange Agreement) or (b) $30,000,000 at any time after the period set forth in the foregoing clause (a).</w:t>
      </w:r>
    </w:p>
    <w:p>
      <w:pPr>
        <w:spacing w:after="0" w:line="44" w:lineRule="exact"/>
        <w:rPr>
          <w:sz w:val="20"/>
          <w:szCs w:val="20"/>
          <w:color w:val="auto"/>
        </w:rPr>
      </w:pPr>
    </w:p>
    <w:p>
      <w:pPr>
        <w:ind w:left="300" w:right="419"/>
        <w:spacing w:after="0" w:line="239"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Divisions</w:t>
      </w:r>
      <w:r>
        <w:rPr>
          <w:rFonts w:ascii="Arial" w:cs="Arial" w:eastAsia="Arial" w:hAnsi="Arial"/>
          <w:sz w:val="18"/>
          <w:szCs w:val="18"/>
          <w:color w:val="auto"/>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7.16 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04"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ERISA</w:t>
      </w:r>
      <w:r>
        <w:rPr>
          <w:rFonts w:ascii="Arial" w:cs="Arial" w:eastAsia="Arial" w:hAnsi="Arial"/>
          <w:sz w:val="18"/>
          <w:szCs w:val="18"/>
          <w:color w:val="auto"/>
        </w:rPr>
        <w:t>. Adopt, or permit any of its ERISA Affiliates to adopt, any employee welfare benefit plan within the meaning of Section 3(1) of ERISA that provides benefits to employees after termination of employment other than as required by Section 601 of ERISA or other Requirements of Law, except, either individually or in the aggregate, as could not reasonably be expected to result in a Material Adverse Effect.</w:t>
      </w:r>
    </w:p>
    <w:p>
      <w:pPr>
        <w:spacing w:after="0" w:line="68"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Environmental</w:t>
      </w:r>
      <w:r>
        <w:rPr>
          <w:rFonts w:ascii="Arial" w:cs="Arial" w:eastAsia="Arial" w:hAnsi="Arial"/>
          <w:sz w:val="18"/>
          <w:szCs w:val="18"/>
          <w:color w:val="auto"/>
        </w:rPr>
        <w:t>. Permit the use, handling, generation, storage, treatment, Release or disposal of Hazardous Materials on, in, at, under or from any property owned, leased or operated by it or any of its Subsidiaries, except in compliance in all material respects with Environmental Laws (other than any noncompliance that could not reasonably be expected to have a Material Adverse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Accounting Methods</w:t>
      </w:r>
      <w:r>
        <w:rPr>
          <w:rFonts w:ascii="Arial" w:cs="Arial" w:eastAsia="Arial" w:hAnsi="Arial"/>
          <w:sz w:val="18"/>
          <w:szCs w:val="18"/>
          <w:color w:val="auto"/>
        </w:rPr>
        <w:t xml:space="preserve"> . Modify or change, or permit any of its Subsidiaries to modify or change, its method of accounting or accounting principles from those utilized in the preparation of the Financial Statements (other than as may be required to conform to GAAP or with the prior written consent of the Agent (not to be unreasonably withheld, delayed or conditioned), as recommended by an auditor or accounting firm of the Borrower and its Subsidiaries (so long as such recommendation is in accordance with GAAP)).</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Sanctioned Persons; Anti-Corruption Laws; Anti-Money Laundering Laws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(a)  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spacing w:after="0" w:line="61"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(b)  Use, nor permit any of its Subsidiaries to use, directly or indirectly, any of the proceeds of any Loan, (i) to fund any activities or business of or with any Sanctioned Person or in any other manner that would result in a violation of any Sanctions by any Person (including by any Person participating in any Loan, whether as underwriter, advisor, investor or otherwise), or (ii) for the purpose of an offer, payment, promise to pay, or authorization of the payment or giving of money, or anything else of value, to any Person in violation of any Anti-Terrorism Law.</w:t>
      </w:r>
    </w:p>
    <w:p>
      <w:pPr>
        <w:spacing w:after="0" w:line="71"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Permit any Loan or the proceeds of any Loan under this Agreement to be used for any purpose that would cause such Loan to be a margin loan under the provisions of Regulation T, U or X of the Board of Governors of the Federal Reserve System.</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8.   DEFAULTS.</w:t>
      </w:r>
    </w:p>
    <w:p>
      <w:pPr>
        <w:spacing w:after="0" w:line="104"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events shall constitute an Event of Default hereunder:</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non-payment when due of the principal or interest on the Indebtedness;</w:t>
      </w:r>
    </w:p>
    <w:p>
      <w:pPr>
        <w:spacing w:after="0" w:line="104" w:lineRule="exact"/>
        <w:rPr>
          <w:sz w:val="20"/>
          <w:szCs w:val="20"/>
          <w:color w:val="auto"/>
        </w:rPr>
      </w:pPr>
    </w:p>
    <w:p>
      <w:pPr>
        <w:ind w:left="660" w:right="759"/>
        <w:spacing w:after="0" w:line="247" w:lineRule="auto"/>
        <w:rPr>
          <w:sz w:val="20"/>
          <w:szCs w:val="20"/>
          <w:color w:val="auto"/>
        </w:rPr>
      </w:pPr>
      <w:r>
        <w:rPr>
          <w:rFonts w:ascii="Arial" w:cs="Arial" w:eastAsia="Arial" w:hAnsi="Arial"/>
          <w:sz w:val="18"/>
          <w:szCs w:val="18"/>
          <w:color w:val="auto"/>
        </w:rPr>
        <w:t>(b)  non-payment of any Fees or other amounts (including any Prepayment Premium) due and owing by the Borrower under this Agreement or by any Credit Party under any of the other Loan Documents to which it is a party, other than as set forth in subsection (a) above, within three (3) Business Days after the same is due and payable;</w:t>
      </w:r>
    </w:p>
    <w:p>
      <w:pPr>
        <w:spacing w:after="0" w:line="66" w:lineRule="exact"/>
        <w:rPr>
          <w:sz w:val="20"/>
          <w:szCs w:val="20"/>
          <w:color w:val="auto"/>
        </w:rPr>
      </w:pPr>
    </w:p>
    <w:p>
      <w:pPr>
        <w:ind w:left="660" w:right="459"/>
        <w:spacing w:after="0" w:line="244" w:lineRule="auto"/>
        <w:rPr>
          <w:sz w:val="20"/>
          <w:szCs w:val="20"/>
          <w:color w:val="auto"/>
        </w:rPr>
      </w:pPr>
      <w:r>
        <w:rPr>
          <w:rFonts w:ascii="Arial" w:cs="Arial" w:eastAsia="Arial" w:hAnsi="Arial"/>
          <w:sz w:val="18"/>
          <w:szCs w:val="18"/>
          <w:color w:val="auto"/>
        </w:rPr>
        <w:t>(c)  default in the observance or performance of any of the conditions, covenants or agreements of the Borrower set forth in (i) Sections 6.1, 6.2, 6.4(b) (solely with respect to maintenance of the Borrower’s existence), 6.4(e), 6.5, 6.6, 6.7, 6.13, 6.14, 6.15, 6.16, 6.17, 6.18, 6.19 or Article 7 in its entirety or Sections 4.5(a), 4.7(a) or 4.8(b)(i) of the Security Agreement or (ii) Section 6.9 and such default continues for a period of 5 consecutive days;</w:t>
      </w:r>
    </w:p>
    <w:p>
      <w:pPr>
        <w:spacing w:after="0" w:line="68" w:lineRule="exact"/>
        <w:rPr>
          <w:sz w:val="20"/>
          <w:szCs w:val="20"/>
          <w:color w:val="auto"/>
        </w:rPr>
      </w:pPr>
    </w:p>
    <w:p>
      <w:pPr>
        <w:ind w:left="660" w:right="359"/>
        <w:spacing w:after="0" w:line="261" w:lineRule="auto"/>
        <w:rPr>
          <w:sz w:val="20"/>
          <w:szCs w:val="20"/>
          <w:color w:val="auto"/>
        </w:rPr>
      </w:pPr>
      <w:r>
        <w:rPr>
          <w:rFonts w:ascii="Arial" w:cs="Arial" w:eastAsia="Arial" w:hAnsi="Arial"/>
          <w:sz w:val="17"/>
          <w:szCs w:val="17"/>
          <w:color w:val="auto"/>
        </w:rPr>
        <w:t>(d)  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spacing w:after="0" w:line="5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(e)  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w:t>
      </w:r>
    </w:p>
    <w:p>
      <w:pPr>
        <w:spacing w:after="0" w:line="66"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(f)  (i)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spacing w:after="0" w:line="68"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(g)  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w:t>
      </w:r>
    </w:p>
    <w:p>
      <w:pPr>
        <w:spacing w:after="0" w:line="77"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(h)  the occurrence of any ERISA Event or Foreign Benefit Event that could reasonably be expected to result in a Material Adverse Effect when taken either individually or in the aggregate with all other such ERISA Events or Foreign Benefit Events for which liability could be reasonably expected to occur;</w:t>
      </w:r>
    </w:p>
    <w:p>
      <w:pPr>
        <w:spacing w:after="0" w:line="66" w:lineRule="exact"/>
        <w:rPr>
          <w:sz w:val="20"/>
          <w:szCs w:val="20"/>
          <w:color w:val="auto"/>
        </w:rPr>
      </w:pPr>
    </w:p>
    <w:p>
      <w:pPr>
        <w:ind w:left="660" w:right="299"/>
        <w:spacing w:after="0" w:line="252" w:lineRule="auto"/>
        <w:rPr>
          <w:sz w:val="20"/>
          <w:szCs w:val="20"/>
          <w:color w:val="auto"/>
        </w:rPr>
      </w:pPr>
      <w:r>
        <w:rPr>
          <w:rFonts w:ascii="Arial" w:cs="Arial" w:eastAsia="Arial" w:hAnsi="Arial"/>
          <w:sz w:val="17"/>
          <w:szCs w:val="17"/>
          <w:color w:val="auto"/>
        </w:rPr>
        <w:t>(i)  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w:t>
      </w:r>
    </w:p>
    <w:p>
      <w:pPr>
        <w:spacing w:after="0" w:line="2" w:lineRule="exact"/>
        <w:rPr>
          <w:sz w:val="20"/>
          <w:szCs w:val="20"/>
          <w:color w:val="auto"/>
        </w:rPr>
      </w:pPr>
    </w:p>
    <w:p>
      <w:pPr>
        <w:ind w:left="660" w:right="339" w:hanging="8"/>
        <w:spacing w:after="0" w:line="236" w:lineRule="auto"/>
        <w:tabs>
          <w:tab w:leader="none" w:pos="10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a Change of Control shall have occurred;</w:t>
      </w:r>
    </w:p>
    <w:p>
      <w:pPr>
        <w:spacing w:after="0" w:line="104"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(k)  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w:t>
      </w:r>
    </w:p>
    <w:p>
      <w:pPr>
        <w:spacing w:after="0" w:line="68"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(l)  (i)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 (iv) 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w:t>
      </w:r>
    </w:p>
    <w:p>
      <w:pPr>
        <w:spacing w:after="0" w:line="66"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(m)  default or failure to perform in any of the Senior Loan Documents and continuance thereof beyond any applicable period of grace or cure; provided that, an Event of Default shall only occur under this clause (m) if, as a result of a default or failure to perform in any of the Senior Loan Documents, the Senior Debt is accelerated or otherwise becomes due and payable prior to the stated maturity therein;</w:t>
      </w:r>
    </w:p>
    <w:p>
      <w:pPr>
        <w:spacing w:after="0" w:line="6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(n)  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any uninsured loss to any material portion of the Collateral;</w:t>
      </w:r>
    </w:p>
    <w:p>
      <w:pPr>
        <w:spacing w:after="0" w:line="104" w:lineRule="exact"/>
        <w:rPr>
          <w:sz w:val="20"/>
          <w:szCs w:val="20"/>
          <w:color w:val="auto"/>
        </w:rPr>
      </w:pPr>
    </w:p>
    <w:p>
      <w:pPr>
        <w:ind w:left="660" w:right="559"/>
        <w:spacing w:after="0" w:line="247" w:lineRule="auto"/>
        <w:rPr>
          <w:sz w:val="20"/>
          <w:szCs w:val="20"/>
          <w:color w:val="auto"/>
        </w:rPr>
      </w:pPr>
      <w:r>
        <w:rPr>
          <w:rFonts w:ascii="Arial" w:cs="Arial" w:eastAsia="Arial" w:hAnsi="Arial"/>
          <w:sz w:val="18"/>
          <w:szCs w:val="18"/>
          <w:color w:val="auto"/>
        </w:rPr>
        <w:t>(p)  the Borrower or any of its Subsidiaries is enjoined, restrained or in any way prevented by the order of any court or any Governmental Authority from conducting, or otherwise ceases to conduct for any reason whatsoever, all or any material part of the business of the Borrower and its Subsidiaries, taken as a whole, for more than 30 consecutive days;</w:t>
      </w:r>
    </w:p>
    <w:p>
      <w:pPr>
        <w:spacing w:after="0" w:line="66"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(q)  any material damage to, or loss, theft or destruction of, any Collateral, whether or not insured, or any strike, lockout, labor dispute, embargo, condemnation, act of God or public enemy, or other casualty which, in each case, causes, for more than 30 consecutive days, the cessation or substantial curtailment of revenue producing activities of the Borrower and its Subsidiaries, taken as a whole;</w:t>
      </w:r>
    </w:p>
    <w:p>
      <w:pPr>
        <w:spacing w:after="0" w:line="68"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(r)  the loss, suspension or revocation of, or failure to renew, any license or permit now held or hereafter acquired by the Borrower or any of its Subsidiaries, if such loss, suspension, revocation or failure to renew could reasonably be expected to have a Material Adverse Effect; or</w:t>
      </w:r>
    </w:p>
    <w:p>
      <w:pPr>
        <w:spacing w:after="0" w:line="61"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(s)  the indictment of the Borrower or any of its Subsidiaries or any senior officer thereof under any criminal statute, or commencement of criminal or civil proceedings against the Borrower or any of its Subsidiaries or any senior officer thereof, pursuant to which statute or proceedings the penalties or remedies sought include forfeiture to any Governmental Authority of any material portion of the Collateral.</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Exercise of Remedies</w:t>
      </w:r>
      <w:r>
        <w:rPr>
          <w:rFonts w:ascii="Arial" w:cs="Arial" w:eastAsia="Arial" w:hAnsi="Arial"/>
          <w:sz w:val="18"/>
          <w:szCs w:val="18"/>
          <w:color w:val="auto"/>
        </w:rPr>
        <w:t>. If an Event of Default has occurred and is continuing hereunder:</w:t>
      </w:r>
    </w:p>
    <w:p>
      <w:pPr>
        <w:spacing w:after="0" w:line="14" w:lineRule="exact"/>
        <w:rPr>
          <w:sz w:val="20"/>
          <w:szCs w:val="20"/>
          <w:color w:val="auto"/>
        </w:rPr>
      </w:pPr>
    </w:p>
    <w:p>
      <w:pPr>
        <w:ind w:left="300" w:right="339" w:hanging="8"/>
        <w:spacing w:after="0" w:line="236" w:lineRule="auto"/>
        <w:tabs>
          <w:tab w:leader="none" w:pos="5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[reserved]; (b) the Agent may, and shall, upon being directed to do so by the Majority Lenders, declare the entire unpaid principal Indebtedness, including the Notes, and any accrued and unpaid interest or other amounts (including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spacing w:after="0" w:line="79"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Rights Cumulative</w:t>
      </w:r>
      <w:r>
        <w:rPr>
          <w:rFonts w:ascii="Arial" w:cs="Arial" w:eastAsia="Arial" w:hAnsi="Arial"/>
          <w:sz w:val="18"/>
          <w:szCs w:val="18"/>
          <w:color w:val="auto"/>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Waiver by the Borrower of Certain Laws</w:t>
      </w:r>
      <w:r>
        <w:rPr>
          <w:rFonts w:ascii="Arial" w:cs="Arial" w:eastAsia="Arial" w:hAnsi="Arial"/>
          <w:sz w:val="18"/>
          <w:szCs w:val="18"/>
          <w:color w:val="auto"/>
        </w:rPr>
        <w:t>.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spacing w:after="0" w:line="77"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Waiver of Defaults</w:t>
      </w:r>
      <w:r>
        <w:rPr>
          <w:rFonts w:ascii="Arial" w:cs="Arial" w:eastAsia="Arial" w:hAnsi="Arial"/>
          <w:sz w:val="18"/>
          <w:szCs w:val="18"/>
          <w:color w:val="auto"/>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Set Off</w:t>
      </w:r>
      <w:r>
        <w:rPr>
          <w:rFonts w:ascii="Arial" w:cs="Arial" w:eastAsia="Arial" w:hAnsi="Arial"/>
          <w:sz w:val="18"/>
          <w:szCs w:val="18"/>
          <w:color w:val="auto"/>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Prepayment Premium). Promptly following any such setoff, such Lender shall give written notice to the Agent and the Borrower of the occurrence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9.   PAYMENTS, RECOVERIES AND COLLECTIONS.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Payment Procedure</w:t>
      </w:r>
      <w:r>
        <w:rPr>
          <w:rFonts w:ascii="Arial" w:cs="Arial" w:eastAsia="Arial" w:hAnsi="Arial"/>
          <w:sz w:val="18"/>
          <w:szCs w:val="18"/>
          <w:color w:val="auto"/>
        </w:rPr>
        <w:t>.</w:t>
      </w:r>
    </w:p>
    <w:p>
      <w:pPr>
        <w:spacing w:after="0" w:line="104" w:lineRule="exact"/>
        <w:rPr>
          <w:sz w:val="20"/>
          <w:szCs w:val="20"/>
          <w:color w:val="auto"/>
        </w:rPr>
      </w:pPr>
    </w:p>
    <w:p>
      <w:pPr>
        <w:ind w:left="660" w:right="479"/>
        <w:spacing w:after="0" w:line="238" w:lineRule="auto"/>
        <w:rPr>
          <w:sz w:val="20"/>
          <w:szCs w:val="20"/>
          <w:color w:val="auto"/>
        </w:rPr>
      </w:pPr>
      <w:r>
        <w:rPr>
          <w:rFonts w:ascii="Arial" w:cs="Arial" w:eastAsia="Arial" w:hAnsi="Arial"/>
          <w:sz w:val="18"/>
          <w:szCs w:val="18"/>
          <w:color w:val="auto"/>
        </w:rPr>
        <w:t>(a)  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w:t>
      </w:r>
    </w:p>
    <w:p>
      <w:pPr>
        <w:spacing w:after="0" w:line="71" w:lineRule="exact"/>
        <w:rPr>
          <w:sz w:val="20"/>
          <w:szCs w:val="20"/>
          <w:color w:val="auto"/>
        </w:rPr>
      </w:pPr>
    </w:p>
    <w:p>
      <w:pPr>
        <w:jc w:val="both"/>
        <w:ind w:left="660" w:right="479"/>
        <w:spacing w:after="0" w:line="253" w:lineRule="auto"/>
        <w:rPr>
          <w:sz w:val="20"/>
          <w:szCs w:val="20"/>
          <w:color w:val="auto"/>
        </w:rPr>
      </w:pPr>
      <w:r>
        <w:rPr>
          <w:rFonts w:ascii="Arial" w:cs="Arial" w:eastAsia="Arial" w:hAnsi="Arial"/>
          <w:sz w:val="18"/>
          <w:szCs w:val="18"/>
          <w:color w:val="auto"/>
        </w:rPr>
        <w:t>(b)  The Lenders and the Borrower hereby authorize the Agent to, and the Agent may, from time to time, charge the Loan Account with any amount due and payable by the Borrower under any Loan Document. Any amount charged to the Loan Account shall be deemed Indebtedness hereunder. </w:t>
      </w:r>
    </w:p>
    <w:p>
      <w:pPr>
        <w:spacing w:after="0" w:line="61"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(c)  All payments in respect of the principal amount of any Loan shall be accompanied by payment of accrued interest on the principal amount being repaid or prepaid, together with any fees or premiums (including the Prepayment Premium) and all other amounts payable with respect to the principal amount being repaid or prepaid.</w:t>
      </w:r>
    </w:p>
    <w:p>
      <w:pPr>
        <w:spacing w:after="0" w:line="66" w:lineRule="exact"/>
        <w:rPr>
          <w:sz w:val="20"/>
          <w:szCs w:val="20"/>
          <w:color w:val="auto"/>
        </w:rPr>
      </w:pPr>
    </w:p>
    <w:p>
      <w:pPr>
        <w:ind w:left="660" w:right="319"/>
        <w:spacing w:after="0" w:line="266" w:lineRule="auto"/>
        <w:rPr>
          <w:sz w:val="20"/>
          <w:szCs w:val="20"/>
          <w:color w:val="auto"/>
        </w:rPr>
      </w:pPr>
      <w:r>
        <w:rPr>
          <w:rFonts w:ascii="Arial" w:cs="Arial" w:eastAsia="Arial" w:hAnsi="Arial"/>
          <w:sz w:val="17"/>
          <w:szCs w:val="17"/>
          <w:color w:val="auto"/>
        </w:rPr>
        <w:t>(d)  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spacing w:after="0" w:line="51" w:lineRule="exact"/>
        <w:rPr>
          <w:sz w:val="20"/>
          <w:szCs w:val="20"/>
          <w:color w:val="auto"/>
        </w:rPr>
      </w:pPr>
    </w:p>
    <w:p>
      <w:pPr>
        <w:ind w:left="660" w:right="519"/>
        <w:spacing w:after="0" w:line="253" w:lineRule="auto"/>
        <w:rPr>
          <w:sz w:val="20"/>
          <w:szCs w:val="20"/>
          <w:color w:val="auto"/>
        </w:rPr>
      </w:pPr>
      <w:r>
        <w:rPr>
          <w:rFonts w:ascii="Arial" w:cs="Arial" w:eastAsia="Arial" w:hAnsi="Arial"/>
          <w:sz w:val="18"/>
          <w:szCs w:val="18"/>
          <w:color w:val="auto"/>
        </w:rPr>
        <w:t>(e)  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w:t>
      </w:r>
    </w:p>
    <w:p>
      <w:pPr>
        <w:spacing w:after="0" w:line="71" w:lineRule="exact"/>
        <w:rPr>
          <w:sz w:val="20"/>
          <w:szCs w:val="20"/>
          <w:color w:val="auto"/>
        </w:rPr>
      </w:pPr>
    </w:p>
    <w:p>
      <w:pPr>
        <w:ind w:left="1020" w:right="559"/>
        <w:spacing w:after="0" w:line="25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ratably to pay the Indebtedness in respect of any fees (other than the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expense reimbursements, indemnities and other amounts then due and payable to the Agent until paid in full;</w:t>
      </w:r>
    </w:p>
    <w:p>
      <w:pPr>
        <w:spacing w:after="0" w:line="61" w:lineRule="exact"/>
        <w:rPr>
          <w:sz w:val="20"/>
          <w:szCs w:val="20"/>
          <w:color w:val="auto"/>
        </w:rPr>
      </w:pPr>
    </w:p>
    <w:p>
      <w:pPr>
        <w:ind w:left="1020" w:right="379"/>
        <w:spacing w:after="0" w:line="25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ratably to pay the Indebtedness in respect of any fees (other than the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expense reimbursements, and indemnities then due and payable to the Lenders until paid in full;</w:t>
      </w:r>
    </w:p>
    <w:p>
      <w:pPr>
        <w:spacing w:after="0" w:line="101" w:lineRule="exact"/>
        <w:rPr>
          <w:sz w:val="20"/>
          <w:szCs w:val="20"/>
          <w:color w:val="auto"/>
        </w:rPr>
      </w:pPr>
    </w:p>
    <w:p>
      <w:pPr>
        <w:ind w:left="1020" w:right="2139"/>
        <w:spacing w:after="0" w:line="383"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ratably to pay interest then due and payable in respect of the Loans;</w:t>
      </w:r>
      <w:r>
        <w:rPr>
          <w:rFonts w:ascii="Arial" w:cs="Arial" w:eastAsia="Arial" w:hAnsi="Arial"/>
          <w:sz w:val="18"/>
          <w:szCs w:val="18"/>
          <w:i w:val="1"/>
          <w:iCs w:val="1"/>
          <w:color w:val="auto"/>
        </w:rPr>
        <w:t xml:space="preserve"> fourth</w:t>
      </w:r>
      <w:r>
        <w:rPr>
          <w:rFonts w:ascii="Arial" w:cs="Arial" w:eastAsia="Arial" w:hAnsi="Arial"/>
          <w:sz w:val="18"/>
          <w:szCs w:val="18"/>
          <w:color w:val="auto"/>
        </w:rPr>
        <w:t>, ratably to pay principal of the Term Loan until paid in full;</w:t>
      </w:r>
    </w:p>
    <w:p>
      <w:pPr>
        <w:spacing w:after="0" w:line="1" w:lineRule="exact"/>
        <w:rPr>
          <w:sz w:val="20"/>
          <w:szCs w:val="20"/>
          <w:color w:val="auto"/>
        </w:rPr>
      </w:pPr>
    </w:p>
    <w:p>
      <w:pPr>
        <w:ind w:left="1020" w:right="879"/>
        <w:spacing w:after="0" w:line="271"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ratably to pay the Indebtedness in respect of the Prepayment Premium then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to the Lenders until paid in full;</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sixth</w:t>
      </w:r>
      <w:r>
        <w:rPr>
          <w:rFonts w:ascii="Arial" w:cs="Arial" w:eastAsia="Arial" w:hAnsi="Arial"/>
          <w:sz w:val="17"/>
          <w:szCs w:val="17"/>
          <w:color w:val="auto"/>
        </w:rPr>
        <w:t>, to the ratable payment of all other Indebtedness then due and payable until paid in full; and</w:t>
      </w:r>
    </w:p>
    <w:p>
      <w:pPr>
        <w:spacing w:after="0" w:line="115" w:lineRule="exact"/>
        <w:rPr>
          <w:sz w:val="20"/>
          <w:szCs w:val="20"/>
          <w:color w:val="auto"/>
        </w:rPr>
      </w:pPr>
    </w:p>
    <w:p>
      <w:pPr>
        <w:ind w:left="1020" w:right="759"/>
        <w:spacing w:after="0" w:line="271" w:lineRule="auto"/>
        <w:rPr>
          <w:sz w:val="20"/>
          <w:szCs w:val="20"/>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all remaining amounts to the Borrower or such other Person entitled thereto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w:t>
      </w:r>
    </w:p>
    <w:p>
      <w:pPr>
        <w:spacing w:after="0" w:line="46"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(b)  For purposes of Section 9.2, “paid in full” means payment in cash of all amounts owing under the Loan Documents according to the terms thereof, including loan fees, service fees,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6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In the event of a direct conflict between the priority provisions of Section 9.2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w:t>
      </w:r>
    </w:p>
    <w:p>
      <w:pPr>
        <w:spacing w:after="0" w:line="6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Ratable Sharing</w:t>
      </w:r>
      <w:r>
        <w:rPr>
          <w:rFonts w:ascii="Arial" w:cs="Arial" w:eastAsia="Arial" w:hAnsi="Arial"/>
          <w:sz w:val="18"/>
          <w:szCs w:val="18"/>
          <w:color w:val="auto"/>
        </w:rPr>
        <w:t>.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Arial" w:cs="Arial" w:eastAsia="Arial" w:hAnsi="Arial"/>
          <w:sz w:val="18"/>
          <w:szCs w:val="18"/>
          <w:b w:val="1"/>
          <w:bCs w:val="1"/>
          <w:color w:val="auto"/>
        </w:rPr>
        <w:t>Aggregate Amounts Due</w:t>
      </w:r>
      <w:r>
        <w:rPr>
          <w:rFonts w:ascii="Arial" w:cs="Arial" w:eastAsia="Arial" w:hAnsi="Arial"/>
          <w:sz w:val="18"/>
          <w:szCs w:val="18"/>
          <w:color w:val="auto"/>
        </w:rPr>
        <w:t xml:space="preserv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w:t>
      </w:r>
      <w:r>
        <w:rPr>
          <w:rFonts w:ascii="Arial" w:cs="Arial" w:eastAsia="Arial" w:hAnsi="Arial"/>
          <w:sz w:val="18"/>
          <w:szCs w:val="18"/>
          <w:u w:val="single" w:color="auto"/>
          <w:color w:val="auto"/>
        </w:rPr>
        <w:t>provided</w:t>
      </w:r>
      <w:r>
        <w:rPr>
          <w:rFonts w:ascii="Arial" w:cs="Arial" w:eastAsia="Arial" w:hAnsi="Arial"/>
          <w:sz w:val="18"/>
          <w:szCs w:val="18"/>
          <w:color w:val="auto"/>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Treatment of a Defaulting Lender</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(a)  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spacing w:after="0" w:line="66" w:lineRule="exact"/>
        <w:rPr>
          <w:sz w:val="20"/>
          <w:szCs w:val="20"/>
          <w:color w:val="auto"/>
        </w:rPr>
      </w:pPr>
    </w:p>
    <w:p>
      <w:pPr>
        <w:ind w:left="660" w:right="539"/>
        <w:spacing w:after="0" w:line="247" w:lineRule="auto"/>
        <w:rPr>
          <w:sz w:val="20"/>
          <w:szCs w:val="20"/>
          <w:color w:val="auto"/>
        </w:rPr>
      </w:pPr>
      <w:r>
        <w:rPr>
          <w:rFonts w:ascii="Arial" w:cs="Arial" w:eastAsia="Arial" w:hAnsi="Arial"/>
          <w:sz w:val="18"/>
          <w:szCs w:val="18"/>
          <w:color w:val="auto"/>
        </w:rPr>
        <w:t>(b)  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w:t>
      </w:r>
    </w:p>
    <w:p>
      <w:pPr>
        <w:spacing w:after="0" w:line="66"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(c)  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to the payment of any amounts owing to the Lenders as a result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 xml:space="preserve">judgment of a court of competent jurisdiction obtained 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YIELD PROTECTION; INCREASED COSTS; MARGIN ADJUSTMENTS; TAXES.</w:t>
      </w:r>
    </w:p>
    <w:p>
      <w:pPr>
        <w:spacing w:after="0" w:line="10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Capital Adequacy and Other Increased Costs</w:t>
      </w:r>
      <w:r>
        <w:rPr>
          <w:rFonts w:ascii="Arial" w:cs="Arial" w:eastAsia="Arial" w:hAnsi="Arial"/>
          <w:sz w:val="18"/>
          <w:szCs w:val="18"/>
          <w:color w:val="auto"/>
        </w:rPr>
        <w:t>.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w:t>
      </w:r>
    </w:p>
    <w:p>
      <w:pPr>
        <w:spacing w:after="0" w:line="8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Right of Lenders to Fund through Branches and Affiliates</w:t>
      </w:r>
      <w:r>
        <w:rPr>
          <w:rFonts w:ascii="Arial" w:cs="Arial" w:eastAsia="Arial" w:hAnsi="Arial"/>
          <w:sz w:val="18"/>
          <w:szCs w:val="18"/>
          <w:color w:val="auto"/>
        </w:rPr>
        <w:t xml:space="preserve">. Each Lender may, if it so elects, fulfill its commitment as to any Loan hereunder by designating a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 shall remain solely responsible for the performances of its obligations hereunder and (b) no such designation shall result in any material increased costs to the Borrower or the Agent.</w:t>
      </w:r>
    </w:p>
    <w:p>
      <w:pPr>
        <w:spacing w:after="0" w:line="68"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spacing w:after="0" w:line="78" w:lineRule="exact"/>
        <w:rPr>
          <w:sz w:val="20"/>
          <w:szCs w:val="20"/>
          <w:color w:val="auto"/>
        </w:rPr>
      </w:pPr>
    </w:p>
    <w:p>
      <w:pPr>
        <w:ind w:left="660" w:right="879"/>
        <w:spacing w:after="0" w:line="253" w:lineRule="auto"/>
        <w:rPr>
          <w:sz w:val="20"/>
          <w:szCs w:val="20"/>
          <w:color w:val="auto"/>
        </w:rPr>
      </w:pPr>
      <w:r>
        <w:rPr>
          <w:rFonts w:ascii="Arial" w:cs="Arial" w:eastAsia="Arial" w:hAnsi="Arial"/>
          <w:sz w:val="18"/>
          <w:szCs w:val="18"/>
          <w:color w:val="auto"/>
        </w:rPr>
        <w:t>(b)  Without duplication of Section 10.4(a), the Credit Parties shall timely pay to the relevant Governmental Authority in accordance with applicable law, or at the option of the Agent, timely reimburse it for the payment of, any Other Taxes.</w:t>
      </w:r>
    </w:p>
    <w:p>
      <w:pPr>
        <w:spacing w:after="0" w:line="61" w:lineRule="exact"/>
        <w:rPr>
          <w:sz w:val="20"/>
          <w:szCs w:val="20"/>
          <w:color w:val="auto"/>
        </w:rPr>
      </w:pPr>
    </w:p>
    <w:p>
      <w:pPr>
        <w:ind w:left="660" w:right="479"/>
        <w:spacing w:after="0" w:line="244" w:lineRule="auto"/>
        <w:rPr>
          <w:sz w:val="20"/>
          <w:szCs w:val="20"/>
          <w:color w:val="auto"/>
        </w:rPr>
      </w:pPr>
      <w:r>
        <w:rPr>
          <w:rFonts w:ascii="Arial" w:cs="Arial" w:eastAsia="Arial" w:hAnsi="Arial"/>
          <w:sz w:val="18"/>
          <w:szCs w:val="18"/>
          <w:color w:val="auto"/>
        </w:rPr>
        <w:t>(c)  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68"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(d)  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2"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(e)  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Each Lender shall severally indemnify the Agent, within ten (10) days after demand therefor, for</w:t>
      </w:r>
    </w:p>
    <w:p>
      <w:pPr>
        <w:spacing w:after="0" w:line="14" w:lineRule="exact"/>
        <w:rPr>
          <w:sz w:val="20"/>
          <w:szCs w:val="20"/>
          <w:color w:val="auto"/>
        </w:rPr>
      </w:pPr>
    </w:p>
    <w:p>
      <w:pPr>
        <w:ind w:left="860" w:hanging="208"/>
        <w:spacing w:after="0"/>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Indemnified Taxes attributable to such Lender (but only to the extent the Borrower has</w:t>
      </w:r>
    </w:p>
    <w:p>
      <w:pPr>
        <w:spacing w:after="0" w:line="193"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color w:val="auto"/>
        </w:rPr>
        <w:t>B-75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59"/>
        <w:spacing w:after="0" w:line="238" w:lineRule="auto"/>
        <w:rPr>
          <w:sz w:val="20"/>
          <w:szCs w:val="20"/>
          <w:color w:val="auto"/>
        </w:rPr>
      </w:pPr>
      <w:r>
        <w:rPr>
          <w:rFonts w:ascii="Arial" w:cs="Arial" w:eastAsia="Arial" w:hAnsi="Arial"/>
          <w:sz w:val="18"/>
          <w:szCs w:val="18"/>
          <w:color w:val="auto"/>
        </w:rPr>
        <w:t>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For purposes of this Section 10.4, the term “applicable law” includes FATCA.</w:t>
      </w:r>
    </w:p>
    <w:p>
      <w:pPr>
        <w:spacing w:after="0" w:line="104"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(h)  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AGENT.</w:t>
      </w:r>
    </w:p>
    <w:p>
      <w:pPr>
        <w:spacing w:after="0" w:line="104"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Appointment of the Agent</w:t>
      </w:r>
      <w:r>
        <w:rPr>
          <w:rFonts w:ascii="Arial" w:cs="Arial" w:eastAsia="Arial" w:hAnsi="Arial"/>
          <w:sz w:val="18"/>
          <w:szCs w:val="18"/>
          <w:color w:val="auto"/>
        </w:rPr>
        <w:t>.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w:t>
      </w:r>
    </w:p>
    <w:p>
      <w:pPr>
        <w:spacing w:after="0" w:line="75"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Agency for Perfection</w:t>
      </w:r>
      <w:r>
        <w:rPr>
          <w:rFonts w:ascii="Arial" w:cs="Arial" w:eastAsia="Arial" w:hAnsi="Arial"/>
          <w:sz w:val="18"/>
          <w:szCs w:val="18"/>
          <w:color w:val="auto"/>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w:t>
      </w:r>
    </w:p>
    <w:p>
      <w:pPr>
        <w:spacing w:after="0" w:line="75" w:lineRule="exact"/>
        <w:rPr>
          <w:sz w:val="20"/>
          <w:szCs w:val="20"/>
          <w:color w:val="auto"/>
        </w:rPr>
      </w:pPr>
    </w:p>
    <w:p>
      <w:pPr>
        <w:ind w:left="300" w:right="379"/>
        <w:spacing w:after="0" w:line="25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Scope of the Agent’s Duties</w:t>
      </w:r>
      <w:r>
        <w:rPr>
          <w:rFonts w:ascii="Arial" w:cs="Arial" w:eastAsia="Arial" w:hAnsi="Arial"/>
          <w:sz w:val="17"/>
          <w:szCs w:val="17"/>
          <w:color w:val="auto"/>
        </w:rPr>
        <w:t>.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w:t>
      </w:r>
    </w:p>
    <w:p>
      <w:pPr>
        <w:spacing w:after="0" w:line="2" w:lineRule="exact"/>
        <w:rPr>
          <w:sz w:val="20"/>
          <w:szCs w:val="20"/>
          <w:color w:val="auto"/>
        </w:rPr>
      </w:pPr>
    </w:p>
    <w:p>
      <w:pPr>
        <w:ind w:left="300" w:right="299" w:hanging="8"/>
        <w:spacing w:after="0" w:line="237" w:lineRule="auto"/>
        <w:tabs>
          <w:tab w:leader="none" w:pos="5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Successor Agent</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(a)  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Arial" w:cs="Arial" w:eastAsia="Arial" w:hAnsi="Arial"/>
          <w:sz w:val="18"/>
          <w:szCs w:val="18"/>
          <w:b w:val="1"/>
          <w:bCs w:val="1"/>
          <w:color w:val="auto"/>
        </w:rPr>
        <w:t>Successor Agent</w:t>
      </w:r>
      <w:r>
        <w:rPr>
          <w:rFonts w:ascii="Arial" w:cs="Arial" w:eastAsia="Arial" w:hAnsi="Arial"/>
          <w:sz w:val="18"/>
          <w:szCs w:val="18"/>
          <w:color w:val="auto"/>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w:t>
      </w:r>
    </w:p>
    <w:p>
      <w:pPr>
        <w:spacing w:after="0" w:line="80" w:lineRule="exact"/>
        <w:rPr>
          <w:sz w:val="20"/>
          <w:szCs w:val="20"/>
          <w:color w:val="auto"/>
        </w:rPr>
      </w:pPr>
    </w:p>
    <w:p>
      <w:pPr>
        <w:ind w:left="660" w:right="299"/>
        <w:spacing w:after="0" w:line="247" w:lineRule="auto"/>
        <w:rPr>
          <w:sz w:val="20"/>
          <w:szCs w:val="20"/>
          <w:color w:val="auto"/>
        </w:rPr>
      </w:pPr>
      <w:r>
        <w:rPr>
          <w:rFonts w:ascii="Arial" w:cs="Arial" w:eastAsia="Arial" w:hAnsi="Arial"/>
          <w:sz w:val="18"/>
          <w:szCs w:val="18"/>
          <w:color w:val="auto"/>
        </w:rPr>
        <w:t xml:space="preserve">(b)  Notwithstanding anything herein to the contrary, CHS may assign its rights and duties as the Agent hereunder to its Affiliates and Related Funds without the prior written consent of, or prior written notice to, the Borrower or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and the Lenders may deem and treat such assigning Agent as the Agent for all purposes hereof, unless and until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39"/>
        <w:spacing w:after="0" w:line="275" w:lineRule="auto"/>
        <w:rPr>
          <w:sz w:val="20"/>
          <w:szCs w:val="20"/>
          <w:color w:val="auto"/>
        </w:rPr>
      </w:pPr>
      <w:r>
        <w:rPr>
          <w:rFonts w:ascii="Arial" w:cs="Arial" w:eastAsia="Arial" w:hAnsi="Arial"/>
          <w:sz w:val="17"/>
          <w:szCs w:val="17"/>
          <w:color w:val="auto"/>
        </w:rPr>
        <w:t>such assigning Agent provides written notice to the Borrower and the Lenders of such assignment. Upon such assignment such Person shall succeed to and become vested with all rights, powers, privileges and duties as the Agent hereunder and under the other Loan Documents.</w:t>
      </w:r>
    </w:p>
    <w:p>
      <w:pPr>
        <w:spacing w:after="0" w:line="44" w:lineRule="exact"/>
        <w:rPr>
          <w:sz w:val="20"/>
          <w:szCs w:val="20"/>
          <w:color w:val="auto"/>
        </w:rPr>
      </w:pPr>
    </w:p>
    <w:p>
      <w:pPr>
        <w:ind w:left="660" w:right="359"/>
        <w:spacing w:after="0" w:line="250" w:lineRule="auto"/>
        <w:rPr>
          <w:sz w:val="20"/>
          <w:szCs w:val="20"/>
          <w:color w:val="auto"/>
        </w:rPr>
      </w:pPr>
      <w:r>
        <w:rPr>
          <w:rFonts w:ascii="Arial" w:cs="Arial" w:eastAsia="Arial" w:hAnsi="Arial"/>
          <w:sz w:val="17"/>
          <w:szCs w:val="17"/>
          <w:color w:val="auto"/>
        </w:rPr>
        <w:t>(c)  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Arial" w:cs="Arial" w:eastAsia="Arial" w:hAnsi="Arial"/>
          <w:sz w:val="17"/>
          <w:szCs w:val="17"/>
          <w:u w:val="single" w:color="auto"/>
          <w:color w:val="auto"/>
        </w:rPr>
        <w:t>Supplemental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Agents</w:t>
      </w:r>
      <w:r>
        <w:rPr>
          <w:rFonts w:ascii="Arial" w:cs="Arial" w:eastAsia="Arial" w:hAnsi="Arial"/>
          <w:sz w:val="17"/>
          <w:szCs w:val="17"/>
          <w:color w:val="auto"/>
        </w:rPr>
        <w:t>”)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spacing w:after="0" w:line="28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Credit Decisions</w:t>
      </w:r>
      <w:r>
        <w:rPr>
          <w:rFonts w:ascii="Arial" w:cs="Arial" w:eastAsia="Arial" w:hAnsi="Arial"/>
          <w:sz w:val="18"/>
          <w:szCs w:val="18"/>
          <w:color w:val="auto"/>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spacing w:after="0" w:line="72"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Authority of the Agent to Enforce This Agreement</w:t>
      </w:r>
      <w:r>
        <w:rPr>
          <w:rFonts w:ascii="Arial" w:cs="Arial" w:eastAsia="Arial" w:hAnsi="Arial"/>
          <w:sz w:val="18"/>
          <w:szCs w:val="18"/>
          <w:color w:val="auto"/>
        </w:rPr>
        <w:t>. Each Lender, subject to the terms and conditions of this Agreement, grants the Agent full power and authority as attorney-in-fact to institute and maintain actions, suits or proceedings for the collection and enforcement of any Indebtedness (including any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spacing w:after="0" w:line="72" w:lineRule="exact"/>
        <w:rPr>
          <w:sz w:val="20"/>
          <w:szCs w:val="20"/>
          <w:color w:val="auto"/>
        </w:rPr>
      </w:pPr>
    </w:p>
    <w:p>
      <w:pPr>
        <w:jc w:val="both"/>
        <w:ind w:left="300" w:right="719"/>
        <w:spacing w:after="0" w:line="280"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Indemnification of the Agent</w:t>
      </w:r>
      <w:r>
        <w:rPr>
          <w:rFonts w:ascii="Arial" w:cs="Arial" w:eastAsia="Arial" w:hAnsi="Arial"/>
          <w:sz w:val="17"/>
          <w:szCs w:val="17"/>
          <w:color w:val="auto"/>
        </w:rPr>
        <w:t>. The Lenders agree to indemnify the Agent, its Affiliates and their respective officers, partners, directors, trustees employees and agents (each, an “</w:t>
      </w:r>
      <w:r>
        <w:rPr>
          <w:rFonts w:ascii="Arial" w:cs="Arial" w:eastAsia="Arial" w:hAnsi="Arial"/>
          <w:sz w:val="17"/>
          <w:szCs w:val="17"/>
          <w:b w:val="1"/>
          <w:bCs w:val="1"/>
          <w:color w:val="auto"/>
        </w:rPr>
        <w:t>Indemnitee Agent</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(to the extent not reimbursed by the Borrower, but without limiting any obligation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spacing w:after="0" w:line="74"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Knowledge of Default</w:t>
      </w:r>
      <w:r>
        <w:rPr>
          <w:rFonts w:ascii="Arial" w:cs="Arial" w:eastAsia="Arial" w:hAnsi="Arial"/>
          <w:sz w:val="18"/>
          <w:szCs w:val="18"/>
          <w:color w:val="auto"/>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spacing w:after="0" w:line="72"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The Agent’s Authorization; Action by Lenders</w:t>
      </w:r>
      <w:r>
        <w:rPr>
          <w:rFonts w:ascii="Arial" w:cs="Arial" w:eastAsia="Arial" w:hAnsi="Arial"/>
          <w:sz w:val="18"/>
          <w:szCs w:val="18"/>
          <w:color w:val="auto"/>
        </w:rPr>
        <w:t>.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Enforcement Actions by the Agent</w:t>
      </w:r>
      <w:r>
        <w:rPr>
          <w:rFonts w:ascii="Arial" w:cs="Arial" w:eastAsia="Arial" w:hAnsi="Arial"/>
          <w:sz w:val="18"/>
          <w:szCs w:val="18"/>
          <w:color w:val="auto"/>
        </w:rPr>
        <w: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Prepayment Premium) as a credit on account of the purchase price for any Collateral payable by the Agent at such sale.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104" w:lineRule="exact"/>
        <w:rPr>
          <w:sz w:val="20"/>
          <w:szCs w:val="20"/>
          <w:color w:val="auto"/>
        </w:rPr>
      </w:pPr>
    </w:p>
    <w:p>
      <w:pPr>
        <w:ind w:left="660" w:right="499"/>
        <w:spacing w:after="0" w:line="266" w:lineRule="auto"/>
        <w:rPr>
          <w:sz w:val="20"/>
          <w:szCs w:val="20"/>
          <w:color w:val="auto"/>
        </w:rPr>
      </w:pPr>
      <w:r>
        <w:rPr>
          <w:rFonts w:ascii="Arial" w:cs="Arial" w:eastAsia="Arial" w:hAnsi="Arial"/>
          <w:sz w:val="17"/>
          <w:szCs w:val="17"/>
          <w:color w:val="auto"/>
        </w:rPr>
        <w:t>(a)  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spacing w:after="0" w:line="51" w:lineRule="exact"/>
        <w:rPr>
          <w:sz w:val="20"/>
          <w:szCs w:val="20"/>
          <w:color w:val="auto"/>
        </w:rPr>
      </w:pPr>
    </w:p>
    <w:p>
      <w:pPr>
        <w:ind w:left="660" w:right="439"/>
        <w:spacing w:after="0" w:line="238" w:lineRule="auto"/>
        <w:rPr>
          <w:sz w:val="20"/>
          <w:szCs w:val="20"/>
          <w:color w:val="auto"/>
        </w:rPr>
      </w:pPr>
      <w:r>
        <w:rPr>
          <w:rFonts w:ascii="Arial" w:cs="Arial" w:eastAsia="Arial" w:hAnsi="Arial"/>
          <w:sz w:val="18"/>
          <w:szCs w:val="18"/>
          <w:color w:val="auto"/>
        </w:rPr>
        <w:t>(b)  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w:t>
      </w:r>
    </w:p>
    <w:p>
      <w:pPr>
        <w:spacing w:after="0" w:line="75"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The Agent in its Individual Capacity</w:t>
      </w:r>
      <w:r>
        <w:rPr>
          <w:rFonts w:ascii="Arial" w:cs="Arial" w:eastAsia="Arial" w:hAnsi="Arial"/>
          <w:sz w:val="18"/>
          <w:szCs w:val="18"/>
          <w:color w:val="auto"/>
        </w:rPr>
        <w:t>. CHS and its Affiliates, successors and assigns shall each have the same rights and powers hereunder as any other Lender and may exercise or refrain from exercising the same as though such Lender were not the Agent. CHS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spacing w:after="0" w:line="77"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Specified Subordination Agreement and Subordination Agreements</w:t>
      </w:r>
      <w:r>
        <w:rPr>
          <w:rFonts w:ascii="Arial" w:cs="Arial" w:eastAsia="Arial" w:hAnsi="Arial"/>
          <w:sz w:val="18"/>
          <w:szCs w:val="18"/>
          <w:color w:val="auto"/>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No Reliance on the Agent’s Customer Identification Program</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(a)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18"/>
          <w:szCs w:val="18"/>
          <w:b w:val="1"/>
          <w:bCs w:val="1"/>
          <w:color w:val="auto"/>
        </w:rPr>
        <w:t>CIP Regulations</w:t>
      </w:r>
      <w:r>
        <w:rPr>
          <w:rFonts w:ascii="Arial" w:cs="Arial" w:eastAsia="Arial" w:hAnsi="Arial"/>
          <w:sz w:val="18"/>
          <w:szCs w:val="18"/>
          <w:color w:val="auto"/>
        </w:rPr>
        <w:t>”),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spacing w:after="0" w:line="72" w:lineRule="exact"/>
        <w:rPr>
          <w:sz w:val="20"/>
          <w:szCs w:val="20"/>
          <w:color w:val="auto"/>
        </w:rPr>
      </w:pPr>
    </w:p>
    <w:p>
      <w:pPr>
        <w:ind w:left="660" w:right="439"/>
        <w:spacing w:after="0" w:line="239" w:lineRule="auto"/>
        <w:rPr>
          <w:sz w:val="20"/>
          <w:szCs w:val="20"/>
          <w:color w:val="auto"/>
        </w:rPr>
      </w:pPr>
      <w:r>
        <w:rPr>
          <w:rFonts w:ascii="Arial" w:cs="Arial" w:eastAsia="Arial" w:hAnsi="Arial"/>
          <w:sz w:val="18"/>
          <w:szCs w:val="18"/>
          <w:color w:val="auto"/>
        </w:rPr>
        <w:t>(b)  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Restatement Date, and (y) at such other times as are required under the USA Patriot Act.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MISCELLANEOUS.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04" w:lineRule="exact"/>
        <w:rPr>
          <w:sz w:val="20"/>
          <w:szCs w:val="20"/>
          <w:color w:val="auto"/>
        </w:rPr>
      </w:pPr>
    </w:p>
    <w:p>
      <w:pPr>
        <w:ind w:left="300" w:right="719"/>
        <w:spacing w:after="0" w:line="25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ALL JUDICIAL PROCEEDINGS BROUGHT AGAINST ANY THE BORROWER OR ANY GUARANTOR ARISING OUT OF OR RELATING HERETO OR ANY OTHER LOAN DOCUMENT,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ANY OF THE INDEBTEDNESS (INCLUDING ANY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spacing w:after="0" w:line="80" w:lineRule="exact"/>
        <w:rPr>
          <w:sz w:val="20"/>
          <w:szCs w:val="20"/>
          <w:color w:val="auto"/>
        </w:rPr>
      </w:pPr>
    </w:p>
    <w:p>
      <w:pPr>
        <w:ind w:left="300" w:right="519"/>
        <w:spacing w:after="0" w:line="24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Closing Costs and Other Costs; Indemnification</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(a)  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Arial" w:cs="Arial" w:eastAsia="Arial" w:hAnsi="Arial"/>
          <w:sz w:val="18"/>
          <w:szCs w:val="18"/>
          <w:b w:val="1"/>
          <w:bCs w:val="1"/>
          <w:color w:val="auto"/>
        </w:rPr>
        <w:t>Legal</w:t>
      </w:r>
      <w:r>
        <w:rPr>
          <w:rFonts w:ascii="Arial" w:cs="Arial" w:eastAsia="Arial" w:hAnsi="Arial"/>
          <w:sz w:val="18"/>
          <w:szCs w:val="18"/>
          <w:color w:val="auto"/>
        </w:rPr>
        <w:t xml:space="preserve"> </w:t>
      </w:r>
      <w:r>
        <w:rPr>
          <w:rFonts w:ascii="Arial" w:cs="Arial" w:eastAsia="Arial" w:hAnsi="Arial"/>
          <w:sz w:val="18"/>
          <w:szCs w:val="18"/>
          <w:b w:val="1"/>
          <w:bCs w:val="1"/>
          <w:color w:val="auto"/>
        </w:rPr>
        <w:t>Counsel Limitations</w:t>
      </w:r>
      <w:r>
        <w:rPr>
          <w:rFonts w:ascii="Arial" w:cs="Arial" w:eastAsia="Arial" w:hAnsi="Arial"/>
          <w:sz w:val="18"/>
          <w:szCs w:val="18"/>
          <w:color w:val="auto"/>
        </w:rPr>
        <w:t>”)) and advances, appraisal, auditing, consulting and accounting fees,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(subject to the Legal Counsel Limitations),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w:t>
      </w:r>
    </w:p>
    <w:p>
      <w:pPr>
        <w:spacing w:after="0" w:line="71" w:lineRule="exact"/>
        <w:rPr>
          <w:sz w:val="20"/>
          <w:szCs w:val="20"/>
          <w:color w:val="auto"/>
        </w:rPr>
      </w:pPr>
    </w:p>
    <w:p>
      <w:pPr>
        <w:ind w:left="660" w:right="439"/>
        <w:spacing w:after="0" w:line="251" w:lineRule="auto"/>
        <w:rPr>
          <w:sz w:val="20"/>
          <w:szCs w:val="20"/>
          <w:color w:val="auto"/>
        </w:rPr>
      </w:pPr>
      <w:r>
        <w:rPr>
          <w:rFonts w:ascii="Arial" w:cs="Arial" w:eastAsia="Arial" w:hAnsi="Arial"/>
          <w:sz w:val="17"/>
          <w:szCs w:val="17"/>
          <w:color w:val="auto"/>
        </w:rPr>
        <w:t xml:space="preserve">(b)  IN ADDITION TO THE PAYMENT OF EXPENSES PURSUANT TO </w:t>
      </w:r>
      <w:r>
        <w:rPr>
          <w:rFonts w:ascii="Arial" w:cs="Arial" w:eastAsia="Arial" w:hAnsi="Arial"/>
          <w:sz w:val="17"/>
          <w:szCs w:val="17"/>
          <w:u w:val="single" w:color="auto"/>
          <w:color w:val="auto"/>
        </w:rPr>
        <w:t>SECTION 12.4(a)</w:t>
      </w:r>
      <w:r>
        <w:rPr>
          <w:rFonts w:ascii="Arial" w:cs="Arial" w:eastAsia="Arial" w:hAnsi="Arial"/>
          <w:sz w:val="17"/>
          <w:szCs w:val="17"/>
          <w:color w:val="auto"/>
        </w:rPr>
        <w:t>,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w:t>
      </w:r>
      <w:r>
        <w:rPr>
          <w:rFonts w:ascii="Arial" w:cs="Arial" w:eastAsia="Arial" w:hAnsi="Arial"/>
          <w:sz w:val="17"/>
          <w:szCs w:val="17"/>
          <w:b w:val="1"/>
          <w:bCs w:val="1"/>
          <w:color w:val="auto"/>
        </w:rPr>
        <w:t>INDEMNITEE</w:t>
      </w:r>
      <w:r>
        <w:rPr>
          <w:rFonts w:ascii="Arial" w:cs="Arial" w:eastAsia="Arial" w:hAnsi="Arial"/>
          <w:sz w:val="17"/>
          <w:szCs w:val="17"/>
          <w:color w:val="auto"/>
        </w:rPr>
        <w:t xml:space="preserve">”), FROM AND AGAINST ANY AND ALL INDEMNIFIED LIABILITIES, </w:t>
      </w:r>
      <w:r>
        <w:rPr>
          <w:rFonts w:ascii="Arial" w:cs="Arial" w:eastAsia="Arial" w:hAnsi="Arial"/>
          <w:sz w:val="17"/>
          <w:szCs w:val="17"/>
          <w:b w:val="1"/>
          <w:bCs w:val="1"/>
          <w:color w:val="auto"/>
        </w:rPr>
        <w:t>IN ALL</w:t>
      </w:r>
    </w:p>
    <w:p>
      <w:pPr>
        <w:spacing w:after="0" w:line="4" w:lineRule="exact"/>
        <w:rPr>
          <w:sz w:val="20"/>
          <w:szCs w:val="20"/>
          <w:color w:val="auto"/>
        </w:rPr>
      </w:pPr>
    </w:p>
    <w:p>
      <w:pPr>
        <w:ind w:left="660" w:right="439"/>
        <w:spacing w:after="0" w:line="236" w:lineRule="auto"/>
        <w:rPr>
          <w:sz w:val="20"/>
          <w:szCs w:val="20"/>
          <w:color w:val="auto"/>
        </w:rPr>
      </w:pPr>
      <w:r>
        <w:rPr>
          <w:rFonts w:ascii="Arial" w:cs="Arial" w:eastAsia="Arial" w:hAnsi="Arial"/>
          <w:sz w:val="18"/>
          <w:szCs w:val="18"/>
          <w:b w:val="1"/>
          <w:bCs w:val="1"/>
          <w:color w:val="auto"/>
        </w:rPr>
        <w:t>CASES, WHETHER OR NOT CAUSED BY OR ARISING, IN WHOLE OR IN PART, OUT OF THE COMPARATIVE, CONTRIBUTORY, OR SOLE NEGLIGENCE OF SUCH INDEMNITEE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NOT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Arial" w:cs="Arial" w:eastAsia="Arial" w:hAnsi="Arial"/>
          <w:sz w:val="18"/>
          <w:szCs w:val="18"/>
          <w:u w:val="single" w:color="auto"/>
          <w:color w:val="auto"/>
        </w:rPr>
        <w:t>SECTION 12.4(b)</w:t>
      </w:r>
      <w:r>
        <w:rPr>
          <w:rFonts w:ascii="Arial" w:cs="Arial" w:eastAsia="Arial" w:hAnsi="Arial"/>
          <w:sz w:val="18"/>
          <w:szCs w:val="18"/>
          <w:color w:val="auto"/>
        </w:rPr>
        <w:t xml:space="preserve">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spacing w:after="0" w:line="77"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(c)  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Except as expressly provided otherwise in this Agreement (and except as provided in clause</w:t>
      </w:r>
    </w:p>
    <w:p>
      <w:pPr>
        <w:spacing w:after="0" w:line="14" w:lineRule="exact"/>
        <w:rPr>
          <w:sz w:val="20"/>
          <w:szCs w:val="20"/>
          <w:color w:val="auto"/>
        </w:rPr>
      </w:pPr>
    </w:p>
    <w:p>
      <w:pPr>
        <w:ind w:left="660" w:right="319" w:hanging="8"/>
        <w:spacing w:after="0" w:line="236" w:lineRule="auto"/>
        <w:tabs>
          <w:tab w:leader="none" w:pos="9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99"/>
        <w:spacing w:after="0" w:line="253" w:lineRule="auto"/>
        <w:rPr>
          <w:sz w:val="20"/>
          <w:szCs w:val="20"/>
          <w:color w:val="auto"/>
        </w:rPr>
      </w:pPr>
      <w:r>
        <w:rPr>
          <w:rFonts w:ascii="Arial" w:cs="Arial" w:eastAsia="Arial" w:hAnsi="Arial"/>
          <w:sz w:val="18"/>
          <w:szCs w:val="18"/>
          <w:color w:val="auto"/>
        </w:rPr>
        <w:t>with the provisions of this Section set forth above. If such telephonic notice conflicts with any such confirmation, the terms of such confirmation shall control. Any notice given by the Agent or any Lender to the Borrower shall be deemed to be a notice to all of the Credit Parties.</w:t>
      </w:r>
    </w:p>
    <w:p>
      <w:pPr>
        <w:spacing w:after="0" w:line="61"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(b)  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74"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Further Action</w:t>
      </w:r>
      <w:r>
        <w:rPr>
          <w:rFonts w:ascii="Arial" w:cs="Arial" w:eastAsia="Arial" w:hAnsi="Arial"/>
          <w:sz w:val="18"/>
          <w:szCs w:val="18"/>
          <w:color w:val="auto"/>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Successors and Assigns; Participations; Assignments</w:t>
      </w:r>
      <w:r>
        <w:rPr>
          <w:rFonts w:ascii="Arial" w:cs="Arial" w:eastAsia="Arial" w:hAnsi="Arial"/>
          <w:sz w:val="18"/>
          <w:szCs w:val="18"/>
          <w:color w:val="auto"/>
        </w:rPr>
        <w:t>.</w:t>
      </w:r>
    </w:p>
    <w:p>
      <w:pPr>
        <w:spacing w:after="0" w:line="104"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(a)  This Agreement shall be binding upon and shall inure to the benefit of the Borrower and the Lenders and their respective successors and assigns.</w:t>
      </w:r>
    </w:p>
    <w:p>
      <w:pPr>
        <w:spacing w:after="0" w:line="46" w:lineRule="exact"/>
        <w:rPr>
          <w:sz w:val="20"/>
          <w:szCs w:val="20"/>
          <w:color w:val="auto"/>
        </w:rPr>
      </w:pPr>
    </w:p>
    <w:p>
      <w:pPr>
        <w:ind w:left="660" w:right="779"/>
        <w:spacing w:after="0" w:line="253" w:lineRule="auto"/>
        <w:rPr>
          <w:sz w:val="20"/>
          <w:szCs w:val="20"/>
          <w:color w:val="auto"/>
        </w:rPr>
      </w:pPr>
      <w:r>
        <w:rPr>
          <w:rFonts w:ascii="Arial" w:cs="Arial" w:eastAsia="Arial" w:hAnsi="Arial"/>
          <w:sz w:val="18"/>
          <w:szCs w:val="18"/>
          <w:color w:val="auto"/>
        </w:rPr>
        <w:t>(b)  The foregoing shall not authorize any assignment by the Borrower of its rights or duties hereunder, and, except as otherwise provided herein, no such assignment shall be made (or be effective) without the prior written approval of the Lenders.</w:t>
      </w:r>
    </w:p>
    <w:p>
      <w:pPr>
        <w:spacing w:after="0" w:line="61"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(c)  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spacing w:after="0" w:line="72" w:lineRule="exact"/>
        <w:rPr>
          <w:sz w:val="20"/>
          <w:szCs w:val="20"/>
          <w:color w:val="auto"/>
        </w:rPr>
      </w:pPr>
    </w:p>
    <w:p>
      <w:pPr>
        <w:ind w:left="660" w:right="599"/>
        <w:spacing w:after="0" w:line="271" w:lineRule="auto"/>
        <w:rPr>
          <w:sz w:val="20"/>
          <w:szCs w:val="20"/>
          <w:color w:val="auto"/>
        </w:rPr>
      </w:pPr>
      <w:r>
        <w:rPr>
          <w:rFonts w:ascii="Arial" w:cs="Arial" w:eastAsia="Arial" w:hAnsi="Arial"/>
          <w:sz w:val="18"/>
          <w:szCs w:val="18"/>
          <w:color w:val="auto"/>
        </w:rPr>
        <w:t>(d)  Each assignment by a Lender of all or any portion of its rights and obligations hereunder and under the other Loan Documents, shall be subject to the following terms and conditions:</w:t>
      </w:r>
    </w:p>
    <w:p>
      <w:pPr>
        <w:spacing w:after="0" w:line="46" w:lineRule="exact"/>
        <w:rPr>
          <w:sz w:val="20"/>
          <w:szCs w:val="20"/>
          <w:color w:val="auto"/>
        </w:rPr>
      </w:pPr>
    </w:p>
    <w:p>
      <w:pPr>
        <w:ind w:left="1020" w:right="359"/>
        <w:spacing w:after="0" w:line="271" w:lineRule="auto"/>
        <w:rPr>
          <w:sz w:val="20"/>
          <w:szCs w:val="20"/>
          <w:color w:val="auto"/>
        </w:rPr>
      </w:pPr>
      <w:r>
        <w:rPr>
          <w:rFonts w:ascii="Arial" w:cs="Arial" w:eastAsia="Arial" w:hAnsi="Arial"/>
          <w:sz w:val="18"/>
          <w:szCs w:val="18"/>
          <w:color w:val="auto"/>
        </w:rPr>
        <w:t>(i)  each such assignment shall be made on a pro rata basis with respect to each Class of Term Loans, and shall be in a minimum amount of the lesser of Five Million Dollars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59"/>
        <w:spacing w:after="0" w:line="253" w:lineRule="auto"/>
        <w:rPr>
          <w:sz w:val="20"/>
          <w:szCs w:val="20"/>
          <w:color w:val="auto"/>
        </w:rPr>
      </w:pPr>
      <w:r>
        <w:rPr>
          <w:rFonts w:ascii="Arial" w:cs="Arial" w:eastAsia="Arial" w:hAnsi="Arial"/>
          <w:sz w:val="18"/>
          <w:szCs w:val="18"/>
          <w:color w:val="auto"/>
        </w:rPr>
        <w:t>($5,000,000) (or such lesser amount as may be agreed to by the Agent or as shall constitute the aggregate amount of the Term Loan or Incremental Term Loans of a particular tranche of the assigning Lender) with respect to the assignment of Term Loans; and</w:t>
      </w:r>
    </w:p>
    <w:p>
      <w:pPr>
        <w:spacing w:after="0" w:line="61" w:lineRule="exact"/>
        <w:rPr>
          <w:sz w:val="20"/>
          <w:szCs w:val="20"/>
          <w:color w:val="auto"/>
        </w:rPr>
      </w:pPr>
    </w:p>
    <w:p>
      <w:pPr>
        <w:ind w:left="1020" w:right="339"/>
        <w:spacing w:after="0" w:line="244" w:lineRule="auto"/>
        <w:rPr>
          <w:sz w:val="20"/>
          <w:szCs w:val="20"/>
          <w:color w:val="auto"/>
        </w:rPr>
      </w:pPr>
      <w:r>
        <w:rPr>
          <w:rFonts w:ascii="Arial" w:cs="Arial" w:eastAsia="Arial" w:hAnsi="Arial"/>
          <w:sz w:val="18"/>
          <w:szCs w:val="18"/>
          <w:color w:val="auto"/>
        </w:rPr>
        <w:t>(ii)  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spacing w:after="0" w:line="68"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spacing w:after="0" w:line="72"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w:t>
      </w:r>
    </w:p>
    <w:p>
      <w:pPr>
        <w:spacing w:after="0" w:line="75" w:lineRule="exact"/>
        <w:rPr>
          <w:sz w:val="20"/>
          <w:szCs w:val="20"/>
          <w:color w:val="auto"/>
        </w:rPr>
      </w:pPr>
    </w:p>
    <w:p>
      <w:pPr>
        <w:ind w:left="660" w:right="519"/>
        <w:spacing w:after="0" w:line="242" w:lineRule="auto"/>
        <w:rPr>
          <w:sz w:val="20"/>
          <w:szCs w:val="20"/>
          <w:color w:val="auto"/>
        </w:rPr>
      </w:pPr>
      <w:r>
        <w:rPr>
          <w:rFonts w:ascii="Arial" w:cs="Arial" w:eastAsia="Arial" w:hAnsi="Arial"/>
          <w:sz w:val="18"/>
          <w:szCs w:val="18"/>
          <w:color w:val="auto"/>
        </w:rPr>
        <w:t>(e)  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spacing w:after="0" w:line="71" w:lineRule="exact"/>
        <w:rPr>
          <w:sz w:val="20"/>
          <w:szCs w:val="20"/>
          <w:color w:val="auto"/>
        </w:rPr>
      </w:pPr>
    </w:p>
    <w:p>
      <w:pPr>
        <w:ind w:left="1020" w:right="839"/>
        <w:spacing w:after="0" w:line="271" w:lineRule="auto"/>
        <w:rPr>
          <w:sz w:val="20"/>
          <w:szCs w:val="20"/>
          <w:color w:val="auto"/>
        </w:rPr>
      </w:pPr>
      <w:r>
        <w:rPr>
          <w:rFonts w:ascii="Arial" w:cs="Arial" w:eastAsia="Arial" w:hAnsi="Arial"/>
          <w:sz w:val="18"/>
          <w:szCs w:val="18"/>
          <w:color w:val="auto"/>
        </w:rPr>
        <w:t>(i)  such Lender shall remain the holder of its Notes hereunder (if such Notes are issued), notwithstanding any such participation;</w:t>
      </w:r>
    </w:p>
    <w:p>
      <w:pPr>
        <w:spacing w:after="0" w:line="46" w:lineRule="exact"/>
        <w:rPr>
          <w:sz w:val="20"/>
          <w:szCs w:val="20"/>
          <w:color w:val="auto"/>
        </w:rPr>
      </w:pPr>
    </w:p>
    <w:p>
      <w:pPr>
        <w:ind w:left="1020" w:right="379"/>
        <w:spacing w:after="0" w:line="271" w:lineRule="auto"/>
        <w:rPr>
          <w:sz w:val="20"/>
          <w:szCs w:val="20"/>
          <w:color w:val="auto"/>
        </w:rPr>
      </w:pPr>
      <w:r>
        <w:rPr>
          <w:rFonts w:ascii="Arial" w:cs="Arial" w:eastAsia="Arial" w:hAnsi="Arial"/>
          <w:sz w:val="18"/>
          <w:szCs w:val="18"/>
          <w:color w:val="auto"/>
        </w:rPr>
        <w:t>(ii)  a participant shall not reassign or transfer, or grant any sub-participations in its participation interest hereunder or any part thereof;</w:t>
      </w:r>
    </w:p>
    <w:p>
      <w:pPr>
        <w:spacing w:after="0" w:line="46" w:lineRule="exact"/>
        <w:rPr>
          <w:sz w:val="20"/>
          <w:szCs w:val="20"/>
          <w:color w:val="auto"/>
        </w:rPr>
      </w:pPr>
    </w:p>
    <w:p>
      <w:pPr>
        <w:ind w:left="1020" w:right="439"/>
        <w:spacing w:after="0" w:line="238" w:lineRule="auto"/>
        <w:rPr>
          <w:sz w:val="20"/>
          <w:szCs w:val="20"/>
          <w:color w:val="auto"/>
        </w:rPr>
      </w:pPr>
      <w:r>
        <w:rPr>
          <w:rFonts w:ascii="Arial" w:cs="Arial" w:eastAsia="Arial" w:hAnsi="Arial"/>
          <w:sz w:val="18"/>
          <w:szCs w:val="18"/>
          <w:color w:val="auto"/>
        </w:rPr>
        <w:t>(iii)  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spacing w:after="0" w:line="237" w:lineRule="auto"/>
        <w:rPr>
          <w:sz w:val="20"/>
          <w:szCs w:val="20"/>
          <w:color w:val="auto"/>
        </w:rPr>
      </w:pPr>
      <w:r>
        <w:rPr>
          <w:rFonts w:ascii="Arial" w:cs="Arial" w:eastAsia="Arial" w:hAnsi="Arial"/>
          <w:sz w:val="18"/>
          <w:szCs w:val="18"/>
          <w:color w:val="auto"/>
        </w:rPr>
        <w:t>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spacing w:after="0" w:line="81" w:lineRule="exact"/>
        <w:rPr>
          <w:sz w:val="20"/>
          <w:szCs w:val="20"/>
          <w:color w:val="auto"/>
        </w:rPr>
      </w:pPr>
    </w:p>
    <w:p>
      <w:pPr>
        <w:ind w:left="1020" w:right="759"/>
        <w:spacing w:after="0" w:line="271" w:lineRule="auto"/>
        <w:rPr>
          <w:sz w:val="20"/>
          <w:szCs w:val="20"/>
          <w:color w:val="auto"/>
        </w:rPr>
      </w:pPr>
      <w:r>
        <w:rPr>
          <w:rFonts w:ascii="Arial" w:cs="Arial" w:eastAsia="Arial" w:hAnsi="Arial"/>
          <w:sz w:val="18"/>
          <w:szCs w:val="18"/>
          <w:color w:val="auto"/>
        </w:rPr>
        <w:t>(iv)  each participant shall provide the relevant tax form required under Section 12.12 to its participating Lender.</w:t>
      </w:r>
    </w:p>
    <w:p>
      <w:pPr>
        <w:spacing w:after="0" w:line="46" w:lineRule="exact"/>
        <w:rPr>
          <w:sz w:val="20"/>
          <w:szCs w:val="20"/>
          <w:color w:val="auto"/>
        </w:rPr>
      </w:pPr>
    </w:p>
    <w:p>
      <w:pPr>
        <w:ind w:left="660" w:right="319"/>
        <w:spacing w:after="0" w:line="252" w:lineRule="auto"/>
        <w:rPr>
          <w:sz w:val="20"/>
          <w:szCs w:val="20"/>
          <w:color w:val="auto"/>
        </w:rPr>
      </w:pPr>
      <w:r>
        <w:rPr>
          <w:rFonts w:ascii="Arial" w:cs="Arial" w:eastAsia="Arial" w:hAnsi="Arial"/>
          <w:sz w:val="17"/>
          <w:szCs w:val="17"/>
          <w:color w:val="auto"/>
        </w:rPr>
        <w:t>(f)  Each Lender that sells a participation shall, acting solely for this purpose as a non -fiduciary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70"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(g)  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w:t>
      </w:r>
    </w:p>
    <w:p>
      <w:pPr>
        <w:spacing w:after="0" w:line="72"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(h)  The Borrower hereby designates the Agent, and Agent agrees to serve, as the Borrower’s non-fiduciary agent solely for purposes of this Section 12.7(h) to maintain at its principal office in the United States a copy of each Assignment Agreement delivered to it and a register (the “</w:t>
      </w:r>
      <w:r>
        <w:rPr>
          <w:rFonts w:ascii="Arial" w:cs="Arial" w:eastAsia="Arial" w:hAnsi="Arial"/>
          <w:sz w:val="18"/>
          <w:szCs w:val="18"/>
          <w:b w:val="1"/>
          <w:bCs w:val="1"/>
          <w:color w:val="auto"/>
        </w:rPr>
        <w:t>Register</w:t>
      </w:r>
      <w:r>
        <w:rPr>
          <w:rFonts w:ascii="Arial" w:cs="Arial" w:eastAsia="Arial" w:hAnsi="Arial"/>
          <w:sz w:val="18"/>
          <w:szCs w:val="18"/>
          <w:color w:val="auto"/>
        </w:rPr>
        <w:t>”)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39"/>
        <w:spacing w:after="0" w:line="275" w:lineRule="auto"/>
        <w:rPr>
          <w:sz w:val="20"/>
          <w:szCs w:val="20"/>
          <w:color w:val="auto"/>
        </w:rPr>
      </w:pPr>
      <w:r>
        <w:rPr>
          <w:rFonts w:ascii="Arial" w:cs="Arial" w:eastAsia="Arial" w:hAnsi="Arial"/>
          <w:sz w:val="17"/>
          <w:szCs w:val="17"/>
          <w:color w:val="auto"/>
        </w:rPr>
        <w:t>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spacing w:after="0" w:line="44" w:lineRule="exact"/>
        <w:rPr>
          <w:sz w:val="20"/>
          <w:szCs w:val="20"/>
          <w:color w:val="auto"/>
        </w:rPr>
      </w:pPr>
    </w:p>
    <w:p>
      <w:pPr>
        <w:ind w:left="660" w:right="459"/>
        <w:spacing w:after="0" w:line="242" w:lineRule="auto"/>
        <w:rPr>
          <w:sz w:val="20"/>
          <w:szCs w:val="20"/>
          <w:color w:val="auto"/>
        </w:rPr>
      </w:pPr>
      <w:r>
        <w:rPr>
          <w:rFonts w:ascii="Arial" w:cs="Arial" w:eastAsia="Arial" w:hAnsi="Arial"/>
          <w:sz w:val="18"/>
          <w:szCs w:val="18"/>
          <w:color w:val="auto"/>
        </w:rPr>
        <w:t>(i)  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spacing w:after="0" w:line="71"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(j)  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spacing w:after="0" w:line="68"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(a)  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Notwithstanding anything to the contrary herein,</w:t>
      </w:r>
    </w:p>
    <w:p>
      <w:pPr>
        <w:spacing w:after="0" w:line="104" w:lineRule="exact"/>
        <w:rPr>
          <w:sz w:val="20"/>
          <w:szCs w:val="20"/>
          <w:color w:val="auto"/>
        </w:rPr>
      </w:pPr>
    </w:p>
    <w:p>
      <w:pPr>
        <w:ind w:left="1020" w:right="1039"/>
        <w:spacing w:after="0" w:line="271" w:lineRule="auto"/>
        <w:rPr>
          <w:sz w:val="20"/>
          <w:szCs w:val="20"/>
          <w:color w:val="auto"/>
        </w:rPr>
      </w:pPr>
      <w:r>
        <w:rPr>
          <w:rFonts w:ascii="Arial" w:cs="Arial" w:eastAsia="Arial" w:hAnsi="Arial"/>
          <w:sz w:val="18"/>
          <w:szCs w:val="18"/>
          <w:color w:val="auto"/>
        </w:rPr>
        <w:t>(i)  no amendment, waiver or consent shall increase the stated amount of any Lender’s commitment hereunder without such Lender’s consent;</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   no amendment, waiver or consent shall, unless in writing and signed by the Lender or</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Lenders holding Indebtedness directly affected thereby, do any of the following:</w:t>
      </w:r>
    </w:p>
    <w:p>
      <w:pPr>
        <w:spacing w:after="0" w:line="86" w:lineRule="exact"/>
        <w:rPr>
          <w:sz w:val="20"/>
          <w:szCs w:val="20"/>
          <w:color w:val="auto"/>
        </w:rPr>
      </w:pPr>
    </w:p>
    <w:p>
      <w:pPr>
        <w:jc w:val="both"/>
        <w:ind w:left="1380" w:right="319"/>
        <w:spacing w:after="0" w:line="253" w:lineRule="auto"/>
        <w:rPr>
          <w:sz w:val="20"/>
          <w:szCs w:val="20"/>
          <w:color w:val="auto"/>
        </w:rPr>
      </w:pPr>
      <w:r>
        <w:rPr>
          <w:rFonts w:ascii="Arial" w:cs="Arial" w:eastAsia="Arial" w:hAnsi="Arial"/>
          <w:sz w:val="18"/>
          <w:szCs w:val="18"/>
          <w:color w:val="auto"/>
        </w:rPr>
        <w:t>(A)  reduce the principal of, or interest (other than any waiver of any increase in the interest rate applicable to any Loan pursuant to Section 2.6(d)) on, any outstanding Indebtedness or any Fees or other amounts payable hereunder (including any Prepayment Premium),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1380" w:right="339"/>
        <w:spacing w:after="0" w:line="253" w:lineRule="auto"/>
        <w:rPr>
          <w:sz w:val="20"/>
          <w:szCs w:val="20"/>
          <w:color w:val="auto"/>
        </w:rPr>
      </w:pPr>
      <w:r>
        <w:rPr>
          <w:rFonts w:ascii="Arial" w:cs="Arial" w:eastAsia="Arial" w:hAnsi="Arial"/>
          <w:sz w:val="18"/>
          <w:szCs w:val="18"/>
          <w:color w:val="auto"/>
        </w:rPr>
        <w:t>(B)  postpone any date fixed for any payment of principal of, or interest on, any outstanding Indebtedness or any Fees or other amounts payable hereunder (including any Prepayment Premium),</w:t>
      </w:r>
    </w:p>
    <w:p>
      <w:pPr>
        <w:spacing w:after="0" w:line="61" w:lineRule="exact"/>
        <w:rPr>
          <w:sz w:val="20"/>
          <w:szCs w:val="20"/>
          <w:color w:val="auto"/>
        </w:rPr>
      </w:pPr>
    </w:p>
    <w:p>
      <w:pPr>
        <w:ind w:left="1380" w:right="319"/>
        <w:spacing w:after="0"/>
        <w:rPr>
          <w:sz w:val="20"/>
          <w:szCs w:val="20"/>
          <w:color w:val="auto"/>
        </w:rPr>
      </w:pPr>
      <w:r>
        <w:rPr>
          <w:rFonts w:ascii="Arial" w:cs="Arial" w:eastAsia="Arial" w:hAnsi="Arial"/>
          <w:sz w:val="18"/>
          <w:szCs w:val="18"/>
          <w:color w:val="auto"/>
        </w:rPr>
        <w:t>(C)  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   amend the definition of “Pro Rata Share”;</w:t>
      </w:r>
    </w:p>
    <w:p>
      <w:pPr>
        <w:spacing w:after="0" w:line="104"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waiver of a mandatory prepayment, </w:t>
      </w:r>
      <w:r>
        <w:rPr>
          <w:rFonts w:ascii="Arial" w:cs="Arial" w:eastAsia="Arial" w:hAnsi="Arial"/>
          <w:sz w:val="18"/>
          <w:szCs w:val="18"/>
          <w:u w:val="single" w:color="auto"/>
          <w:color w:val="auto"/>
        </w:rPr>
        <w:t>Section 2.11(b)(v)</w:t>
      </w:r>
      <w:r>
        <w:rPr>
          <w:rFonts w:ascii="Arial" w:cs="Arial" w:eastAsia="Arial" w:hAnsi="Arial"/>
          <w:sz w:val="18"/>
          <w:szCs w:val="18"/>
          <w:color w:val="auto"/>
        </w:rPr>
        <w:t xml:space="preserve"> or any Default or Event of Default shall be subject only to the consent of the Majority Lenders;</w:t>
      </w:r>
    </w:p>
    <w:p>
      <w:pPr>
        <w:spacing w:after="0" w:line="46" w:lineRule="exact"/>
        <w:rPr>
          <w:sz w:val="20"/>
          <w:szCs w:val="20"/>
          <w:color w:val="auto"/>
        </w:rPr>
      </w:pPr>
    </w:p>
    <w:p>
      <w:pPr>
        <w:ind w:left="1020" w:right="339"/>
        <w:spacing w:after="0" w:line="271" w:lineRule="auto"/>
        <w:rPr>
          <w:sz w:val="20"/>
          <w:szCs w:val="20"/>
          <w:color w:val="auto"/>
        </w:rPr>
      </w:pPr>
      <w:r>
        <w:rPr>
          <w:rFonts w:ascii="Arial" w:cs="Arial" w:eastAsia="Arial" w:hAnsi="Arial"/>
          <w:sz w:val="18"/>
          <w:szCs w:val="18"/>
          <w:color w:val="auto"/>
        </w:rPr>
        <w:t>(iii)  no amendment, waiver or consent shall, unless in writing and signed by all Lenders, do any of the following:</w:t>
      </w:r>
    </w:p>
    <w:p>
      <w:pPr>
        <w:spacing w:after="0" w:line="46" w:lineRule="exact"/>
        <w:rPr>
          <w:sz w:val="20"/>
          <w:szCs w:val="20"/>
          <w:color w:val="auto"/>
        </w:rPr>
      </w:pPr>
    </w:p>
    <w:p>
      <w:pPr>
        <w:ind w:left="1380" w:right="359"/>
        <w:spacing w:after="0" w:line="239" w:lineRule="auto"/>
        <w:rPr>
          <w:sz w:val="20"/>
          <w:szCs w:val="20"/>
          <w:color w:val="auto"/>
        </w:rPr>
      </w:pPr>
      <w:r>
        <w:rPr>
          <w:rFonts w:ascii="Arial" w:cs="Arial" w:eastAsia="Arial" w:hAnsi="Arial"/>
          <w:sz w:val="18"/>
          <w:szCs w:val="18"/>
          <w:color w:val="auto"/>
        </w:rPr>
        <w:t>(A)  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spacing w:after="0" w:line="72" w:lineRule="exact"/>
        <w:rPr>
          <w:sz w:val="20"/>
          <w:szCs w:val="20"/>
          <w:color w:val="auto"/>
        </w:rPr>
      </w:pPr>
    </w:p>
    <w:p>
      <w:pPr>
        <w:ind w:left="1380" w:right="579"/>
        <w:spacing w:after="0" w:line="247" w:lineRule="auto"/>
        <w:rPr>
          <w:sz w:val="20"/>
          <w:szCs w:val="20"/>
          <w:color w:val="auto"/>
        </w:rPr>
      </w:pPr>
      <w:r>
        <w:rPr>
          <w:rFonts w:ascii="Arial" w:cs="Arial" w:eastAsia="Arial" w:hAnsi="Arial"/>
          <w:sz w:val="18"/>
          <w:szCs w:val="18"/>
          <w:color w:val="auto"/>
        </w:rPr>
        <w:t>(B)  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spacing w:after="0" w:line="66" w:lineRule="exact"/>
        <w:rPr>
          <w:sz w:val="20"/>
          <w:szCs w:val="20"/>
          <w:color w:val="auto"/>
        </w:rPr>
      </w:pPr>
    </w:p>
    <w:p>
      <w:pPr>
        <w:ind w:left="1380" w:right="359"/>
        <w:spacing w:after="0" w:line="247" w:lineRule="auto"/>
        <w:rPr>
          <w:sz w:val="20"/>
          <w:szCs w:val="20"/>
          <w:color w:val="auto"/>
        </w:rPr>
      </w:pPr>
      <w:r>
        <w:rPr>
          <w:rFonts w:ascii="Arial" w:cs="Arial" w:eastAsia="Arial" w:hAnsi="Arial"/>
          <w:sz w:val="18"/>
          <w:szCs w:val="18"/>
          <w:color w:val="auto"/>
        </w:rPr>
        <w:t>(C)  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spacing w:after="0" w:line="66" w:lineRule="exact"/>
        <w:rPr>
          <w:sz w:val="20"/>
          <w:szCs w:val="20"/>
          <w:color w:val="auto"/>
        </w:rPr>
      </w:pPr>
    </w:p>
    <w:p>
      <w:pPr>
        <w:ind w:left="1020" w:right="399"/>
        <w:spacing w:after="0" w:line="253" w:lineRule="auto"/>
        <w:rPr>
          <w:sz w:val="20"/>
          <w:szCs w:val="20"/>
          <w:color w:val="auto"/>
        </w:rPr>
      </w:pPr>
      <w:r>
        <w:rPr>
          <w:rFonts w:ascii="Arial" w:cs="Arial" w:eastAsia="Arial" w:hAnsi="Arial"/>
          <w:sz w:val="18"/>
          <w:szCs w:val="18"/>
          <w:color w:val="auto"/>
        </w:rPr>
        <w:t>(iv)  any amendment, waiver, or consent that will affect the rights or duties of the Agent under this Agreement or any other Loan Document, shall require the written concurrence of the Agent; and</w:t>
      </w:r>
    </w:p>
    <w:p>
      <w:pPr>
        <w:spacing w:after="0" w:line="61" w:lineRule="exact"/>
        <w:rPr>
          <w:sz w:val="20"/>
          <w:szCs w:val="20"/>
          <w:color w:val="auto"/>
        </w:rPr>
      </w:pPr>
    </w:p>
    <w:p>
      <w:pPr>
        <w:ind w:left="1020" w:right="559"/>
        <w:spacing w:after="0" w:line="253" w:lineRule="auto"/>
        <w:rPr>
          <w:sz w:val="20"/>
          <w:szCs w:val="20"/>
          <w:color w:val="auto"/>
        </w:rPr>
      </w:pPr>
      <w:r>
        <w:rPr>
          <w:rFonts w:ascii="Arial" w:cs="Arial" w:eastAsia="Arial" w:hAnsi="Arial"/>
          <w:sz w:val="18"/>
          <w:szCs w:val="18"/>
          <w:color w:val="auto"/>
        </w:rPr>
        <w:t>(v)  any amendment, waiver, consent or other modification to this Agreement to permit the formation or other existence of the direct parent entity of the Borrower shall require the written consent of the Agent in its sole discretion.</w:t>
      </w:r>
    </w:p>
    <w:p>
      <w:pPr>
        <w:spacing w:after="0" w:line="61" w:lineRule="exact"/>
        <w:rPr>
          <w:sz w:val="20"/>
          <w:szCs w:val="20"/>
          <w:color w:val="auto"/>
        </w:rPr>
      </w:pPr>
    </w:p>
    <w:p>
      <w:pPr>
        <w:ind w:left="660" w:right="379"/>
        <w:spacing w:after="0" w:line="239" w:lineRule="auto"/>
        <w:rPr>
          <w:sz w:val="20"/>
          <w:szCs w:val="20"/>
          <w:color w:val="auto"/>
        </w:rPr>
      </w:pPr>
      <w:r>
        <w:rPr>
          <w:rFonts w:ascii="Arial" w:cs="Arial" w:eastAsia="Arial" w:hAnsi="Arial"/>
          <w:sz w:val="18"/>
          <w:szCs w:val="18"/>
          <w:color w:val="auto"/>
        </w:rPr>
        <w:t>(c)  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Prepayment Premium) or the extension of any commitment to extend credit of such Defaulting Lender, or (iv) any other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w:t>
      </w:r>
    </w:p>
    <w:p>
      <w:pPr>
        <w:spacing w:after="0" w:line="66"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(d)  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Prepayment Premium) or any Liens upon any Collateral retained by any Credit Party, including (without limitation) the proceeds of the sale or other disposition, all of which shall constitute and remain part of the Collateral.</w:t>
      </w:r>
    </w:p>
    <w:p>
      <w:pPr>
        <w:spacing w:after="0" w:line="83"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(e)  Notwithstanding anything to the contrary herein the Agent may, with the consent of the Borrower only, amend, modify or supplement this Agreement or any of the other Loan Documents to cure any ambiguity, omission, mistake, defect or inconsistency.</w:t>
      </w:r>
    </w:p>
    <w:p>
      <w:pPr>
        <w:spacing w:after="0" w:line="61"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(f)  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spacing w:after="0" w:line="78"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 xml:space="preserve">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investor, member or partner is informed of the confidential nature of the information.</w:t>
      </w:r>
    </w:p>
    <w:p>
      <w:pPr>
        <w:spacing w:after="0" w:line="75"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Substitution or Removal of Lenders</w:t>
      </w:r>
      <w:r>
        <w:rPr>
          <w:rFonts w:ascii="Arial" w:cs="Arial" w:eastAsia="Arial" w:hAnsi="Arial"/>
          <w:sz w:val="18"/>
          <w:szCs w:val="18"/>
          <w:color w:val="auto"/>
        </w:rPr>
        <w:t>.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w:t>
      </w:r>
      <w:r>
        <w:rPr>
          <w:rFonts w:ascii="Arial" w:cs="Arial" w:eastAsia="Arial" w:hAnsi="Arial"/>
          <w:sz w:val="18"/>
          <w:szCs w:val="18"/>
          <w:b w:val="1"/>
          <w:bCs w:val="1"/>
          <w:color w:val="auto"/>
        </w:rPr>
        <w:t>Non-Consenting Lender</w:t>
      </w:r>
      <w:r>
        <w:rPr>
          <w:rFonts w:ascii="Arial" w:cs="Arial" w:eastAsia="Arial" w:hAnsi="Arial"/>
          <w:sz w:val="18"/>
          <w:szCs w:val="18"/>
          <w:color w:val="auto"/>
        </w:rPr>
        <w:t>”); then, with respect to each such Lender (an “</w:t>
      </w:r>
      <w:r>
        <w:rPr>
          <w:rFonts w:ascii="Arial" w:cs="Arial" w:eastAsia="Arial" w:hAnsi="Arial"/>
          <w:sz w:val="18"/>
          <w:szCs w:val="18"/>
          <w:b w:val="1"/>
          <w:bCs w:val="1"/>
          <w:color w:val="auto"/>
        </w:rPr>
        <w:t>Affected Lender</w:t>
      </w:r>
      <w:r>
        <w:rPr>
          <w:rFonts w:ascii="Arial" w:cs="Arial" w:eastAsia="Arial" w:hAnsi="Arial"/>
          <w:sz w:val="18"/>
          <w:szCs w:val="18"/>
          <w:color w:val="auto"/>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Arial" w:cs="Arial" w:eastAsia="Arial" w:hAnsi="Arial"/>
          <w:sz w:val="18"/>
          <w:szCs w:val="18"/>
          <w:b w:val="1"/>
          <w:bCs w:val="1"/>
          <w:color w:val="auto"/>
        </w:rPr>
        <w:t>Replacement Lender</w:t>
      </w:r>
      <w:r>
        <w:rPr>
          <w:rFonts w:ascii="Arial" w:cs="Arial" w:eastAsia="Arial" w:hAnsi="Arial"/>
          <w:sz w:val="18"/>
          <w:szCs w:val="18"/>
          <w:color w:val="auto"/>
        </w:rPr>
        <w:t xml:space="preserve">”) in accordance with the provisions of Section 12.7 and Affected Lender shall pay any fees payable thereunder in connection with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Arial" w:cs="Arial" w:eastAsia="Arial" w:hAnsi="Arial"/>
          <w:sz w:val="18"/>
          <w:szCs w:val="18"/>
          <w:u w:val="single" w:color="auto"/>
          <w:color w:val="auto"/>
        </w:rPr>
        <w:t>provided</w:t>
      </w:r>
      <w:r>
        <w:rPr>
          <w:rFonts w:ascii="Arial" w:cs="Arial" w:eastAsia="Arial" w:hAnsi="Arial"/>
          <w:sz w:val="18"/>
          <w:szCs w:val="18"/>
          <w:color w:val="auto"/>
        </w:rPr>
        <w:t>, any rights of such Affected Lender to indemnification hereunder shall survive as to such Affected Lender.</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and (i)(D)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generality of the foregoing:</w:t>
      </w:r>
    </w:p>
    <w:p>
      <w:pPr>
        <w:spacing w:after="0" w:line="104" w:lineRule="exact"/>
        <w:rPr>
          <w:sz w:val="20"/>
          <w:szCs w:val="20"/>
          <w:color w:val="auto"/>
        </w:rPr>
      </w:pPr>
    </w:p>
    <w:p>
      <w:pPr>
        <w:ind w:left="1020" w:right="439"/>
        <w:spacing w:after="0" w:line="244" w:lineRule="auto"/>
        <w:rPr>
          <w:sz w:val="20"/>
          <w:szCs w:val="20"/>
          <w:color w:val="auto"/>
        </w:rPr>
      </w:pPr>
      <w:r>
        <w:rPr>
          <w:rFonts w:ascii="Arial" w:cs="Arial" w:eastAsia="Arial" w:hAnsi="Arial"/>
          <w:sz w:val="18"/>
          <w:szCs w:val="18"/>
          <w:color w:val="auto"/>
        </w:rPr>
        <w:t>(A)  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p>
      <w:pPr>
        <w:spacing w:after="0" w:line="68" w:lineRule="exact"/>
        <w:rPr>
          <w:sz w:val="20"/>
          <w:szCs w:val="20"/>
          <w:color w:val="auto"/>
        </w:rPr>
      </w:pPr>
    </w:p>
    <w:p>
      <w:pPr>
        <w:ind w:left="1020" w:right="399"/>
        <w:spacing w:after="0" w:line="244" w:lineRule="auto"/>
        <w:rPr>
          <w:sz w:val="20"/>
          <w:szCs w:val="20"/>
          <w:color w:val="auto"/>
        </w:rPr>
      </w:pPr>
      <w:r>
        <w:rPr>
          <w:rFonts w:ascii="Arial" w:cs="Arial" w:eastAsia="Arial" w:hAnsi="Arial"/>
          <w:sz w:val="18"/>
          <w:szCs w:val="18"/>
          <w:color w:val="auto"/>
        </w:rPr>
        <w:t>(B)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p>
      <w:pPr>
        <w:spacing w:after="0" w:line="68" w:lineRule="exact"/>
        <w:rPr>
          <w:sz w:val="20"/>
          <w:szCs w:val="20"/>
          <w:color w:val="auto"/>
        </w:rPr>
      </w:pPr>
    </w:p>
    <w:p>
      <w:pPr>
        <w:ind w:left="1380" w:right="319"/>
        <w:spacing w:after="0"/>
        <w:rPr>
          <w:sz w:val="20"/>
          <w:szCs w:val="20"/>
          <w:color w:val="auto"/>
        </w:rPr>
      </w:pPr>
      <w:r>
        <w:rPr>
          <w:rFonts w:ascii="Arial" w:cs="Arial" w:eastAsia="Arial" w:hAnsi="Arial"/>
          <w:sz w:val="18"/>
          <w:szCs w:val="18"/>
          <w:color w:val="auto"/>
        </w:rPr>
        <w:t>(i)  in the case of a Foreign Lender claiming the benefits of an income tax treaty to which the United States is a party (x) with respect to payments of interest under any Loan Document, executed copies of IRS Form W-8BEN or W-8BEN-E (or any successor form), as applicable,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   executed copies of IRS Form W-8ECI (or any successor form);</w:t>
      </w:r>
    </w:p>
    <w:p>
      <w:pPr>
        <w:spacing w:after="0" w:line="104" w:lineRule="exact"/>
        <w:rPr>
          <w:sz w:val="20"/>
          <w:szCs w:val="20"/>
          <w:color w:val="auto"/>
        </w:rPr>
      </w:pPr>
    </w:p>
    <w:p>
      <w:pPr>
        <w:ind w:left="1380" w:right="339"/>
        <w:spacing w:after="0"/>
        <w:rPr>
          <w:sz w:val="20"/>
          <w:szCs w:val="20"/>
          <w:color w:val="auto"/>
        </w:rPr>
      </w:pPr>
      <w:r>
        <w:rPr>
          <w:rFonts w:ascii="Arial" w:cs="Arial" w:eastAsia="Arial" w:hAnsi="Arial"/>
          <w:sz w:val="18"/>
          <w:szCs w:val="18"/>
          <w:color w:val="auto"/>
        </w:rPr>
        <w:t>(iii)  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w:t>
      </w:r>
    </w:p>
    <w:p>
      <w:pPr>
        <w:spacing w:after="0" w:line="72" w:lineRule="exact"/>
        <w:rPr>
          <w:sz w:val="20"/>
          <w:szCs w:val="20"/>
          <w:color w:val="auto"/>
        </w:rPr>
      </w:pPr>
    </w:p>
    <w:p>
      <w:pPr>
        <w:ind w:left="1380" w:right="299"/>
        <w:spacing w:after="0" w:line="239" w:lineRule="auto"/>
        <w:rPr>
          <w:sz w:val="20"/>
          <w:szCs w:val="20"/>
          <w:color w:val="auto"/>
        </w:rPr>
      </w:pPr>
      <w:r>
        <w:rPr>
          <w:rFonts w:ascii="Arial" w:cs="Arial" w:eastAsia="Arial" w:hAnsi="Arial"/>
          <w:sz w:val="18"/>
          <w:szCs w:val="18"/>
          <w:color w:val="auto"/>
        </w:rPr>
        <w:t>(iv)  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75" w:lineRule="exact"/>
        <w:rPr>
          <w:sz w:val="20"/>
          <w:szCs w:val="20"/>
          <w:color w:val="auto"/>
        </w:rPr>
      </w:pPr>
    </w:p>
    <w:p>
      <w:pPr>
        <w:ind w:left="1020" w:right="399"/>
        <w:spacing w:after="0"/>
        <w:rPr>
          <w:sz w:val="20"/>
          <w:szCs w:val="20"/>
          <w:color w:val="auto"/>
        </w:rPr>
      </w:pPr>
      <w:r>
        <w:rPr>
          <w:rFonts w:ascii="Arial" w:cs="Arial" w:eastAsia="Arial" w:hAnsi="Arial"/>
          <w:sz w:val="18"/>
          <w:szCs w:val="18"/>
          <w:color w:val="auto"/>
        </w:rPr>
        <w:t>(C)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539"/>
        <w:spacing w:after="0" w:line="241" w:lineRule="auto"/>
        <w:rPr>
          <w:sz w:val="20"/>
          <w:szCs w:val="20"/>
          <w:color w:val="auto"/>
        </w:rPr>
      </w:pPr>
      <w:r>
        <w:rPr>
          <w:rFonts w:ascii="Arial" w:cs="Arial" w:eastAsia="Arial" w:hAnsi="Arial"/>
          <w:sz w:val="18"/>
          <w:szCs w:val="18"/>
          <w:color w:val="auto"/>
        </w:rPr>
        <w:t>(D)  if a payment made to a Lender or Agent under any Loan Document would be subject to U.S. federal withholding Tax imposed by FATCA if such Lender or Agent were to fail to comply with the applicable reporting requirements of FATCA (including those contained in</w:t>
      </w:r>
    </w:p>
    <w:p>
      <w:pPr>
        <w:spacing w:after="0" w:line="2" w:lineRule="exact"/>
        <w:rPr>
          <w:sz w:val="20"/>
          <w:szCs w:val="20"/>
          <w:color w:val="auto"/>
        </w:rPr>
      </w:pPr>
    </w:p>
    <w:p>
      <w:pPr>
        <w:ind w:left="1020" w:right="299"/>
        <w:spacing w:after="0" w:line="236" w:lineRule="auto"/>
        <w:rPr>
          <w:sz w:val="20"/>
          <w:szCs w:val="20"/>
          <w:color w:val="auto"/>
        </w:rPr>
      </w:pPr>
      <w:r>
        <w:rPr>
          <w:rFonts w:ascii="Arial" w:cs="Arial" w:eastAsia="Arial" w:hAnsi="Arial"/>
          <w:sz w:val="18"/>
          <w:szCs w:val="18"/>
          <w:color w:val="auto"/>
        </w:rPr>
        <w:t>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p>
      <w:pPr>
        <w:spacing w:after="0" w:line="80" w:lineRule="exact"/>
        <w:rPr>
          <w:sz w:val="20"/>
          <w:szCs w:val="20"/>
          <w:color w:val="auto"/>
        </w:rPr>
      </w:pPr>
    </w:p>
    <w:p>
      <w:pPr>
        <w:jc w:val="both"/>
        <w:ind w:left="300" w:right="339"/>
        <w:spacing w:after="0" w:line="253"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For purposes of this Section 12.12, the term “applicable law” includes FATCA.</w:t>
      </w:r>
    </w:p>
    <w:p>
      <w:pPr>
        <w:spacing w:after="0" w:line="104" w:lineRule="exact"/>
        <w:rPr>
          <w:sz w:val="20"/>
          <w:szCs w:val="20"/>
          <w:color w:val="auto"/>
        </w:rPr>
      </w:pPr>
    </w:p>
    <w:p>
      <w:pPr>
        <w:ind w:left="300" w:right="379"/>
        <w:spacing w:after="0" w:line="251"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w:t>
      </w:r>
    </w:p>
    <w:p>
      <w:pPr>
        <w:spacing w:after="0" w:line="65"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USA Patriot Act Notice; Beneficial Ownership Certification</w:t>
      </w:r>
      <w:r>
        <w:rPr>
          <w:rFonts w:ascii="Arial" w:cs="Arial" w:eastAsia="Arial" w:hAnsi="Arial"/>
          <w:sz w:val="18"/>
          <w:szCs w:val="18"/>
          <w:color w:val="auto"/>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spacing w:after="0" w:line="72" w:lineRule="exact"/>
        <w:rPr>
          <w:sz w:val="20"/>
          <w:szCs w:val="20"/>
          <w:color w:val="auto"/>
        </w:rPr>
      </w:pPr>
    </w:p>
    <w:p>
      <w:pPr>
        <w:ind w:left="300" w:right="619"/>
        <w:spacing w:after="0" w:line="301"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Complete Agreement; Conflicts</w:t>
      </w:r>
      <w:r>
        <w:rPr>
          <w:rFonts w:ascii="Arial" w:cs="Arial" w:eastAsia="Arial" w:hAnsi="Arial"/>
          <w:sz w:val="17"/>
          <w:szCs w:val="17"/>
          <w:color w:val="auto"/>
        </w:rPr>
        <w:t>. This Agreement, the Notes (if issued), any Requests for Loan and the Loan Documents contain the entire agreement of the parties hereto, superseding all prior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agreements, discussions and understandings relating to the subject matter hereof, and none of the parties shall be bound by anything not expressed in writing. In the event of any conflict between the terms of this Agreement and the other Loan Documents, this Agreement shall govern.</w:t>
      </w:r>
    </w:p>
    <w:p>
      <w:pPr>
        <w:spacing w:after="0" w:line="61"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spacing w:after="0" w:line="71"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Table of Contents and Headings; Section References</w:t>
      </w:r>
      <w:r>
        <w:rPr>
          <w:rFonts w:ascii="Arial" w:cs="Arial" w:eastAsia="Arial" w:hAnsi="Arial"/>
          <w:sz w:val="18"/>
          <w:szCs w:val="18"/>
          <w:color w:val="auto"/>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spacing w:after="0" w:line="71" w:lineRule="exact"/>
        <w:rPr>
          <w:sz w:val="20"/>
          <w:szCs w:val="20"/>
          <w:color w:val="auto"/>
        </w:rPr>
      </w:pPr>
    </w:p>
    <w:p>
      <w:pPr>
        <w:ind w:left="300" w:right="839"/>
        <w:spacing w:after="0" w:line="24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Construction of Certain Provisions</w:t>
      </w:r>
      <w:r>
        <w:rPr>
          <w:rFonts w:ascii="Arial" w:cs="Arial" w:eastAsia="Arial" w:hAnsi="Arial"/>
          <w:sz w:val="18"/>
          <w:szCs w:val="18"/>
          <w:color w:val="auto"/>
        </w:rPr>
        <w:t>.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6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u w:val="single" w:color="auto"/>
          <w:color w:val="auto"/>
        </w:rPr>
        <w:t>Independence of Covenants</w:t>
      </w:r>
      <w:r>
        <w:rPr>
          <w:rFonts w:ascii="Arial" w:cs="Arial" w:eastAsia="Arial" w:hAnsi="Arial"/>
          <w:sz w:val="18"/>
          <w:szCs w:val="18"/>
          <w:color w:val="auto"/>
        </w:rPr>
        <w:t>.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12.20   </w:t>
      </w:r>
      <w:r>
        <w:rPr>
          <w:rFonts w:ascii="Arial" w:cs="Arial" w:eastAsia="Arial" w:hAnsi="Arial"/>
          <w:sz w:val="18"/>
          <w:szCs w:val="18"/>
          <w:u w:val="single" w:color="auto"/>
          <w:color w:val="auto"/>
        </w:rPr>
        <w:t>Electronic Transmissions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(a)  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77"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(b)  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w:t>
      </w:r>
    </w:p>
    <w:p>
      <w:pPr>
        <w:spacing w:after="0" w:line="66"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(c)  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 any equipment, software, services or any testing required in connection with any Electronic Transmission or otherwise required for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53" w:lineRule="auto"/>
        <w:rPr>
          <w:sz w:val="20"/>
          <w:szCs w:val="20"/>
          <w:color w:val="auto"/>
        </w:rPr>
      </w:pPr>
      <w:r>
        <w:rPr>
          <w:rFonts w:ascii="Arial" w:cs="Arial" w:eastAsia="Arial" w:hAnsi="Arial"/>
          <w:sz w:val="18"/>
          <w:szCs w:val="18"/>
          <w:color w:val="auto"/>
        </w:rPr>
        <w:t>E-System. The Agent and the Lenders agree that the Borrower has no responsibility for maintaining or providing any equipment, software, services or any testing required in connection with any Electronic Transmission or otherwise required for any E-System.</w:t>
      </w:r>
    </w:p>
    <w:p>
      <w:pPr>
        <w:spacing w:after="0" w:line="6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Advertisements</w:t>
      </w:r>
      <w:r>
        <w:rPr>
          <w:rFonts w:ascii="Arial" w:cs="Arial" w:eastAsia="Arial" w:hAnsi="Arial"/>
          <w:sz w:val="18"/>
          <w:szCs w:val="18"/>
          <w:color w:val="auto"/>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8"/>
          <w:szCs w:val="18"/>
          <w:b w:val="1"/>
          <w:bCs w:val="1"/>
          <w:color w:val="auto"/>
        </w:rPr>
        <w:t>Trade Announcements</w:t>
      </w:r>
      <w:r>
        <w:rPr>
          <w:rFonts w:ascii="Arial" w:cs="Arial" w:eastAsia="Arial" w:hAnsi="Arial"/>
          <w:sz w:val="18"/>
          <w:szCs w:val="18"/>
          <w:color w:val="auto"/>
        </w:rPr>
        <w:t>”). No Credit Party shall issue any Trade Announcement or disclose the name of Agent or any Lender except (i) disclosures required by applicable law, regulation, legal process or the rules of the SEC or (ii) with the prior approval of Agent and such Lender not to be unreasonably withheld, delayed or conditioned.</w:t>
      </w:r>
    </w:p>
    <w:p>
      <w:pPr>
        <w:spacing w:after="0" w:line="72"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Reliance on and Survival of Provisions</w:t>
      </w:r>
      <w:r>
        <w:rPr>
          <w:rFonts w:ascii="Arial" w:cs="Arial" w:eastAsia="Arial" w:hAnsi="Arial"/>
          <w:sz w:val="18"/>
          <w:szCs w:val="18"/>
          <w:color w:val="auto"/>
        </w:rPr>
        <w:t>.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Prepayment Premium) and the termination of this Agreement and the other Loan Documents, including any commitment to extend credit thereunder.</w:t>
      </w:r>
    </w:p>
    <w:p>
      <w:pPr>
        <w:spacing w:after="0" w:line="78"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12.23  </w:t>
      </w:r>
      <w:r>
        <w:rPr>
          <w:rFonts w:ascii="Arial" w:cs="Arial" w:eastAsia="Arial" w:hAnsi="Arial"/>
          <w:sz w:val="17"/>
          <w:szCs w:val="17"/>
          <w:u w:val="single" w:color="auto"/>
          <w:color w:val="auto"/>
        </w:rPr>
        <w:t>Interest</w:t>
      </w:r>
      <w:r>
        <w:rPr>
          <w:rFonts w:ascii="Arial" w:cs="Arial" w:eastAsia="Arial" w:hAnsi="Arial"/>
          <w:sz w:val="17"/>
          <w:szCs w:val="17"/>
          <w:color w:val="auto"/>
        </w:rPr>
        <w:t>. Notwithstanding any other provision herein, the aggregate interest rate charged or agreed to be paid with respect to any of the Indebtedness (including any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spacing w:after="0" w:line="26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 xml:space="preserve">12.24  </w:t>
      </w:r>
      <w:r>
        <w:rPr>
          <w:rFonts w:ascii="Arial" w:cs="Arial" w:eastAsia="Arial" w:hAnsi="Arial"/>
          <w:sz w:val="18"/>
          <w:szCs w:val="18"/>
          <w:u w:val="single" w:color="auto"/>
          <w:color w:val="auto"/>
        </w:rPr>
        <w:t>Acknowledgment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519"/>
        <w:spacing w:after="0" w:line="253" w:lineRule="auto"/>
        <w:rPr>
          <w:sz w:val="20"/>
          <w:szCs w:val="20"/>
          <w:color w:val="auto"/>
        </w:rPr>
      </w:pPr>
      <w:r>
        <w:rPr>
          <w:rFonts w:ascii="Arial" w:cs="Arial" w:eastAsia="Arial" w:hAnsi="Arial"/>
          <w:sz w:val="18"/>
          <w:szCs w:val="18"/>
          <w:color w:val="auto"/>
        </w:rPr>
        <w:t>(a)  the application of any Write-Down and Conversion Powers by an EEA Resolution Authority to any such liabilities arising hereunder which may be payable to it by any party hereto that is an EEA Financial Institution; and</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effects of any Bail-In Action on any such liability, including, if applicable:</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a reduction in full or in part or cancellation of any such liability;</w:t>
      </w:r>
    </w:p>
    <w:p>
      <w:pPr>
        <w:spacing w:after="0" w:line="104" w:lineRule="exact"/>
        <w:rPr>
          <w:sz w:val="20"/>
          <w:szCs w:val="20"/>
          <w:color w:val="auto"/>
        </w:rPr>
      </w:pPr>
    </w:p>
    <w:p>
      <w:pPr>
        <w:ind w:left="1020" w:right="519"/>
        <w:spacing w:after="0" w:line="244" w:lineRule="auto"/>
        <w:rPr>
          <w:sz w:val="20"/>
          <w:szCs w:val="20"/>
          <w:color w:val="auto"/>
        </w:rPr>
      </w:pPr>
      <w:r>
        <w:rPr>
          <w:rFonts w:ascii="Arial" w:cs="Arial" w:eastAsia="Arial" w:hAnsi="Arial"/>
          <w:sz w:val="18"/>
          <w:szCs w:val="18"/>
          <w:color w:val="auto"/>
        </w:rPr>
        <w:t>(ii)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8" w:lineRule="exact"/>
        <w:rPr>
          <w:sz w:val="20"/>
          <w:szCs w:val="20"/>
          <w:color w:val="auto"/>
        </w:rPr>
      </w:pPr>
    </w:p>
    <w:p>
      <w:pPr>
        <w:ind w:left="1020" w:right="459"/>
        <w:spacing w:after="0" w:line="271" w:lineRule="auto"/>
        <w:rPr>
          <w:sz w:val="20"/>
          <w:szCs w:val="20"/>
          <w:color w:val="auto"/>
        </w:rPr>
      </w:pPr>
      <w:r>
        <w:rPr>
          <w:rFonts w:ascii="Arial" w:cs="Arial" w:eastAsia="Arial" w:hAnsi="Arial"/>
          <w:sz w:val="18"/>
          <w:szCs w:val="18"/>
          <w:color w:val="auto"/>
        </w:rPr>
        <w:t>(iii)  the variation of the terms of such liability in connection with the exercise of the write-down and conversion powers of any EEA Resolution Authority.</w:t>
      </w:r>
    </w:p>
    <w:p>
      <w:pPr>
        <w:spacing w:after="0" w:line="46"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12.25  </w:t>
      </w:r>
      <w:r>
        <w:rPr>
          <w:rFonts w:ascii="Arial" w:cs="Arial" w:eastAsia="Arial" w:hAnsi="Arial"/>
          <w:sz w:val="18"/>
          <w:szCs w:val="18"/>
          <w:u w:val="single" w:color="auto"/>
          <w:color w:val="auto"/>
        </w:rPr>
        <w:t>Specified Subordination Agreement</w:t>
      </w:r>
      <w:r>
        <w:rPr>
          <w:rFonts w:ascii="Arial" w:cs="Arial" w:eastAsia="Arial" w:hAnsi="Arial"/>
          <w:sz w:val="18"/>
          <w:szCs w:val="18"/>
          <w:color w:val="auto"/>
        </w:rPr>
        <w: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spacing w:after="0" w:line="81" w:lineRule="exact"/>
        <w:rPr>
          <w:sz w:val="20"/>
          <w:szCs w:val="20"/>
          <w:color w:val="auto"/>
        </w:rPr>
      </w:pPr>
    </w:p>
    <w:p>
      <w:pPr>
        <w:jc w:val="both"/>
        <w:ind w:left="300" w:right="659"/>
        <w:spacing w:after="0" w:line="253" w:lineRule="auto"/>
        <w:rPr>
          <w:sz w:val="20"/>
          <w:szCs w:val="20"/>
          <w:color w:val="auto"/>
        </w:rPr>
      </w:pPr>
      <w:r>
        <w:rPr>
          <w:rFonts w:ascii="Arial" w:cs="Arial" w:eastAsia="Arial" w:hAnsi="Arial"/>
          <w:sz w:val="18"/>
          <w:szCs w:val="18"/>
          <w:color w:val="auto"/>
        </w:rPr>
        <w:t xml:space="preserve">12.26  </w:t>
      </w:r>
      <w:r>
        <w:rPr>
          <w:rFonts w:ascii="Arial" w:cs="Arial" w:eastAsia="Arial" w:hAnsi="Arial"/>
          <w:sz w:val="18"/>
          <w:szCs w:val="18"/>
          <w:u w:val="single" w:color="auto"/>
          <w:color w:val="auto"/>
        </w:rPr>
        <w:t>Restatement of Original Credit Agreement</w:t>
      </w:r>
      <w:r>
        <w:rPr>
          <w:rFonts w:ascii="Arial" w:cs="Arial" w:eastAsia="Arial" w:hAnsi="Arial"/>
          <w:sz w:val="18"/>
          <w:szCs w:val="18"/>
          <w:color w:val="auto"/>
        </w:rPr>
        <w:t>. The parties hereto agree that, on the Restatement Date, the following transactions shall be deemed to occur automatically, without further action by any party hereto:</w:t>
      </w:r>
    </w:p>
    <w:p>
      <w:pPr>
        <w:spacing w:after="0" w:line="61"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(a)  the Original Credit Agreement shall be deemed to be amended and restated in its entirety in the form of this Agreement;</w:t>
      </w:r>
    </w:p>
    <w:p>
      <w:pPr>
        <w:spacing w:after="0" w:line="46"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(b)  each Credit Party reaffirms and confirms its obligations under each Loan Document (as defined in the Original Credit Agreement) to which it is a party (including all Collateral Documents (as defined in the Original Credit Agreement) and the security interests previously granted thereunder), as amended, supplemented, or otherwise modified or replaced by the Agreement and by any other Loan Document delivered on the Restatement Date continue in full force and effect and extend to all Indebtedness of each Credit Party under the Loan Documents as modified on the Restatement Date;</w:t>
      </w:r>
    </w:p>
    <w:p>
      <w:pPr>
        <w:spacing w:after="0" w:line="71"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(c)  the Term Loans (including the Exchanged Term Loans) shall continue to be secured by all Liens provided in connection with the Original Credit Agreement as and to the extent provided in, and subject to the terms of, this Agreement (and from and after the Restatement Date, shall be secured by all Liens provided in connection with this Agreement as and to the extent provided for in, and subject to the terms of, this Agreement);</w:t>
      </w:r>
    </w:p>
    <w:p>
      <w:pPr>
        <w:spacing w:after="0" w:line="68" w:lineRule="exact"/>
        <w:rPr>
          <w:sz w:val="20"/>
          <w:szCs w:val="20"/>
          <w:color w:val="auto"/>
        </w:rPr>
      </w:pPr>
    </w:p>
    <w:p>
      <w:pPr>
        <w:ind w:left="660" w:right="859"/>
        <w:spacing w:after="0" w:line="271" w:lineRule="auto"/>
        <w:rPr>
          <w:sz w:val="20"/>
          <w:szCs w:val="20"/>
          <w:color w:val="auto"/>
        </w:rPr>
      </w:pPr>
      <w:r>
        <w:rPr>
          <w:rFonts w:ascii="Arial" w:cs="Arial" w:eastAsia="Arial" w:hAnsi="Arial"/>
          <w:sz w:val="18"/>
          <w:szCs w:val="18"/>
          <w:color w:val="auto"/>
        </w:rPr>
        <w:t>(d)  all references in the Loan Documents (as defined in the Original Credit Agreement) to the “Credit Agreement” shall be deemed to refer without further amendment to this Agreement;</w:t>
      </w:r>
    </w:p>
    <w:p>
      <w:pPr>
        <w:spacing w:after="0" w:line="46" w:lineRule="exact"/>
        <w:rPr>
          <w:sz w:val="20"/>
          <w:szCs w:val="20"/>
          <w:color w:val="auto"/>
        </w:rPr>
      </w:pPr>
    </w:p>
    <w:p>
      <w:pPr>
        <w:ind w:left="660" w:right="339"/>
        <w:spacing w:after="0" w:line="271" w:lineRule="auto"/>
        <w:rPr>
          <w:sz w:val="20"/>
          <w:szCs w:val="20"/>
          <w:color w:val="auto"/>
        </w:rPr>
      </w:pPr>
      <w:r>
        <w:rPr>
          <w:rFonts w:ascii="Arial" w:cs="Arial" w:eastAsia="Arial" w:hAnsi="Arial"/>
          <w:sz w:val="18"/>
          <w:szCs w:val="18"/>
          <w:color w:val="auto"/>
        </w:rPr>
        <w:t>(e)  this Agreement and the other Loan Documents do not constitute a novation or termination of the Existing Term Loans and that, to the extent not exchanged for Equity Interests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Borrower on the Restatement Date, such Existing Term Loans shall in all respects continue and remain outstanding as Exchanged Term Loans under this Agreement with only the terms being modified from and after the Restatement Date of this Agreement as provided in this Agreement and the other Loan Documents; and</w:t>
      </w:r>
    </w:p>
    <w:p>
      <w:pPr>
        <w:spacing w:after="0" w:line="66"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(f)  the Credit Parties acknowledge that this Agreement does not constitute a waiver by any Lender or any Agent of any Default or Event of Default under the Original Credit Agreement and any such Default or Event of Default that exists on the Restatement Date shall continue to exist under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Omitted]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ANNEX I – LOANS AND COMMITMENTS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 RIGHTS AGREEMENT</w:t>
      </w:r>
    </w:p>
    <w:p>
      <w:pPr>
        <w:spacing w:after="0" w:line="104" w:lineRule="exact"/>
        <w:rPr>
          <w:sz w:val="20"/>
          <w:szCs w:val="20"/>
          <w:color w:val="auto"/>
        </w:rPr>
      </w:pPr>
    </w:p>
    <w:p>
      <w:pPr>
        <w:ind w:left="300" w:right="339"/>
        <w:spacing w:after="0" w:line="266" w:lineRule="auto"/>
        <w:rPr>
          <w:sz w:val="20"/>
          <w:szCs w:val="20"/>
          <w:color w:val="auto"/>
        </w:rPr>
      </w:pPr>
      <w:r>
        <w:rPr>
          <w:rFonts w:ascii="Arial" w:cs="Arial" w:eastAsia="Arial" w:hAnsi="Arial"/>
          <w:sz w:val="17"/>
          <w:szCs w:val="17"/>
          <w:color w:val="auto"/>
        </w:rPr>
        <w:t>This INVESTOR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August 20, 2025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and entered into by and among Rent the Runway,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parties listed as Investors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The Company and each Investor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04"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WHEREAS, substantially concurrently with the execution and delivery of this Agreement, the Company and CHS US Investments LLC, a Cayman limited liability company (together with its Affiliates, “</w:t>
      </w:r>
      <w:r>
        <w:rPr>
          <w:rFonts w:ascii="Arial" w:cs="Arial" w:eastAsia="Arial" w:hAnsi="Arial"/>
          <w:sz w:val="18"/>
          <w:szCs w:val="18"/>
          <w:u w:val="single" w:color="auto"/>
          <w:color w:val="auto"/>
        </w:rPr>
        <w:t>CHS</w:t>
      </w:r>
      <w:r>
        <w:rPr>
          <w:rFonts w:ascii="Arial" w:cs="Arial" w:eastAsia="Arial" w:hAnsi="Arial"/>
          <w:sz w:val="18"/>
          <w:szCs w:val="18"/>
          <w:color w:val="auto"/>
        </w:rPr>
        <w:t>”), have entered into the Exchange Agreement (as it may be amended from time to time in accordance with its terms,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among other things, on the terms and subject to the conditions therein, CHS will contribute, transfer, assign and convey to the Company all of its rights, title and interest in, to and under the Equity Exchange Obligations in exchange for the Exchange Stock;</w:t>
      </w:r>
    </w:p>
    <w:p>
      <w:pPr>
        <w:spacing w:after="0" w:line="71"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WHEREAS, immediately following the consummation of the transactions contemplated by the Exchange Agreement, CHS will sell a portion of the Exchange Stock to Gateway Runway, LLC, a Delaware limited liability company (together with its Affiliates, “</w:t>
      </w:r>
      <w:r>
        <w:rPr>
          <w:rFonts w:ascii="Arial" w:cs="Arial" w:eastAsia="Arial" w:hAnsi="Arial"/>
          <w:sz w:val="18"/>
          <w:szCs w:val="18"/>
          <w:u w:val="single" w:color="auto"/>
          <w:color w:val="auto"/>
        </w:rPr>
        <w:t>Nexus</w:t>
      </w:r>
      <w:r>
        <w:rPr>
          <w:rFonts w:ascii="Arial" w:cs="Arial" w:eastAsia="Arial" w:hAnsi="Arial"/>
          <w:sz w:val="18"/>
          <w:szCs w:val="18"/>
          <w:color w:val="auto"/>
        </w:rPr>
        <w:t>”), and S3 RR Aggregator, LLC a Delaware limited liability company (together with its Affiliates, “</w:t>
      </w:r>
      <w:r>
        <w:rPr>
          <w:rFonts w:ascii="Arial" w:cs="Arial" w:eastAsia="Arial" w:hAnsi="Arial"/>
          <w:sz w:val="18"/>
          <w:szCs w:val="18"/>
          <w:u w:val="single" w:color="auto"/>
          <w:color w:val="auto"/>
        </w:rPr>
        <w:t>Story3</w:t>
      </w:r>
      <w:r>
        <w:rPr>
          <w:rFonts w:ascii="Arial" w:cs="Arial" w:eastAsia="Arial" w:hAnsi="Arial"/>
          <w:sz w:val="18"/>
          <w:szCs w:val="18"/>
          <w:color w:val="auto"/>
        </w:rPr>
        <w:t>”), on the terms and subject to the conditions of the Debt and Equity Purchase Agreement, dated as of the Effective Date, by and among CHS, Nexus and Story3;</w:t>
      </w:r>
    </w:p>
    <w:p>
      <w:pPr>
        <w:spacing w:after="0" w:line="71"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WHEREAS, immediately following the consummation of the transactions contemplated by the Exchange Agreement, the Stockholders Agreement, dated October 29, 2021, by and among the Company, Jennifer Y. Hyman (“</w:t>
      </w:r>
      <w:r>
        <w:rPr>
          <w:rFonts w:ascii="Arial" w:cs="Arial" w:eastAsia="Arial" w:hAnsi="Arial"/>
          <w:sz w:val="18"/>
          <w:szCs w:val="18"/>
          <w:u w:val="single" w:color="auto"/>
          <w:color w:val="auto"/>
        </w:rPr>
        <w:t>JYH</w:t>
      </w:r>
      <w:r>
        <w:rPr>
          <w:rFonts w:ascii="Arial" w:cs="Arial" w:eastAsia="Arial" w:hAnsi="Arial"/>
          <w:sz w:val="18"/>
          <w:szCs w:val="18"/>
          <w:color w:val="auto"/>
        </w:rPr>
        <w:t>”), entities affiliated with Bain Capital Ventures, entities affiliated with Highland Capital Partners and certain related parties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will terminate in accordance with its terms;</w:t>
      </w:r>
    </w:p>
    <w:p>
      <w:pPr>
        <w:spacing w:after="0" w:line="68" w:lineRule="exact"/>
        <w:rPr>
          <w:sz w:val="20"/>
          <w:szCs w:val="20"/>
          <w:color w:val="auto"/>
        </w:rPr>
      </w:pPr>
    </w:p>
    <w:p>
      <w:pPr>
        <w:ind w:left="300" w:right="459"/>
        <w:spacing w:after="0" w:line="244" w:lineRule="auto"/>
        <w:rPr>
          <w:sz w:val="20"/>
          <w:szCs w:val="20"/>
          <w:color w:val="auto"/>
        </w:rPr>
      </w:pPr>
      <w:r>
        <w:rPr>
          <w:rFonts w:ascii="Arial" w:cs="Arial" w:eastAsia="Arial" w:hAnsi="Arial"/>
          <w:sz w:val="18"/>
          <w:szCs w:val="18"/>
          <w:color w:val="auto"/>
        </w:rPr>
        <w:t>WHEREAS, substantially concurrently with the execution and delivery of this Agreement, all existing Directors (as defined herein), other than JYH, have delivered to the Company their respective resignations from the Board and all applicable committees thereof, with such resignations to be effective automatically and without further action by or on behalf of such Director or any other Person upon the consummation of the Exchange Transactions;</w:t>
      </w:r>
    </w:p>
    <w:p>
      <w:pPr>
        <w:spacing w:after="0" w:line="68"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auto"/>
        </w:rPr>
        <w:t>WHEREAS, capitalized terms used and not otherwise defined herein have the meanings ascribed to them in the Exchange Agreement; and</w:t>
      </w:r>
    </w:p>
    <w:p>
      <w:pPr>
        <w:spacing w:after="0" w:line="46"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WHEREAS, in connection with the consummation of the Exchange Transactions, the Parties desire to set forth their agreement with respect to governance of the Company, registration rights and certain other matters set forth herein, in each case, effective as of the Exchange Closing in accordance with the terms and conditions of this Agreement.</w:t>
      </w:r>
    </w:p>
    <w:p>
      <w:pPr>
        <w:spacing w:after="0" w:line="66"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8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ARTICLE I </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18"/>
          <w:szCs w:val="18"/>
          <w:u w:val="single" w:color="auto"/>
          <w:color w:val="auto"/>
        </w:rPr>
        <w:t>Definitions; Interpretation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04" w:lineRule="exact"/>
        <w:rPr>
          <w:sz w:val="20"/>
          <w:szCs w:val="20"/>
          <w:color w:val="auto"/>
        </w:rPr>
      </w:pPr>
    </w:p>
    <w:p>
      <w:pPr>
        <w:ind w:left="660" w:right="3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the same may be amended or amended and restated from time to time in accordance with their terms).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4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Twelfth Amended and Restated Certificate of Incorporation of the Company (as the same may be amended or amended and restated from time to time in accordance with its terms, including pursuant to the Amended and Restated Charter).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04" w:lineRule="exact"/>
        <w:rPr>
          <w:sz w:val="20"/>
          <w:szCs w:val="20"/>
          <w:color w:val="auto"/>
        </w:rPr>
      </w:pPr>
    </w:p>
    <w:p>
      <w:pPr>
        <w:ind w:left="660" w:right="3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 share capital, capital stock, equity interests, ownership interests, partnership, membership, joint venture or similar interest in such Person (including any stock appreciation, phantom stock, profit participation, restricted stock awards or similar rights), whether voting or nonvoting, and any option, warrant, right or security (including debt securities) convertible, exchangeable or exercisable therefor.</w:t>
      </w:r>
    </w:p>
    <w:p>
      <w:pPr>
        <w:spacing w:after="0" w:line="68" w:lineRule="exact"/>
        <w:rPr>
          <w:sz w:val="20"/>
          <w:szCs w:val="20"/>
          <w:color w:val="auto"/>
        </w:rPr>
      </w:pPr>
    </w:p>
    <w:p>
      <w:pPr>
        <w:ind w:left="660" w:right="12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Closing</w:t>
      </w:r>
      <w:r>
        <w:rPr>
          <w:rFonts w:ascii="Arial" w:cs="Arial" w:eastAsia="Arial" w:hAnsi="Arial"/>
          <w:sz w:val="18"/>
          <w:szCs w:val="18"/>
          <w:color w:val="auto"/>
        </w:rPr>
        <w:t>” means the closing of the transactions contemplated by the Exchange Agreement.</w:t>
      </w:r>
    </w:p>
    <w:p>
      <w:pPr>
        <w:spacing w:after="0" w:line="46"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w:t>
      </w:r>
      <w:r>
        <w:rPr>
          <w:rFonts w:ascii="Arial" w:cs="Arial" w:eastAsia="Arial" w:hAnsi="Arial"/>
          <w:sz w:val="18"/>
          <w:szCs w:val="18"/>
          <w:color w:val="auto"/>
        </w:rPr>
        <w:t>”, “</w:t>
      </w:r>
      <w:r>
        <w:rPr>
          <w:rFonts w:ascii="Arial" w:cs="Arial" w:eastAsia="Arial" w:hAnsi="Arial"/>
          <w:sz w:val="18"/>
          <w:szCs w:val="18"/>
          <w:u w:val="single" w:color="auto"/>
          <w:color w:val="auto"/>
        </w:rPr>
        <w:t>Form S-3</w:t>
      </w:r>
      <w:r>
        <w:rPr>
          <w:rFonts w:ascii="Arial" w:cs="Arial" w:eastAsia="Arial" w:hAnsi="Arial"/>
          <w:sz w:val="18"/>
          <w:szCs w:val="18"/>
          <w:color w:val="auto"/>
        </w:rPr>
        <w:t>”, “</w:t>
      </w:r>
      <w:r>
        <w:rPr>
          <w:rFonts w:ascii="Arial" w:cs="Arial" w:eastAsia="Arial" w:hAnsi="Arial"/>
          <w:sz w:val="18"/>
          <w:szCs w:val="18"/>
          <w:u w:val="single" w:color="auto"/>
          <w:color w:val="auto"/>
        </w:rPr>
        <w:t>Form S-4</w:t>
      </w:r>
      <w:r>
        <w:rPr>
          <w:rFonts w:ascii="Arial" w:cs="Arial" w:eastAsia="Arial" w:hAnsi="Arial"/>
          <w:sz w:val="18"/>
          <w:szCs w:val="18"/>
          <w:color w:val="auto"/>
        </w:rPr>
        <w:t>” and “</w:t>
      </w:r>
      <w:r>
        <w:rPr>
          <w:rFonts w:ascii="Arial" w:cs="Arial" w:eastAsia="Arial" w:hAnsi="Arial"/>
          <w:sz w:val="18"/>
          <w:szCs w:val="18"/>
          <w:u w:val="single" w:color="auto"/>
          <w:color w:val="auto"/>
        </w:rPr>
        <w:t>Form S-8</w:t>
      </w:r>
      <w:r>
        <w:rPr>
          <w:rFonts w:ascii="Arial" w:cs="Arial" w:eastAsia="Arial" w:hAnsi="Arial"/>
          <w:sz w:val="18"/>
          <w:szCs w:val="18"/>
          <w:color w:val="auto"/>
        </w:rPr>
        <w:t>” mean respective forms under the Securities Act and any successor registration forms to the form in question.</w:t>
      </w:r>
    </w:p>
    <w:p>
      <w:pPr>
        <w:spacing w:after="0" w:line="46" w:lineRule="exact"/>
        <w:rPr>
          <w:sz w:val="20"/>
          <w:szCs w:val="20"/>
          <w:color w:val="auto"/>
        </w:rPr>
      </w:pPr>
    </w:p>
    <w:p>
      <w:pPr>
        <w:ind w:left="660" w:right="5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w:t>
      </w:r>
      <w:r>
        <w:rPr>
          <w:rFonts w:ascii="Arial" w:cs="Arial" w:eastAsia="Arial" w:hAnsi="Arial"/>
          <w:sz w:val="18"/>
          <w:szCs w:val="18"/>
          <w:color w:val="auto"/>
        </w:rPr>
        <w:t>” means, collectively, JYH, Benjamin Stauffer, JYH 2021 Children’s Trust dtd 10/12/21 Justin Finnegan TTEE, BS 2021 Family Trust dtd 10/12/21 Justin Finnegan TTEE, JYH 2012 Article 2nd Trust dtd 1/23/20 Linda Hyman &amp; Justine Finnegan TTEES and Linda S Hyman &amp; Dov I Hyman JTWROS.</w:t>
      </w:r>
    </w:p>
    <w:p>
      <w:pPr>
        <w:spacing w:after="0" w:line="66"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any Party owning Registrable Securities or any assignee thereof in accordance with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w:t>
      </w:r>
    </w:p>
    <w:p>
      <w:pPr>
        <w:spacing w:after="0" w:line="46" w:lineRule="exact"/>
        <w:rPr>
          <w:sz w:val="20"/>
          <w:szCs w:val="20"/>
          <w:color w:val="auto"/>
        </w:rPr>
      </w:pPr>
    </w:p>
    <w:p>
      <w:pPr>
        <w:ind w:left="660" w:right="39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 Majority</w:t>
      </w:r>
      <w:r>
        <w:rPr>
          <w:rFonts w:ascii="Arial" w:cs="Arial" w:eastAsia="Arial" w:hAnsi="Arial"/>
          <w:sz w:val="17"/>
          <w:szCs w:val="17"/>
          <w:color w:val="auto"/>
        </w:rPr>
        <w:t>” means Investors that continue to meet the Minimum Ownership Threshold as of the time of calculation holding a majority of all issued and outstanding shares of Class A Common Stock held by all Investors that continue to meet the Minimum Ownership Threshold as of such time.</w:t>
      </w:r>
    </w:p>
    <w:p>
      <w:pPr>
        <w:spacing w:after="0" w:line="44"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Investor</w:t>
      </w:r>
      <w:r>
        <w:rPr>
          <w:rFonts w:ascii="Arial" w:cs="Arial" w:eastAsia="Arial" w:hAnsi="Arial"/>
          <w:sz w:val="18"/>
          <w:szCs w:val="18"/>
          <w:color w:val="auto"/>
        </w:rPr>
        <w:t>” means, as of any date, each Investor that, together with its Affiliates, beneficially owns, directly or indirectly, in the aggregate at least five percent (5%) of all issued and outstanding shares of Class A Common Stock as of such date, subject to appropriate adjustment in the event of any stock dividend, stock split, combination or other similar recapitalization event.</w:t>
      </w:r>
    </w:p>
    <w:p>
      <w:pPr>
        <w:spacing w:after="0" w:line="66" w:lineRule="exact"/>
        <w:rPr>
          <w:sz w:val="20"/>
          <w:szCs w:val="20"/>
          <w:color w:val="auto"/>
        </w:rPr>
      </w:pPr>
    </w:p>
    <w:p>
      <w:pPr>
        <w:jc w:val="both"/>
        <w:ind w:left="660" w:right="4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Participating Holders</w:t>
      </w:r>
      <w:r>
        <w:rPr>
          <w:rFonts w:ascii="Arial" w:cs="Arial" w:eastAsia="Arial" w:hAnsi="Arial"/>
          <w:sz w:val="18"/>
          <w:szCs w:val="18"/>
          <w:color w:val="auto"/>
        </w:rPr>
        <w:t>” means, with respect to any registration of Registrable Securities, the Registrable Investors at the relevant time holding at least a majority of the Registrable Securities to be included in the registration statement in question.</w:t>
      </w:r>
    </w:p>
    <w:p>
      <w:pPr>
        <w:spacing w:after="0" w:line="61"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Ownership Threshold</w:t>
      </w:r>
      <w:r>
        <w:rPr>
          <w:rFonts w:ascii="Arial" w:cs="Arial" w:eastAsia="Arial" w:hAnsi="Arial"/>
          <w:sz w:val="18"/>
          <w:szCs w:val="18"/>
          <w:color w:val="auto"/>
        </w:rPr>
        <w:t>” means, with respect to each Investor, that such Investor continues to own at least twenty-five percent (25%) of the shares of Class A Common Stock held by such Investor as of the Exchange Closing, and after giving effect to the Transactions, including the Conversions and any shares acquired pursuant to the Rights Offering Backstop Agreement.</w:t>
      </w:r>
    </w:p>
    <w:p>
      <w:pPr>
        <w:spacing w:after="0" w:line="66"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Action</w:t>
      </w:r>
      <w:r>
        <w:rPr>
          <w:rFonts w:ascii="Arial" w:cs="Arial" w:eastAsia="Arial" w:hAnsi="Arial"/>
          <w:sz w:val="18"/>
          <w:szCs w:val="18"/>
          <w:color w:val="auto"/>
        </w:rPr>
        <w:t>” means, with respect to a specified result, all commercially reasonable actions required to cause such result that are within the power of a specified Person, including (i) if requested by the Board, calling special meetings of stockholders, (ii) voting or providing a written consent or proxy with respect to the Equity Securities owned by the Person obligated to undertake the necessary action, (iii) voting in favor of the adoption of stockholders’ resolutions and amendments to the organizational documents of the Company, (iv) executing agreements and instruments, and (v) making, or causing to be made, with Governmental Authorities, all filings, registrations or similar actions that are required to achieve such result.</w:t>
      </w:r>
    </w:p>
    <w:p>
      <w:pPr>
        <w:spacing w:after="0" w:line="72"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Non-Marketed Take-Down Share</w:t>
      </w:r>
      <w:r>
        <w:rPr>
          <w:rFonts w:ascii="Arial" w:cs="Arial" w:eastAsia="Arial" w:hAnsi="Arial"/>
          <w:sz w:val="18"/>
          <w:szCs w:val="18"/>
          <w:color w:val="auto"/>
        </w:rPr>
        <w:t xml:space="preserve">” means, with respect to each Initiating Shelf Holder and each other Notice Recipient delivering a notice with respect to and participating in a Non-Marketed Underwritten Shelf Take-Down subject to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a number equal to the product of (i) the total number of Registrable Securities to be included in such Non-Marketed Underwritten Shelf Take-Down pursuant to </w:t>
      </w:r>
      <w:r>
        <w:rPr>
          <w:rFonts w:ascii="Arial" w:cs="Arial" w:eastAsia="Arial" w:hAnsi="Arial"/>
          <w:sz w:val="18"/>
          <w:szCs w:val="18"/>
          <w:u w:val="single" w:color="auto"/>
          <w:color w:val="auto"/>
        </w:rPr>
        <w:t>Section 4.02(c)</w:t>
      </w:r>
      <w:r>
        <w:rPr>
          <w:rFonts w:ascii="Arial" w:cs="Arial" w:eastAsia="Arial" w:hAnsi="Arial"/>
          <w:sz w:val="18"/>
          <w:szCs w:val="18"/>
          <w:color w:val="auto"/>
        </w:rPr>
        <w:t>, and (ii) a fraction, the numerator of which is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66" w:lineRule="auto"/>
        <w:rPr>
          <w:sz w:val="20"/>
          <w:szCs w:val="20"/>
          <w:color w:val="auto"/>
        </w:rPr>
      </w:pPr>
      <w:r>
        <w:rPr>
          <w:rFonts w:ascii="Arial" w:cs="Arial" w:eastAsia="Arial" w:hAnsi="Arial"/>
          <w:sz w:val="17"/>
          <w:szCs w:val="17"/>
          <w:color w:val="auto"/>
        </w:rPr>
        <w:t>total number of Registrable Securities beneficially owned by the Initiating Shelf Holder or such participating Notice Recipient, as applicable, and the denominator of which is the total number of Registrable Securities beneficially owned by the Initiating Shelf Holder and all participating Notice Recipients delivering a notice and participating in such Non-Marketed Underwritten Shelf Take-Down.</w:t>
      </w:r>
    </w:p>
    <w:p>
      <w:pPr>
        <w:spacing w:after="0" w:line="5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 registration statement (including a prospectus that includes any information previously omitted from a prospectus filed as part of an effective registration statement in reliance upon Rule 430A promulgated by the SEC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77" w:lineRule="exact"/>
        <w:rPr>
          <w:sz w:val="20"/>
          <w:szCs w:val="20"/>
          <w:color w:val="auto"/>
        </w:rPr>
      </w:pPr>
    </w:p>
    <w:p>
      <w:pPr>
        <w:ind w:left="660" w:right="5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a registration statement or similar document in compliance with the Securities Act, and the automatic effectiveness or the declaration or ordering of effectiveness of such registration statement or document.</w:t>
      </w:r>
    </w:p>
    <w:p>
      <w:pPr>
        <w:spacing w:after="0" w:line="66"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means (i) any shares of Class A Common Stock owned by a Registrable Investor, (ii) any shares of Class A Common Stock issued or issuable upon exercise, conversion or exchange of any other securities of the Company, held by a Registrable Investor from time to time, and (iii) any shares of Class A Common Stock directly or indirectly issued or issuable in respect of the shares referenced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by way of stock dividend or stock split or in connection with a combination of shares, recapitalization, reclassification or similar event, in each case, held by any Registrable Investor. The Registrable Securities of any Holder shall cease to be Registrable Securities when (a) a registration statement with respect to the sale of such Registrable Securities shall have become effective under the Securities Act and such securities shall have been disposed of in accordance with such registration statement, (b) such Registrable Securities shall have been distributed to the public pursuant to Rule 144, or (c) upon any transfer in any manner to a Person which is not entitled to the rights under this Agreement. For purposes of this Agreement, the number of Registrable Securities outstanding at any time shall be determined by adding the number of shares of Class A Common Stock or other securities which are then outstanding, and the maximum number of shares of Class A Common Stock or other securities issuable (directly or indirectly) pursuant to then convertible securities which upon issuance would be Registrable Securities.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Investors</w:t>
      </w:r>
      <w:r>
        <w:rPr>
          <w:rFonts w:ascii="Arial" w:cs="Arial" w:eastAsia="Arial" w:hAnsi="Arial"/>
          <w:sz w:val="18"/>
          <w:szCs w:val="18"/>
          <w:color w:val="auto"/>
        </w:rPr>
        <w:t>” means each of the Founder, CHS, Nexus and Story3.</w:t>
      </w:r>
    </w:p>
    <w:p>
      <w:pPr>
        <w:spacing w:after="0" w:line="104" w:lineRule="exact"/>
        <w:rPr>
          <w:sz w:val="20"/>
          <w:szCs w:val="20"/>
          <w:color w:val="auto"/>
        </w:rPr>
      </w:pPr>
    </w:p>
    <w:p>
      <w:pPr>
        <w:ind w:left="660" w:right="3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means all expenses incident to performance of or compliance with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by the Company, including all registration and filing fees, all listing fees, all fees and expenses of complying with securities or blue sky laws, all printing and automated document preparation expenses, all messenger and delivery expenses, the fees and disbursements of counsel for the Company and of its independent public accountants, including the expenses of any special audits required by or incident to such performance and compliance, and the reasonable fees and disbursements of one counsel for the Holders on whose behalf Registrable Securities are being registered, but excluding underwriting discounts and commissions and applicable transfer taxes, if any, which shall be borne by the sellers of the Registrable Securities in all cases.</w:t>
      </w:r>
    </w:p>
    <w:p>
      <w:pPr>
        <w:spacing w:after="0" w:line="75" w:lineRule="exact"/>
        <w:rPr>
          <w:sz w:val="20"/>
          <w:szCs w:val="20"/>
          <w:color w:val="auto"/>
        </w:rPr>
      </w:pPr>
    </w:p>
    <w:p>
      <w:pPr>
        <w:ind w:left="660" w:right="7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 and any successor rule or regulation thereto, and in the case of any referenced section of such rule, any successor section thereto, collectively and as from time to time amended and in effect.</w:t>
      </w:r>
    </w:p>
    <w:p>
      <w:pPr>
        <w:spacing w:after="0" w:line="61"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under the Securities Act, as such rule may be amended or interpreted from time to time, or any similar rule or regulation hereafter adopted by the SEC having substantially the same purpose and effect as such rule.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 available written or oral guidance of the SEC staff, or any comments, requirements or requests of the SEC staff, and (ii) the Securities Act.</w:t>
      </w:r>
    </w:p>
    <w:p>
      <w:pPr>
        <w:spacing w:after="0" w:line="46"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Holder</w:t>
      </w:r>
      <w:r>
        <w:rPr>
          <w:rFonts w:ascii="Arial" w:cs="Arial" w:eastAsia="Arial" w:hAnsi="Arial"/>
          <w:sz w:val="18"/>
          <w:szCs w:val="18"/>
          <w:color w:val="auto"/>
        </w:rPr>
        <w:t>” means any Holder whose Registrable Securities are included in a Shelf Registration Statement.</w:t>
      </w:r>
    </w:p>
    <w:p>
      <w:pPr>
        <w:spacing w:after="0" w:line="46" w:lineRule="exact"/>
        <w:rPr>
          <w:sz w:val="20"/>
          <w:szCs w:val="20"/>
          <w:color w:val="auto"/>
        </w:rPr>
      </w:pPr>
    </w:p>
    <w:p>
      <w:pPr>
        <w:ind w:left="660" w:right="31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means a registration statement providing for an offering to be made on a continuous basis pursuant to Rule 415 promulgated under the Securities Act in accordance with the plan and method of distribution set forth in the prospectus included in such registration statement.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Filing Date</w:t>
      </w:r>
      <w:r>
        <w:rPr>
          <w:rFonts w:ascii="Arial" w:cs="Arial" w:eastAsia="Arial" w:hAnsi="Arial"/>
          <w:sz w:val="18"/>
          <w:szCs w:val="18"/>
          <w:color w:val="auto"/>
        </w:rPr>
        <w:t>” shall mean the date that is twenty (20) days after the Exchange Closing.</w:t>
      </w:r>
    </w:p>
    <w:p>
      <w:pPr>
        <w:spacing w:after="0" w:line="10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Unless the context of this Agreement otherwise requires, when a reference is made in this Agreement to an Article, Section, Exhibit or Annex, such reference shall be to an Article, Section, Exhibit or Annex to this Agreement unless otherwise indicated. The preamble and the recitals set forth at the beginning of this Agreement are incorporated by reference into and made a part of this Agreement.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 “extent” and the phrase “to the extent” shall mean the degree to which a subject or thing extends, and such word or phrase shall not simply mean “if.” The word “will” shall be construed to have the same meaning and effect as the word “shall.” The words “or,” “any,” “neither,” “nor” or “either” shall not be exclusive. References to “this Agreement” shall include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The definitions contained in this Agreement are applicable to the singular as well as the plural forms of such terms and to the masculine as well as to the feminine and neuter genders of such term. References to any statute in this Agreement shall be deemed to refer to such statute as amended from time to time and to any rules or regulations promulgated thereunder. References to any Contract in this Agreement are to such Contract as amended, modified or supplemented (including by waiver or consent) from time to time in accordance with the terms hereof and thereof. The phrase “date hereof” or “date of this Agreement” shall be deemed to refer to the Effective Date. References from, to or through any date mean, unless otherwise specified, from and including, to and including or through and including, respectively, and not beyond such date. Unless the context otherwise requires, references to any Person include references to such Person’s successors and permitted assigns, and, in the case of any Governmental Authority, to any Person succeeding to its functions and capacities. The term “writing” means the representation or reproduction of words, symbols or other information in a visible form by any method or combination of methods, whether in electronic form or otherwise, and including writings delivered by electronic delivery, and “written” will be construed in the same manner. Each Party has participated in the drafting of this Agreement, which each Party acknowledges is the result of extensive negotiations among the Parties and their advisors, and the Parties agree that there shall not apply to this Agreement or any provision hereof any rule or presumption of interpreting this Agreement or any provision hereof against the draftsperson of this Agreement or any provision hereof. The terms “beneficially owns” and “beneficial ownership” shall be as determined in accordance with Rule 13d-3 of the Securities Exchange Act of 1934, as amended.</w:t>
      </w:r>
    </w:p>
    <w:p>
      <w:pPr>
        <w:spacing w:after="0" w:line="18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ARTICLE II</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Registration</w:t>
      </w:r>
    </w:p>
    <w:p>
      <w:pPr>
        <w:spacing w:after="0" w:line="86"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Registration on Form S-3</w:t>
      </w:r>
      <w:r>
        <w:rPr>
          <w:rFonts w:ascii="Arial" w:cs="Arial" w:eastAsia="Arial" w:hAnsi="Arial"/>
          <w:sz w:val="18"/>
          <w:szCs w:val="18"/>
          <w:color w:val="auto"/>
        </w:rPr>
        <w:t>. As soon as practicable after the Exchange Closing, but not later than the Target Filing Date, the Company shall prepare and file with the SEC a Shelf Registration Statement covering the resale of all of the Registrable Securities for an offering to be made on a continuous basis pursuant to Rule 415. Such Shelf Registration Statement filed hereunder shall be on Form S-3 (or, if Form S-3 is not available, Form S-1, or such other form available to register for resale the Registrable Securities as a secondary offering) (the “</w:t>
      </w:r>
      <w:r>
        <w:rPr>
          <w:rFonts w:ascii="Arial" w:cs="Arial" w:eastAsia="Arial" w:hAnsi="Arial"/>
          <w:sz w:val="18"/>
          <w:szCs w:val="18"/>
          <w:u w:val="single" w:color="auto"/>
          <w:color w:val="auto"/>
        </w:rPr>
        <w:t>Shelf Registration</w:t>
      </w:r>
      <w:r>
        <w:rPr>
          <w:rFonts w:ascii="Arial" w:cs="Arial" w:eastAsia="Arial" w:hAnsi="Arial"/>
          <w:sz w:val="18"/>
          <w:szCs w:val="18"/>
          <w:color w:val="auto"/>
        </w:rPr>
        <w:t>”) and shall contain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(unless otherwise directed by the Registrable Investors holding at least two-thirds of all issued and outstanding shares of Class A Common Stock held by all Registrable Investors) substantially the “Plan of Distribution”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a “Selling Stockholder” section in a form to be mutually agreed upon by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Registrable Investor shall be required to be named as an “underwriter” without such Registrable Investor’s express prior written consent, and a non-consenting Registrable Investor will be removed from the Shelf Registration Statement as a Selling Stockholder if the SEC will not take the Shelf Registration Statement effective without such Registrable Investor being named as an “underwriter” and such removal will not be a breach by the Company. Subject to the terms of this Agreement, the Company shall use its reasonable best efforts to cause the Shelf Registration Statement filed pursuant hereto to be declared effective under the Securities Act as promptly as possible after the filing thereof, but in any event no later than the sixtieth (60th) calendar day following the Exchange Closing, and shall use its reasonable best efforts to keep such Shelf Registration Statement continuously effective under the Securities Act until the date that all Registrable Securities covered by such Shelf Registration Statement (i) have been sold thereunder or pursuant to Rule 144, or</w:t>
      </w:r>
    </w:p>
    <w:p>
      <w:pPr>
        <w:spacing w:after="0" w:line="4" w:lineRule="exact"/>
        <w:rPr>
          <w:sz w:val="20"/>
          <w:szCs w:val="20"/>
          <w:color w:val="auto"/>
        </w:rPr>
      </w:pPr>
    </w:p>
    <w:p>
      <w:pPr>
        <w:ind w:left="300" w:right="299" w:hanging="8"/>
        <w:spacing w:after="0" w:line="234" w:lineRule="auto"/>
        <w:tabs>
          <w:tab w:leader="none" w:pos="5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Registrable Investors and instructing any securities legends to be removed. The Company shall telephonically request effectiveness of a Shelf Registration Statement as of 5:00 p.m., Eastern time, on a Business Day. The Company shall immediately notify the Registrable Investors via e-mail of the effectiveness of the Shelf Registration Statement on the same Business Day that the Company telephonically confirms effectiveness with the SEC, which shall be the date requested for effectiveness of the Shelf Registration Statement. The Company shall, by 9:30 a.m., Eastern time, on the second (2nd) Business Day after the effective date of the Shelf Registration Statement, file a final Prospectus with the SEC as required by Rule 424. If, after the filing of a Shelf Registration Statement, a holder of Registrable Securities requests registration under the Securities Act of additional Registrable Securities pursuant to such Shelf Registration, the Company shall amend such Shelf Registration Statement to cover such additional Registrable Securities. If the SEC informs the Company that all of the Registrable Securities cannot, as a result of the application of</w:t>
      </w:r>
    </w:p>
    <w:p>
      <w:pPr>
        <w:spacing w:after="0" w:line="10" w:lineRule="exact"/>
        <w:rPr>
          <w:rFonts w:ascii="Arial" w:cs="Arial" w:eastAsia="Arial" w:hAnsi="Arial"/>
          <w:sz w:val="18"/>
          <w:szCs w:val="18"/>
          <w:color w:val="auto"/>
        </w:rPr>
      </w:pPr>
    </w:p>
    <w:p>
      <w:pPr>
        <w:ind w:left="300" w:right="319"/>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Rule 415, be registered for resale as a secondary offering on a single registration statement, the Company agrees to promptly inform each of the Registrable Investors thereof and use its reasonable best efforts to file amendments to the Shelf Registration Statement as required by the SEC, covering the maximum number of Registrable Securities permitted to be registered by the SEC, on Form S-3 (or, if Form S-3 is not available, Form S-1, or such other form available to register for resale the Registrable Securities as a secondary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filing such amendment, the Company shall be obligated to use its reasonable best efforts to advocate with the SEC for the registration of all of the Registrable Securities in accordance with the SEC Guidance, including Compliance and Disclosure Interpretation 612.09.</w:t>
      </w:r>
    </w:p>
    <w:p>
      <w:pPr>
        <w:spacing w:after="0" w:line="73"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Underwritten Demand Rights</w:t>
      </w:r>
      <w:r>
        <w:rPr>
          <w:rFonts w:ascii="Arial" w:cs="Arial" w:eastAsia="Arial" w:hAnsi="Arial"/>
          <w:sz w:val="18"/>
          <w:szCs w:val="18"/>
          <w:color w:val="auto"/>
        </w:rPr>
        <w:t>. At any time after the Exchange Closing, but in no event more than twice in any three hundred sixty-five (365)-day period, any Registrable Investor (other than the Founder) may, by written notice to the Company, request that the Company effect the registration on Form S-3 or Form S-1 of a number of Registrable Securities having an aggregate value (based on the market price of fair market value on the date of such request) of at least $5,000,000 to be distributed in an underwritten offering. Promptly after receipt of such notice, the Company will give written notice of such requested registration to all other Registrable Investors holding Registrable Securities. The Company will then, promptly and in any event within forty-five (45) days after a request for registration is delivered to the Company, use its reasonable best efforts to effect the registration under the Securities Act of the Registrable Securities which the Company has been requested to register by such Holders, and all other Registrable Securities which the Company has been requested to register by other Registrable Investors holding such Registrable Securities by notice delivered to the Company within ten (10) days after the giving of such notice by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Company hereby agrees to pay all Registration Expenses in connection with all registrations effected pursuant to Sections 2‎.01 and 2</w:t>
      </w:r>
      <w:r>
        <w:rPr>
          <w:rFonts w:ascii="Arial" w:cs="Arial" w:eastAsia="Arial" w:hAnsi="Arial"/>
          <w:sz w:val="18"/>
          <w:szCs w:val="18"/>
          <w:u w:val="single" w:color="auto"/>
          <w:color w:val="auto"/>
        </w:rPr>
        <w:t>‎.02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pay for any expenses of such registration proceeding if the registration request is withdrawn at any time at the request of the Majority Participating Holders, and all participating Holders shall bear such expenses, unless the Majority Participating Holders agree to treat such withdrawn registration as a registration which was effected pursuant to Section 2‎.01 or 2</w:t>
      </w:r>
      <w:r>
        <w:rPr>
          <w:rFonts w:ascii="Arial" w:cs="Arial" w:eastAsia="Arial" w:hAnsi="Arial"/>
          <w:sz w:val="18"/>
          <w:szCs w:val="18"/>
          <w:u w:val="single" w:color="auto"/>
          <w:color w:val="auto"/>
        </w:rPr>
        <w:t>‎.02</w:t>
      </w:r>
      <w:r>
        <w:rPr>
          <w:rFonts w:ascii="Arial" w:cs="Arial" w:eastAsia="Arial" w:hAnsi="Arial"/>
          <w:sz w:val="18"/>
          <w:szCs w:val="18"/>
          <w:color w:val="auto"/>
        </w:rPr>
        <w:t>, as the case may be, which agreement shall bind all Holders of Registrable Securities. Notwithstanding the foregoing, if the Holders have learned of a material adverse change in the condition, business, or prospects of the Company from that known to the Holders at the time the demand for registration was made or if there shall have occurred a material adverse change in market conditions from those existing as such time in the good faith judgment of the Majority Participating Holders makes it undesirable to proceed with the proposed offering, then the Holders shall not be required to pay any of such expenses. The withdrawn registration shall not count as a registration effected pursuant to Section 2‎.01 or 2</w:t>
      </w:r>
      <w:r>
        <w:rPr>
          <w:rFonts w:ascii="Arial" w:cs="Arial" w:eastAsia="Arial" w:hAnsi="Arial"/>
          <w:sz w:val="18"/>
          <w:szCs w:val="18"/>
          <w:u w:val="single" w:color="auto"/>
          <w:color w:val="auto"/>
        </w:rPr>
        <w:t>‎.02</w:t>
      </w:r>
      <w:r>
        <w:rPr>
          <w:rFonts w:ascii="Arial" w:cs="Arial" w:eastAsia="Arial" w:hAnsi="Arial"/>
          <w:sz w:val="18"/>
          <w:szCs w:val="18"/>
          <w:color w:val="auto"/>
        </w:rPr>
        <w: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-1564640</wp:posOffset>
            </wp:positionV>
            <wp:extent cx="6921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150" cy="88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-1050290</wp:posOffset>
            </wp:positionV>
            <wp:extent cx="6350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500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-149860</wp:posOffset>
            </wp:positionV>
            <wp:extent cx="6350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18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III</w:t>
      </w:r>
    </w:p>
    <w:p>
      <w:pPr>
        <w:spacing w:after="0" w:line="14"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Piggyback Registration</w:t>
      </w:r>
    </w:p>
    <w:p>
      <w:pPr>
        <w:spacing w:after="0" w:line="86"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xml:space="preserve">. If at any time following the Exchange Closing the Company proposes to register any of its Equity Securities under the Securities Act, for its own account or for the account of any holder of its securities other than Registrable Securities, on a form which would permit registration of Registrable Securities for sale to the public under the Securities Act, or proposes to register any securities in a so-called “unallocated” or “universal” shelf registration statement and such registration would permit registration of Registrable Securities thereunder, the Company will each such time give prompt written notice to all Holders of Registrable Securities of its intention to do so. Such notice shall describe such securities and specify the form, manner and other relevant aspects of such proposed registration. Any such Holder may, by written response delivered to the Company within ten (10) days after the giving of any such notice by the Company, request that all or a specified part of the Registrable Securities held by such Holder be included in such registration. The Company thereupon will use its reasonable best efforts as a part of its filing of such form to cause to be included in such registration under the Securities Act all Registrable Securities which the Company has been so requested to register by the Holders of Registrable Securities, to the extent required to permit the disposition (in accordance with the methods to be used by the Company or other holders of securities in such registration) of the Registrable Securities to be so registered. The Company shall be under no obligation to complete any offering of its securities it proposes to make and shall incur no liability to any Holder for its failure to do so. No registration of Registrable Securities effected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shall relieve the Company of any of its obligations to effect registrations of Registrable Securities pursuant to Section 2‎.01 or 2</w:t>
      </w:r>
      <w:r>
        <w:rPr>
          <w:rFonts w:ascii="Arial" w:cs="Arial" w:eastAsia="Arial" w:hAnsi="Arial"/>
          <w:sz w:val="17"/>
          <w:szCs w:val="17"/>
          <w:u w:val="single" w:color="auto"/>
          <w:color w:val="auto"/>
        </w:rPr>
        <w:t>‎.02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101600</wp:posOffset>
            </wp:positionV>
            <wp:extent cx="6350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25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Excluded Transactions</w:t>
      </w:r>
      <w:r>
        <w:rPr>
          <w:rFonts w:ascii="Arial" w:cs="Arial" w:eastAsia="Arial" w:hAnsi="Arial"/>
          <w:sz w:val="18"/>
          <w:szCs w:val="18"/>
          <w:color w:val="auto"/>
        </w:rPr>
        <w:t xml:space="preserve">. The Company shall not be obligated to effect any registration of Registrable Securities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incidental to the registration of any of its securities in connection with any mergers, acquisitions or exchange offers or in connection with any dividend reinvestment plans or stock option or other employee benefit plans.</w:t>
      </w:r>
    </w:p>
    <w:p>
      <w:pPr>
        <w:spacing w:after="0" w:line="66"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xml:space="preserve">. The Company hereby agrees to pay all Registration Expenses in connection with each registration of Registrable Securities requested pursuant to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Procedures</w:t>
      </w:r>
    </w:p>
    <w:p>
      <w:pPr>
        <w:spacing w:after="0" w:line="86" w:lineRule="exact"/>
        <w:rPr>
          <w:sz w:val="20"/>
          <w:szCs w:val="20"/>
          <w:color w:val="auto"/>
        </w:rPr>
      </w:pPr>
    </w:p>
    <w:p>
      <w:pPr>
        <w:jc w:val="both"/>
        <w:ind w:left="300" w:right="439"/>
        <w:spacing w:after="0" w:line="25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Company Obligations</w:t>
      </w:r>
      <w:r>
        <w:rPr>
          <w:rFonts w:ascii="Arial" w:cs="Arial" w:eastAsia="Arial" w:hAnsi="Arial"/>
          <w:sz w:val="18"/>
          <w:szCs w:val="18"/>
          <w:color w:val="auto"/>
        </w:rPr>
        <w:t xml:space="preserve">. If and whenever the Company is required to use its reasonable best efforts to effect the registration of any Registrable Securities under the Securities Act as provided in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the Company shall as expeditiously as reasonably possible:</w:t>
      </w:r>
    </w:p>
    <w:p>
      <w:pPr>
        <w:spacing w:after="0" w:line="61"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Amendments and Supplements to Registration Statement</w:t>
      </w:r>
      <w:r>
        <w:rPr>
          <w:rFonts w:ascii="Arial" w:cs="Arial" w:eastAsia="Arial" w:hAnsi="Arial"/>
          <w:sz w:val="18"/>
          <w:szCs w:val="18"/>
          <w:color w:val="auto"/>
        </w:rPr>
        <w:t>.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Securities and other securities, if any, covered by such registration statement until such time as all such Registrable Securities have been disposed of by the seller or sellers thereof in accordance with the intended methods of disposition set forth in such registration statement.</w:t>
      </w:r>
    </w:p>
    <w:p>
      <w:pPr>
        <w:spacing w:after="0" w:line="61"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Cooperation</w:t>
      </w:r>
      <w:r>
        <w:rPr>
          <w:rFonts w:ascii="Arial" w:cs="Arial" w:eastAsia="Arial" w:hAnsi="Arial"/>
          <w:sz w:val="18"/>
          <w:szCs w:val="18"/>
          <w:color w:val="auto"/>
        </w:rPr>
        <w:t>. Use its reasonable best efforts to cooperate as may be reasonably requested by the seller of such Registrable Securities in the disposition of the Class A Common Stock covered by such registration statement, including in the case of an underwritten offering causing key executives of the Company to participate under the direction of the managing underwriter in a “road show” scheduled by such managing underwriter in such locations and of such duration as in the reasonable judgment of such managing underwriter are appropriate for such underwritten offering.</w:t>
      </w:r>
    </w:p>
    <w:p>
      <w:pPr>
        <w:spacing w:after="0" w:line="7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Furnishing of Copies of Registration Statements and Other Documents</w:t>
      </w:r>
      <w:r>
        <w:rPr>
          <w:rFonts w:ascii="Arial" w:cs="Arial" w:eastAsia="Arial" w:hAnsi="Arial"/>
          <w:sz w:val="18"/>
          <w:szCs w:val="18"/>
          <w:color w:val="auto"/>
        </w:rPr>
        <w:t>. Furnish to each seller of such Registrable Securities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each in conformity with the requirements of the Securities Act, such documents incorporated by reference in such registration statement or prospectus and such other documents as such seller may reasonably request in order to facilitate the disposition of the Registrable Securities of such seller covered by such registration statement.</w:t>
      </w:r>
    </w:p>
    <w:p>
      <w:pPr>
        <w:spacing w:after="0" w:line="72"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State Securities Laws</w:t>
      </w:r>
      <w:r>
        <w:rPr>
          <w:rFonts w:ascii="Arial" w:cs="Arial" w:eastAsia="Arial" w:hAnsi="Arial"/>
          <w:sz w:val="18"/>
          <w:szCs w:val="18"/>
          <w:color w:val="auto"/>
        </w:rPr>
        <w:t xml:space="preserve">. Use its reasonable best efforts to register or qualify such Registrable Securities under such securities or “blue sky” laws of such jurisdictions as the sellers shall reasonably request, and do any and all other acts and things which may be necessary or advisable to enable each seller to consummate the disposition in such jurisdictions of the Registrable Securities of such seller covered by such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obligated to file any general consent to service of process or to qualify as a foreign corporation or subject the Company to taxation in any jurisdiction in which it is not so qualified or would not otherwise be so subject.</w:t>
      </w:r>
    </w:p>
    <w:p>
      <w:pPr>
        <w:spacing w:after="0" w:line="72" w:lineRule="exact"/>
        <w:rPr>
          <w:sz w:val="20"/>
          <w:szCs w:val="20"/>
          <w:color w:val="auto"/>
        </w:rPr>
      </w:pPr>
    </w:p>
    <w:p>
      <w:pPr>
        <w:ind w:left="660" w:right="479"/>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Opinion of Counsel; Comfort Letter</w:t>
      </w:r>
      <w:r>
        <w:rPr>
          <w:rFonts w:ascii="Arial" w:cs="Arial" w:eastAsia="Arial" w:hAnsi="Arial"/>
          <w:sz w:val="18"/>
          <w:szCs w:val="18"/>
          <w:color w:val="auto"/>
        </w:rPr>
        <w:t>. Use its reasonable best efforts to obtain all legal opinions, auditors consents and comfort letters and experts cooperation as may be required, including furnishing to each underwriter of Registrable Securities on the date that the registration statement with respect to such Registrable Securities becomes effective, (i) an opinion, dated as of such date, of counsel for the Company, and (ii) a “cold comfort” letter, dated as of such date, signed by the independent public accountants of the Company, in each case, in form and substance as is customarily given to underwriters in an underwritten public offering.</w:t>
      </w:r>
    </w:p>
    <w:p>
      <w:pPr>
        <w:spacing w:after="0" w:line="77"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Notice of Prospectus Defects</w:t>
      </w:r>
      <w:r>
        <w:rPr>
          <w:rFonts w:ascii="Arial" w:cs="Arial" w:eastAsia="Arial" w:hAnsi="Arial"/>
          <w:sz w:val="18"/>
          <w:szCs w:val="18"/>
          <w:color w:val="auto"/>
        </w:rPr>
        <w:t>. Immediately 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then existing, and at the request of any such seller prepare and furnish to such seller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78"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Stop Orders</w:t>
      </w:r>
      <w:r>
        <w:rPr>
          <w:rFonts w:ascii="Arial" w:cs="Arial" w:eastAsia="Arial" w:hAnsi="Arial"/>
          <w:sz w:val="18"/>
          <w:szCs w:val="18"/>
          <w:color w:val="auto"/>
        </w:rPr>
        <w:t>. In the event of the issuance of any stop order suspending the effectiveness of such registration statement, or any order suspending or preventing the use of any related prospectus or suspending the qualification of any Registrable Securities included in such registration statement for sale in any jurisdiction, use its reasonable best efforts promptly to obtain the withdrawal of such order.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2"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General Compliance with Federal Securities Laws; Section 11(a) Earning Statement</w:t>
      </w:r>
      <w:r>
        <w:rPr>
          <w:rFonts w:ascii="Arial" w:cs="Arial" w:eastAsia="Arial" w:hAnsi="Arial"/>
          <w:sz w:val="18"/>
          <w:szCs w:val="18"/>
          <w:color w:val="auto"/>
        </w:rPr>
        <w:t>. Otherwise use its reasonable best efforts to comply with the Securities Act, the Exchange Act and all other applicable rules and regulations of the SEC, and make available to its securities holders, as soon as reasonably practicable, an earnings statement covering the period of at least 12 months after the effective date of such registration statement, which earnings statement shall satisfy Section 11(a) of the Securities Act and any applicable regulations thereunder, including Rule 158.</w:t>
      </w:r>
    </w:p>
    <w:p>
      <w:pPr>
        <w:spacing w:after="0" w:line="71" w:lineRule="exact"/>
        <w:rPr>
          <w:sz w:val="20"/>
          <w:szCs w:val="20"/>
          <w:color w:val="auto"/>
        </w:rPr>
      </w:pPr>
    </w:p>
    <w:p>
      <w:pPr>
        <w:ind w:left="660" w:right="719"/>
        <w:spacing w:after="0" w:line="25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In the event of any underwritten offering, enter into and perform its obligations under an underwriting agreement, in usual and customary form, with the managing underwriter of such offering.</w:t>
      </w:r>
    </w:p>
    <w:p>
      <w:pPr>
        <w:spacing w:after="0" w:line="61" w:lineRule="exact"/>
        <w:rPr>
          <w:sz w:val="20"/>
          <w:szCs w:val="20"/>
          <w:color w:val="auto"/>
        </w:rPr>
      </w:pPr>
    </w:p>
    <w:p>
      <w:pPr>
        <w:ind w:left="660" w:right="559"/>
        <w:spacing w:after="0" w:line="242"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Exchange Listing</w:t>
      </w:r>
      <w:r>
        <w:rPr>
          <w:rFonts w:ascii="Arial" w:cs="Arial" w:eastAsia="Arial" w:hAnsi="Arial"/>
          <w:sz w:val="18"/>
          <w:szCs w:val="18"/>
          <w:color w:val="auto"/>
        </w:rPr>
        <w:t>. Use its reasonable best efforts to cause such Registrable Securities to be listed on each securities exchange on which any equity security of the Company is then listed or, if the Company does not have a class of Equity Securities listed on a national securities exchange, apply for qualification and use its reasonable best efforts to qualify such Registrable Securities for listing on the New York Stock Exchange, the Nasdaq Global Market or the Nasdaq Global Select Market or comparable trading system.</w:t>
      </w:r>
    </w:p>
    <w:p>
      <w:pPr>
        <w:spacing w:after="0" w:line="71"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Due Diligence</w:t>
      </w:r>
      <w:r>
        <w:rPr>
          <w:rFonts w:ascii="Arial" w:cs="Arial" w:eastAsia="Arial" w:hAnsi="Arial"/>
          <w:sz w:val="18"/>
          <w:szCs w:val="18"/>
          <w:color w:val="auto"/>
        </w:rPr>
        <w:t>. 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connection with such registration statement, in each case, subject to the requirement that recipients execute appropriate confidentiality agreements.</w:t>
      </w:r>
    </w:p>
    <w:p>
      <w:pPr>
        <w:spacing w:after="0" w:line="72" w:lineRule="exact"/>
        <w:rPr>
          <w:sz w:val="20"/>
          <w:szCs w:val="20"/>
          <w:color w:val="auto"/>
        </w:rPr>
      </w:pPr>
    </w:p>
    <w:p>
      <w:pPr>
        <w:ind w:left="660" w:right="339"/>
        <w:spacing w:after="0" w:line="271"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Transfer Agent</w:t>
      </w:r>
      <w:r>
        <w:rPr>
          <w:rFonts w:ascii="Arial" w:cs="Arial" w:eastAsia="Arial" w:hAnsi="Arial"/>
          <w:sz w:val="18"/>
          <w:szCs w:val="18"/>
          <w:color w:val="auto"/>
        </w:rPr>
        <w:t>. Provide a transfer agent and registrar for all such Registrable Securities not later than the effective date of such registration statement.</w:t>
      </w:r>
    </w:p>
    <w:p>
      <w:pPr>
        <w:spacing w:after="0" w:line="46" w:lineRule="exact"/>
        <w:rPr>
          <w:sz w:val="20"/>
          <w:szCs w:val="20"/>
          <w:color w:val="auto"/>
        </w:rPr>
      </w:pPr>
    </w:p>
    <w:p>
      <w:pPr>
        <w:ind w:left="660" w:right="479"/>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Legend</w:t>
      </w:r>
      <w:r>
        <w:rPr>
          <w:rFonts w:ascii="Arial" w:cs="Arial" w:eastAsia="Arial" w:hAnsi="Arial"/>
          <w:sz w:val="18"/>
          <w:szCs w:val="18"/>
          <w:color w:val="auto"/>
        </w:rPr>
        <w:t>. The Company shall be obligated to reissue promptly unlegended certificates or other evidence of ownership at the request of any Holder thereof if such Holder shall have obtained an opinion of counsel, which counsel may be counsel to the Company, reasonably acceptable to the Company (it being understood that (i) internal counsel of CHS shall be deemed acceptable for transfers by CHS, (ii) internal counsel of Nexus shall be deemed acceptable for transfers by Nexus, and (iii) internal counsel of Story3 shall be deemed acceptable for transfers by Story3) to the effect that the securities proposed to be disposed of may be lawfully disposed of without registration, qualification and legend.</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Shelf Take-Downs</w:t>
      </w:r>
      <w:r>
        <w:rPr>
          <w:rFonts w:ascii="Arial" w:cs="Arial" w:eastAsia="Arial" w:hAnsi="Arial"/>
          <w:sz w:val="18"/>
          <w:szCs w:val="18"/>
          <w:color w:val="auto"/>
        </w:rPr>
        <w:t>.</w:t>
      </w:r>
    </w:p>
    <w:p>
      <w:pPr>
        <w:spacing w:after="0" w:line="104" w:lineRule="exact"/>
        <w:rPr>
          <w:sz w:val="20"/>
          <w:szCs w:val="20"/>
          <w:color w:val="auto"/>
        </w:rPr>
      </w:pPr>
    </w:p>
    <w:p>
      <w:pPr>
        <w:jc w:val="both"/>
        <w:ind w:left="660" w:right="31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Shelf Take-Downs</w:t>
      </w:r>
      <w:r>
        <w:rPr>
          <w:rFonts w:ascii="Arial" w:cs="Arial" w:eastAsia="Arial" w:hAnsi="Arial"/>
          <w:sz w:val="18"/>
          <w:szCs w:val="18"/>
          <w:color w:val="auto"/>
        </w:rPr>
        <w:t>. Following the Exchange Closing, any selling Holder of Registrable Securities included in a Shelf Registration Statement (an “</w:t>
      </w:r>
      <w:r>
        <w:rPr>
          <w:rFonts w:ascii="Arial" w:cs="Arial" w:eastAsia="Arial" w:hAnsi="Arial"/>
          <w:sz w:val="18"/>
          <w:szCs w:val="18"/>
          <w:u w:val="single" w:color="auto"/>
          <w:color w:val="auto"/>
        </w:rPr>
        <w:t>Initiating Shelf Holder</w:t>
      </w:r>
      <w:r>
        <w:rPr>
          <w:rFonts w:ascii="Arial" w:cs="Arial" w:eastAsia="Arial" w:hAnsi="Arial"/>
          <w:sz w:val="18"/>
          <w:szCs w:val="18"/>
          <w:color w:val="auto"/>
        </w:rPr>
        <w:t>”) may initiate an offering or sale of all or part of such Registrable Securities (a “</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in which case the provisions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apply.</w:t>
      </w:r>
    </w:p>
    <w:p>
      <w:pPr>
        <w:spacing w:after="0" w:line="66" w:lineRule="exact"/>
        <w:rPr>
          <w:sz w:val="20"/>
          <w:szCs w:val="20"/>
          <w:color w:val="auto"/>
        </w:rPr>
      </w:pPr>
    </w:p>
    <w:p>
      <w:pPr>
        <w:ind w:left="660" w:right="45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Marketed Underwritten Shelf Take-Downs</w:t>
      </w:r>
      <w:r>
        <w:rPr>
          <w:rFonts w:ascii="Arial" w:cs="Arial" w:eastAsia="Arial" w:hAnsi="Arial"/>
          <w:sz w:val="18"/>
          <w:szCs w:val="18"/>
          <w:color w:val="auto"/>
        </w:rPr>
        <w:t>. If an Initiating Shelf Holder so elects in a written request delivered to the Company (an “</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a Shelf Take-Down may be in the form of an underwritten offering (an “</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and the Company shall file and effect an amendment or supplement to its Shelf Registration Statement (including the filing of a supplemental prospectus) for such purpose as promptly as reasonably practicable. Such Initiating Shelf Holder shall indicate in such Underwritten Shelf Take-Down Notice whether it intends for such Underwritten Shelf Take-Down to involve a customary “road show” (including an “electronic road show”) or other substantial marketing effort by the underwriters over a period of at least 48 hours (a “</w:t>
      </w:r>
      <w:r>
        <w:rPr>
          <w:rFonts w:ascii="Arial" w:cs="Arial" w:eastAsia="Arial" w:hAnsi="Arial"/>
          <w:sz w:val="18"/>
          <w:szCs w:val="18"/>
          <w:u w:val="single" w:color="auto"/>
          <w:color w:val="auto"/>
        </w:rPr>
        <w:t>Marketed Underwritten Shelf Take-Down</w:t>
      </w:r>
      <w:r>
        <w:rPr>
          <w:rFonts w:ascii="Arial" w:cs="Arial" w:eastAsia="Arial" w:hAnsi="Arial"/>
          <w:sz w:val="18"/>
          <w:szCs w:val="18"/>
          <w:color w:val="auto"/>
        </w:rPr>
        <w:t>”). Upon receipt of an Underwritten Shelf Take-Down Notice indicating that such Underwritten Shelf Take-Down will be a Marketed Underwritten Shelf Take-Down, the Company shall as promptly as reasonably practicable (but in any event no later than two (2) Business Days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after receipt of the notice for such Marketed Underwritten Shelf Take-Down) give written notice of such Marketed Underwritten Shelf Take-Down to all other Holders of Registrable Securities and shall permit the participation of all such Shelf Holders that request inclusion in such Marketed Underwritten Shelf Take-Down who respond in writing within three (3) Business Days after the receipt of such notice of their election to participate.</w:t>
      </w:r>
    </w:p>
    <w:p>
      <w:pPr>
        <w:spacing w:after="0" w:line="68"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Non-Marketed Underwritten Shelf Take-Downs</w:t>
      </w:r>
      <w:r>
        <w:rPr>
          <w:rFonts w:ascii="Arial" w:cs="Arial" w:eastAsia="Arial" w:hAnsi="Arial"/>
          <w:sz w:val="18"/>
          <w:szCs w:val="18"/>
          <w:color w:val="auto"/>
        </w:rPr>
        <w:t>. If the Initiating Shelf Holder desires to effect an Underwritten Shelf Take-Down that does not constitute a Marketed Underwritten Shelf Take-Down (a “</w:t>
      </w:r>
      <w:r>
        <w:rPr>
          <w:rFonts w:ascii="Arial" w:cs="Arial" w:eastAsia="Arial" w:hAnsi="Arial"/>
          <w:sz w:val="18"/>
          <w:szCs w:val="18"/>
          <w:u w:val="single" w:color="auto"/>
          <w:color w:val="auto"/>
        </w:rPr>
        <w:t>Non-Marketed Underwritten Shelf Take-Down</w:t>
      </w:r>
      <w:r>
        <w:rPr>
          <w:rFonts w:ascii="Arial" w:cs="Arial" w:eastAsia="Arial" w:hAnsi="Arial"/>
          <w:sz w:val="18"/>
          <w:szCs w:val="18"/>
          <w:color w:val="auto"/>
        </w:rPr>
        <w:t xml:space="preserve">”), the Initiating Shelf Holder shall so indicate in a written request delivered to the Company no later than two (2) Business Days prior to the expected date of such Non-Marketed Underwritten Shelf Take-Down, which request shall include (i) the total number of Registrable Securities expected to be offered and sold in such Non-Marketed Underwritten Shelf Take-Down, (ii) the expected plan of distribution of such Non-Marketed Underwritten Shelf Take-Down, (iii) the action or actions required (including the timing thereof) in connection with such Non-Marketed Underwritten Shelf Take-Down (including the delivery of one or more stock certificates representing shares of Registrable Securities to be sold in such Non-Marketed Underwritten Shelf Take-Down), and (iv) at the option and in the sole discretion of such Initiating Shelf Holder, an election that such Non-Marketed Underwritten Shelf Take-Down shall be subject to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Non-Marketed Underwritten Shelf Take-Down Piggyback Election</w:t>
      </w:r>
      <w:r>
        <w:rPr>
          <w:rFonts w:ascii="Arial" w:cs="Arial" w:eastAsia="Arial" w:hAnsi="Arial"/>
          <w:sz w:val="18"/>
          <w:szCs w:val="18"/>
          <w:color w:val="auto"/>
        </w:rPr>
        <w:t>”), and the Company shall file and effect an amendment or supplement to its Shelf Registration Statement (including the filing of a supplemental prospectus) for such purpose as promptly as reasonably practicable (and in any event within three (3) Business Days).</w:t>
      </w:r>
    </w:p>
    <w:p>
      <w:pPr>
        <w:spacing w:after="0" w:line="78"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Shelf Take-Down Piggyback Election</w:t>
      </w:r>
      <w:r>
        <w:rPr>
          <w:rFonts w:ascii="Arial" w:cs="Arial" w:eastAsia="Arial" w:hAnsi="Arial"/>
          <w:sz w:val="18"/>
          <w:szCs w:val="18"/>
          <w:color w:val="auto"/>
        </w:rPr>
        <w:t xml:space="preserve">. Upon receipt from any Holder of a written request pursuant to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that contains an affirmative Non-Marketed Underwritten Shelf Take-Down Piggyback Election, the Company shall provide written notice (a “</w:t>
      </w:r>
      <w:r>
        <w:rPr>
          <w:rFonts w:ascii="Arial" w:cs="Arial" w:eastAsia="Arial" w:hAnsi="Arial"/>
          <w:sz w:val="18"/>
          <w:szCs w:val="18"/>
          <w:u w:val="single" w:color="auto"/>
          <w:color w:val="auto"/>
        </w:rPr>
        <w:t>Non-Marketed Underwritten Shelf</w:t>
      </w:r>
      <w:r>
        <w:rPr>
          <w:rFonts w:ascii="Arial" w:cs="Arial" w:eastAsia="Arial" w:hAnsi="Arial"/>
          <w:sz w:val="18"/>
          <w:szCs w:val="18"/>
          <w:color w:val="auto"/>
        </w:rPr>
        <w:t xml:space="preserve"> </w:t>
      </w:r>
      <w:r>
        <w:rPr>
          <w:rFonts w:ascii="Arial" w:cs="Arial" w:eastAsia="Arial" w:hAnsi="Arial"/>
          <w:sz w:val="18"/>
          <w:szCs w:val="18"/>
          <w:u w:val="single" w:color="auto"/>
          <w:color w:val="auto"/>
        </w:rPr>
        <w:t>Take-Down Notice</w:t>
      </w:r>
      <w:r>
        <w:rPr>
          <w:rFonts w:ascii="Arial" w:cs="Arial" w:eastAsia="Arial" w:hAnsi="Arial"/>
          <w:sz w:val="18"/>
          <w:szCs w:val="18"/>
          <w:color w:val="auto"/>
        </w:rPr>
        <w:t>”) of such Non-Marketed Underwritten Shelf Take-Down promptly to all Holders (other than the requesting Holder), which Non-Marketed Underwritten Shelf Take-Down Notice shall set forth (i) the total number of Registrable Securities expected to be offered and sold in such Non-Marketed Underwritten Shelf Take-Down, (ii) the expected plan of distribution of such Non-Marketed Underwritten Shelf Take-Down, (iii) that each recipient of such Non-Marketed Underwritten Shelf Take-Down Notice (each, a “</w:t>
      </w:r>
      <w:r>
        <w:rPr>
          <w:rFonts w:ascii="Arial" w:cs="Arial" w:eastAsia="Arial" w:hAnsi="Arial"/>
          <w:sz w:val="18"/>
          <w:szCs w:val="18"/>
          <w:u w:val="single" w:color="auto"/>
          <w:color w:val="auto"/>
        </w:rPr>
        <w:t>Notice Recipient</w:t>
      </w:r>
      <w:r>
        <w:rPr>
          <w:rFonts w:ascii="Arial" w:cs="Arial" w:eastAsia="Arial" w:hAnsi="Arial"/>
          <w:sz w:val="18"/>
          <w:szCs w:val="18"/>
          <w:color w:val="auto"/>
        </w:rPr>
        <w:t xml:space="preserve">”) shall have the right, upon the terms and subject to the conditions set forth in this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to elect to sell up to its Non-Marketed Take-Down Share, and (iv) the action or actions required (including the timing thereof, which for the avoidance of doubt shall not require any delay in the expected date of such Non-Marketed Underwritten Shelf Take-Down or extension of the Company’s obligation to file and effect an amendment or supplement to its Shelf Registration Statement as soon as practicable (and in any event within three (3) Business Days) of the Initiating Shelf Holder’s Non-Marketed Underwritten Shelf Take-Down request pursuant to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in connection with such Non-Marketed Underwritten Shelf Take-Down with respect to each Notice Recipient that elects to exercise such right (including the delivery of one or more stock certificates representing shares of Registrable Securities held by such Notice Recipient to be sold in such Non-Marketed Underwritten Shelf Take -Down). Upon receipt of such Non-Marketed Underwritten Shelf Take-Down Notice, each such Notice Recipient may elect to sell up to its Non-Marketed Take-Down Share with respect to each such Non-Marketed Underwritten Shelf Take-Down by taking such action or actions referred to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in a timely manner. If the Initiating Shelf Holder does not elect to sell all of its respective Non-Marketed Take-Down Share, the unelected portion of such Non-Marketed Take-Down Share shall be allocated to the Notice Recipients, pro rata based on their respective Non-Marketed Take-Down Shares. Notwithstanding the delivery of any Non-Marketed Underwritten Shelf Take-Down Notice, all determinations as to whether to complete any Non-Marketed Underwritten Shelf Take-Down and as to the timing, manner, price and other terms of any Non-Marketed Underwritten Shelf Take-Down contemplated by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shall be at the discretion of the Initiating Shelf 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Participation by Selling Holders</w:t>
      </w:r>
      <w:r>
        <w:rPr>
          <w:rFonts w:ascii="Arial" w:cs="Arial" w:eastAsia="Arial" w:hAnsi="Arial"/>
          <w:sz w:val="18"/>
          <w:szCs w:val="18"/>
          <w:color w:val="auto"/>
        </w:rPr>
        <w:t>. The Company may require each seller of Registrable Securities as to which any registration is being effected to furnish the Company such information regarding such seller and the distribution of such securities as the Company may from time to time reasonably request in writing and which shall be required by the Securities Act (or similar state Laws) or by the SEC in connection therewith.</w:t>
      </w:r>
    </w:p>
    <w:p>
      <w:pPr>
        <w:spacing w:after="0" w:line="6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Discontinue Selling</w:t>
      </w:r>
      <w:r>
        <w:rPr>
          <w:rFonts w:ascii="Arial" w:cs="Arial" w:eastAsia="Arial" w:hAnsi="Arial"/>
          <w:sz w:val="18"/>
          <w:szCs w:val="18"/>
          <w:color w:val="auto"/>
        </w:rPr>
        <w:t>. Each seller of Registrable Securities agrees that, upon written notice of (i) the happening of any event as a result of which the prospectus included in any registration statement contains an untrue statement of a material fact or omits any material fact necessary to make the statements therein not misleading, or (ii) the issuance of a stop order suspending the effectiveness of any registration statement, such seller will use commercially reasonable efforts to forthwith discontinue disposition of Registrable Securities pursuant to such registration statement until such seller is advised in writing by the Company that the use of the prospectus may be resumed and if applicable is furnished with a supplemented or amended prospectus as contemplated by Section ‎4.01(f). If the Company shall give any notice to suspend the disposition of Registrable Securities pursuant to a prospectus, the Company shall extend the period of time during which the Company is required to maintain the registration statement effective pursuant to this Agreement by the number of days during the period from and including the date of the giving of such notice to and including the date such seller either is advised by the Company that the use of the prospectus may be resumed or if applicable receives the copies of the supplemented or amended prospectus contemplated by Section ‎4.01(f).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-793115</wp:posOffset>
            </wp:positionV>
            <wp:extent cx="7429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42950"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-21590</wp:posOffset>
            </wp:positionV>
            <wp:extent cx="7429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Procedures in Connection with Underwritten Offerings; Cutbacks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-19050</wp:posOffset>
            </wp:positionV>
            <wp:extent cx="37953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795395" cy="8255"/>
                    </a:xfrm>
                    <a:prstGeom prst="rect">
                      <a:avLst/>
                    </a:prstGeom>
                    <a:noFill/>
                  </pic:spPr>
                </pic:pic>
              </a:graphicData>
            </a:graphic>
          </wp:anchor>
        </w:drawing>
      </w:r>
    </w:p>
    <w:p>
      <w:pPr>
        <w:spacing w:after="0" w:line="66"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Registrations Upon Request Pursuant to 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In the case of a registration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whenever the Majority Participating Holders shall request that such registration shall be effected pursuant to an underwritten offering, such registration shall be so effected, and only securities which are to be distributed by the underwriters, which underwriters shall be designated by the Majority Participating Holders and shall be reasonably acceptable to the Company, may be included in such registration. If requested by such underwriters, the Company and each participating seller will enter into an underwriting agreement with such underwriters for such offering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72"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Piggyback Registrations Pursuant to 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 connection with the exercise of any registration rights granted to Holders of Registrable Securities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if the registration is to be effected by means of an underwritten offering of Class A Common Stock on a firm commitment basis, the Company may condition participation in such registration by such Holders upon inclusion of the Registrable Securities being so registered in such underwriting. The Holders of Registrable Securities participating in any registration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shall be parties to the underwriting agreement entered into by the Company and any other selling stockholders in connection therewith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liability of each Holder in respect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indemnification, contribution or other obligation of such Holder arising under such underwriting agreement</w:t>
      </w:r>
    </w:p>
    <w:p>
      <w:pPr>
        <w:spacing w:after="0" w:line="14" w:lineRule="exact"/>
        <w:rPr>
          <w:sz w:val="20"/>
          <w:szCs w:val="20"/>
          <w:color w:val="auto"/>
        </w:rPr>
      </w:pPr>
    </w:p>
    <w:p>
      <w:pPr>
        <w:ind w:left="300" w:right="399" w:hanging="8"/>
        <w:spacing w:after="0" w:line="248" w:lineRule="auto"/>
        <w:tabs>
          <w:tab w:leader="none" w:pos="51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w:t>
      </w:r>
    </w:p>
    <w:p>
      <w:pPr>
        <w:spacing w:after="0" w:line="2" w:lineRule="exact"/>
        <w:rPr>
          <w:rFonts w:ascii="Arial" w:cs="Arial" w:eastAsia="Arial" w:hAnsi="Arial"/>
          <w:sz w:val="17"/>
          <w:szCs w:val="17"/>
          <w:color w:val="auto"/>
        </w:rPr>
      </w:pPr>
    </w:p>
    <w:p>
      <w:pPr>
        <w:jc w:val="both"/>
        <w:ind w:left="300" w:right="459" w:hanging="8"/>
        <w:spacing w:after="0" w:line="242" w:lineRule="auto"/>
        <w:tabs>
          <w:tab w:leader="none" w:pos="5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Cutbacks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39" w:lineRule="auto"/>
        <w:rPr>
          <w:sz w:val="20"/>
          <w:szCs w:val="20"/>
          <w:color w:val="auto"/>
        </w:rPr>
      </w:pPr>
      <w:r>
        <w:rPr>
          <w:rFonts w:ascii="Arial" w:cs="Arial" w:eastAsia="Arial" w:hAnsi="Arial"/>
          <w:sz w:val="18"/>
          <w:szCs w:val="18"/>
          <w:color w:val="auto"/>
        </w:rPr>
        <w:t>(a)  Article ‎II Cutbacks. If the SEC sets forth a limitation on the number of Registrable Securities permitted to be registered on a Shelf Registration Statement as a secondary offering (and notwithstanding that the Company used reasonable best efforts to advocate with the SEC for the registration of all or a greater portion of Registrable Securities), unless otherwise directed in writing by a Registrable Investor as to its Registrable Securities, the number of Registrable Securities to be registered on such Shelf Registration Statement will be reduced as follows: (i) first, the Company shall reduce or eliminate any securities to be included other than Registrable Securities, and (ii) second, the Company shall reduce Registrable Securities applied to the Registrable Investors on a pro rata basis based on the total number of Registrable Securities held by such Registrable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-1184910</wp:posOffset>
            </wp:positionV>
            <wp:extent cx="9207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spacing w:after="0" w:line="52" w:lineRule="exact"/>
        <w:rPr>
          <w:sz w:val="20"/>
          <w:szCs w:val="20"/>
          <w:color w:val="auto"/>
        </w:rPr>
      </w:pPr>
    </w:p>
    <w:p>
      <w:pPr>
        <w:ind w:left="660" w:right="359"/>
        <w:spacing w:after="0" w:line="238" w:lineRule="auto"/>
        <w:rPr>
          <w:sz w:val="20"/>
          <w:szCs w:val="20"/>
          <w:color w:val="auto"/>
        </w:rPr>
      </w:pPr>
      <w:r>
        <w:rPr>
          <w:rFonts w:ascii="Arial" w:cs="Arial" w:eastAsia="Arial" w:hAnsi="Arial"/>
          <w:sz w:val="18"/>
          <w:szCs w:val="18"/>
          <w:color w:val="auto"/>
        </w:rPr>
        <w:t xml:space="preserve">(b)  Article III‎ Cutbacks. If the managing underwriter advises the Company that the number of shares to be included in a registration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should be limited due to market conditions, (i) all shares of securities held by stockholders of the Company other than Holders of Registrable Securities shall first be excluded, (ii) next, if additional shares must be excluded from such registration, all Holders of Registrable Securities shall share pro rata in the number of shares of Registrable Securities to be excluded from such registration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such sharing to be based on the respective numbers of Registrable Securities owned by such Holders, and (iii) thereafter, if additional shares must be excluded from such registration, shares to be sold for the account of the Company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exclusion provided for herein shall reduce the amount of Registrable Securities to be included in such registration to an amount that is less than twenty-five percent (25%) of the total amount of shares to be included in such registration based on aggregate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-1440180</wp:posOffset>
            </wp:positionV>
            <wp:extent cx="9525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55"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(c)  In the event of a cutback under this Section ‎5.03, the Company shall give each affected Registrable Investor at least three (3) Business Days prior written notice along with the calculations as to such Registrable Investor’s allotment. In the event the Company amends the Shelf Registration Statement in accordance with Section ‎2.01, the Company will use its reasonable best efforts to file with the SEC, as promptly as allowed by the SEC Guidance provided to the Company or to registrants of securities in general, one or more registration statements on Form S-3 or such other form available to register for resale those Registrable Securities that were not registered for resale on the Shelf Registration Statement,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-927735</wp:posOffset>
            </wp:positionV>
            <wp:extent cx="6350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5000" cy="8890"/>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-541655</wp:posOffset>
            </wp:positionV>
            <wp:extent cx="6350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Contribution</w:t>
      </w:r>
    </w:p>
    <w:p>
      <w:pPr>
        <w:spacing w:after="0" w:line="86"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Indemnities of the Company</w:t>
      </w:r>
      <w:r>
        <w:rPr>
          <w:rFonts w:ascii="Arial" w:cs="Arial" w:eastAsia="Arial" w:hAnsi="Arial"/>
          <w:sz w:val="18"/>
          <w:szCs w:val="18"/>
          <w:color w:val="auto"/>
        </w:rPr>
        <w:t xml:space="preserve">. In the event of any registration of any Registrable Securities under the Securities Act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and in connection with any registration statement or any other disclosure document produced by or on behalf of the Company or any of its Subsidiaries in connection with any such registration, the Company will, and hereby does, indemnify and hold harmless each Holder of Registrable Securities, their respective direct and indirect partners, members, stockholders, directors, advisory board members, officers, investment advisors, representatives on the Board, and each other Person, if any, who controls or is alleged to control any such Holder of Registrable Securities, within the meaning of Section 15 of the Securities Act or Section 20 of the Exchange Act (each such Person being referred to herein as a “</w:t>
      </w:r>
      <w:r>
        <w:rPr>
          <w:rFonts w:ascii="Arial" w:cs="Arial" w:eastAsia="Arial" w:hAnsi="Arial"/>
          <w:sz w:val="18"/>
          <w:szCs w:val="18"/>
          <w:u w:val="single" w:color="auto"/>
          <w:color w:val="auto"/>
        </w:rPr>
        <w:t>Covered Person</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 xml:space="preserve">against any losses, claims, damages or liabilities (or Actions in respect thereof), joint or several, to which such Covered Person may be or become subject under the Securities Act, the Exchange Act, any other securities or other Law of any jurisdiction, common law or otherwise, insofar as such losses, claims, damages or liabilities (or Actions in respect thereof) arise out of or are based upon any (i) untrue statement or alleged untrue statement of any material fact contained or incorporated by reference in any such registration statement under the Securities Act, any preliminary prospectus or final prospectus included therein, or any related summary prospectus, free writing prospectus or any amendment or supplement thereto, or any document incorporated by reference therein, (ii) omission or alleged omission to state therein a material fact required to be stated therein or necessary to make the statements therein not misleading, or (iii) violation or alleged violation of any federal, state, foreign or common law rule or regulation applicable to the Company or any of its Subsidiaries and relating to action or inaction in connection with any such registration, disclosure document or other document or report, and will reimburse such Covered Person for any legal or any other expenses reasonably incurred by it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liable to any selling Holder in any such case for any such loss, claim, damage, liability or Action to the extent that it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relating to such selling Holder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 Common Stock being offered by such selling Holder in the offering and the nature of the beneficial ownership of the Class A Common Stock owned by such selling Holder). The indemnities of the Company contained in this Section 6‎.01 shall remain in full force and effect regardless of any investigation made by or on behalf of such Covered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6350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60"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Indemnities to the Company</w:t>
      </w:r>
      <w:r>
        <w:rPr>
          <w:rFonts w:ascii="Arial" w:cs="Arial" w:eastAsia="Arial" w:hAnsi="Arial"/>
          <w:sz w:val="18"/>
          <w:szCs w:val="18"/>
          <w:color w:val="auto"/>
        </w:rPr>
        <w:t xml:space="preserve">. In the event of any registration of Registrable Securities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each selling Holder will, and hereby does, severally and not jointly, indemnify and hold harmless the Company, each Director, each officer of the Company who shall sign such registration statement and each other Person (other than such seller), if any, who controls the Company within the meaning of Section 15 of the Securities Act or Section 20 of the Exchange Act, with respect to any statement in or omission from such registration statement, any preliminary prospectus, final prospectus or summary prospectus included therein, or any amendment or supplement thereto, any free writing prospectus, or any document incorporated by reference therein, or any other such disclosure document (including reports and other documents filed under the Exchange Act and any document incorporated by reference therein) or other document or report, if such statement or omission was made in reliance upon and in conformity with written information relating to such selling Holder furnished to the Company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 Common Stock being offered by such selling Holder in the offering and the nature of the beneficial ownership of the Class A Common Stock owned by such selling Holder). Such indemnity contained in this Section 6‎.02 shall remain in full force and effect regardless of any investigation made by or on behalf of the Company or any such Director, officer or controlling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-283210</wp:posOffset>
            </wp:positionV>
            <wp:extent cx="6350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54"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Promptly after receipt by an indemnified party of notice of the commencement of any Action involving a claim of the type referred to in the foregoing provisions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such indemnified party will, if a claim in respect thereof is to be made against any indemnifying party, give written notice to each such indemnifying party of the commencement of such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of any indemnified party to give notice to such indemnifying party as provided herein shall not relieve such indemnifying party of its obligations under the foregoing provisions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except and solely to the extent that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6" w:name="page237"/>
    <w:bookmarkEnd w:id="2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 xml:space="preserve">indemnifying party is actually prejudiced by such failure to give notice. In case any such Action is brought against an indemnified party, each indemnifying party will be entitled to participate in and to assume the defense thereof, jointly with any other indemnifying party similarly notified, to the extent that it may wish, with counsel reasonably satisfactory to such indemnified party (who shall not, except with the consent of the indemnified party, be counsel to such an indemnifying party), and after notice from an indemnifying party to such indemnified party of its election so to assume the defense thereof, such indemnifying party will not be liable to such indemnified party for any legal or other expenses subsequently incurred by the latter in connection with the defense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indemnified party in good faith determines that there may be a conflict between the positions of such indemnifying party and the indemnified party in conducting the defense of such Action or that there may be defenses available to such indemnified party different from or in addition to those available to such indemnifying party, then (i) counsel for the indemnified party shall conduct the defense of the indemnified party to the extent in good faith determined by such counsel to be necessary to protect the interests of the indemnified party and such indemnifying party shall employ separate counsel for its own defense, (ii) the indemnified party shall be entitled to have counsel chosen by such indemnified party participate in, but not conduct, the defense and (iii) the indemnifying party shall bear the legal expenses reasonably incurred in connection with the conduct of, and the participation in, the defense as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within a reasonable time after receipt of the notice, such indemnifying party shall not have elected to assume the defense of the Action, such indemnifying party shall be responsible for any legal or other expenses reasonably incurred by such indemnified party in connection with the defense of the Action.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and no indemnified party shall consent to entry of any judgment or enter into any settlement without the prior written consent of the indemnifying party, which consent shall not be unreasonably withheld, conditioned or delayed.</w:t>
      </w:r>
    </w:p>
    <w:p>
      <w:pPr>
        <w:spacing w:after="0" w:line="82"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Sections 6‎.01 or 6</w:t>
      </w:r>
      <w:r>
        <w:rPr>
          <w:rFonts w:ascii="Arial" w:cs="Arial" w:eastAsia="Arial" w:hAnsi="Arial"/>
          <w:sz w:val="18"/>
          <w:szCs w:val="18"/>
          <w:u w:val="single" w:color="auto"/>
          <w:color w:val="auto"/>
        </w:rPr>
        <w:t>‎.02</w:t>
      </w:r>
      <w:r>
        <w:rPr>
          <w:rFonts w:ascii="Arial" w:cs="Arial" w:eastAsia="Arial" w:hAnsi="Arial"/>
          <w:sz w:val="18"/>
          <w:szCs w:val="18"/>
          <w:color w:val="auto"/>
        </w:rPr>
        <w:t xml:space="preserve"> is unavailable to a Party that would have been an indemnified party under any such Section in respect of any losses, claims, damages or liabilities (or Actions in respect thereof) referred to therein, then each Party that would have been an indemnifying party thereunder shall, in lieu of indemnifying such indemnified party, contribute to the amount paid or payable by such indemnified party as a result of such losses, claims, damages or liabilities (or Actions in respect thereof) in such proportion as is appropriate to reflect the relative fault of such indemnifying party on the one hand and such indemnified party on the other in connection with the statements or omissions which resulted in such losses, claims, damages or liabilities (or Actions in respect thereof). The relative fault shall be determined by a court of competent jurisdiction by reference to, among other things, whether the untrue or alleged untrue statement of a material fact or the omission or alleged omission to state a material fact relates to information supplied by such indemnifying party or such indemnified party and the parties’ relative intent, knowledge, access to information and opportunity to correct or prevent such statement or omission. The Parties agree that it would not be just and equitable if contribution pursuant to this Section 6‎.04 were determined by pro rata allocation or by any other method of allocation which does not take account of the equitable considerations referred to in the preceding sentence. The amount paid or payable by a contributing Party as a result of the losses, claims, damages or liabilities (or Actions in respect thereof) referred to above in this Section 6‎ .04 shall include any legal or other expenses reasonably incurred by such indemnified party in connection with investigating or defending any such Action. No Person guilty of fraudulent misrepresentation (within the meaning of Section 11(f) of the Securities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-2590165</wp:posOffset>
            </wp:positionV>
            <wp:extent cx="6921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150"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-918210</wp:posOffset>
            </wp:positionV>
            <wp:extent cx="6350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5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-403860</wp:posOffset>
            </wp:positionV>
            <wp:extent cx="6350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6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Limitation on Liability of Holders of Registrable Securities</w:t>
      </w:r>
      <w:r>
        <w:rPr>
          <w:rFonts w:ascii="Arial" w:cs="Arial" w:eastAsia="Arial" w:hAnsi="Arial"/>
          <w:sz w:val="18"/>
          <w:szCs w:val="18"/>
          <w:color w:val="auto"/>
        </w:rPr>
        <w:t xml:space="preserve">. The liability of each Holder in respect of any indemnification or contribution obligation of such Holder arising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shall not in any event exceed an aggregate amount equal to the net proceeds to such Holder (after deduction of all underwriters’ discounts and commissions and any other damages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payable by such Holder in connection with such registration) from the disposition of the Registrable Securities disposed of by such Holder pursuant to such registration less any other damages paid by such Holder with respect to claims relating to such registration.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Reports Under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-19050</wp:posOffset>
            </wp:positionV>
            <wp:extent cx="24574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pacing w:after="0" w:line="6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With a view to making available to the Holders the benefits of Rule 144 and any other rule or regulation of the SEC that may at any time permit a Holder to sell securities of the Company to the public without registration, and with a view to making it possible for Holders to register the Registrable Securities pursuant to a registration on Form S-3, the Company agrees, following the Exchange Closing, to:</w:t>
      </w:r>
    </w:p>
    <w:p>
      <w:pPr>
        <w:spacing w:after="0" w:line="6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(a)  use its reasonable best efforts to make and keep adequate current public information available, as those terms are understood and defined in Rule 144, at all times;</w:t>
      </w:r>
    </w:p>
    <w:p>
      <w:pPr>
        <w:spacing w:after="0" w:line="46" w:lineRule="exact"/>
        <w:rPr>
          <w:sz w:val="20"/>
          <w:szCs w:val="20"/>
          <w:color w:val="auto"/>
        </w:rPr>
      </w:pPr>
    </w:p>
    <w:p>
      <w:pPr>
        <w:ind w:left="660" w:right="839"/>
        <w:spacing w:after="0" w:line="271" w:lineRule="auto"/>
        <w:rPr>
          <w:sz w:val="20"/>
          <w:szCs w:val="20"/>
          <w:color w:val="auto"/>
        </w:rPr>
      </w:pPr>
      <w:r>
        <w:rPr>
          <w:rFonts w:ascii="Arial" w:cs="Arial" w:eastAsia="Arial" w:hAnsi="Arial"/>
          <w:sz w:val="18"/>
          <w:szCs w:val="18"/>
          <w:color w:val="auto"/>
        </w:rPr>
        <w:t>(b)  use its reasonable best efforts to file with the SEC in a timely manner all reports and other documents required of the Company under the Securities Act and the Exchange Act; and</w:t>
      </w:r>
    </w:p>
    <w:p>
      <w:pPr>
        <w:spacing w:after="0" w:line="46"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(c)  furnish to any Holder forthwith upon request (i) a written statement by the Company as to its compliance or non-compliance with the reporting requirements of Rule 144, the Securities Act and the Exchange Act, or as to its qualification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of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-19050</wp:posOffset>
            </wp:positionV>
            <wp:extent cx="17208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20850" cy="8255"/>
                    </a:xfrm>
                    <a:prstGeom prst="rect">
                      <a:avLst/>
                    </a:prstGeom>
                    <a:noFill/>
                  </pic:spPr>
                </pic:pic>
              </a:graphicData>
            </a:graphic>
          </wp:anchor>
        </w:drawing>
      </w:r>
    </w:p>
    <w:p>
      <w:pPr>
        <w:spacing w:after="0" w:line="6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The consent of the Company shall not be required for an assignment by any Holder to (a) any Person to which shares of Class A Common Stock are transferred by such Holder, or (b) any Affiliate of such Holder, in each case, of the rights to cause the Company to register Registrable Securities pursuant to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Any transferee to whom rights under this Agreement are transferred shall (i) as a condition to such transfer, deliver to the Company a written instrument by which such transferee agrees to be bound by the obligations imposed upon Holders under this Agreement to the same extent as if such transferee were a Holder under this Agreement, and (ii) be deemed to be a Holder hereunder.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Limitation on Subsequent Registration Rights; Termination of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40646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66" w:lineRule="exact"/>
        <w:rPr>
          <w:sz w:val="20"/>
          <w:szCs w:val="20"/>
          <w:color w:val="auto"/>
        </w:rPr>
      </w:pPr>
    </w:p>
    <w:p>
      <w:pPr>
        <w:ind w:left="300" w:right="539"/>
        <w:spacing w:after="0" w:line="254" w:lineRule="auto"/>
        <w:rPr>
          <w:sz w:val="20"/>
          <w:szCs w:val="20"/>
          <w:color w:val="auto"/>
        </w:rPr>
      </w:pPr>
      <w:r>
        <w:rPr>
          <w:rFonts w:ascii="Arial" w:cs="Arial" w:eastAsia="Arial" w:hAnsi="Arial"/>
          <w:sz w:val="17"/>
          <w:szCs w:val="17"/>
          <w:color w:val="auto"/>
        </w:rPr>
        <w:t>SECTION 9.01.  Following the Exchange Closing, the Company shall not, without the prior written consent of the Registrable Investors holding a majority of the voting power of the then outstanding Class A Common Stock held by all Registrable Investors, enter into any agreement with any holder or prospective holder of any securities of the Company that would allow such holder or prospective holder</w:t>
      </w:r>
    </w:p>
    <w:p>
      <w:pPr>
        <w:ind w:left="300" w:right="399" w:hanging="8"/>
        <w:spacing w:after="0" w:line="239" w:lineRule="auto"/>
        <w:tabs>
          <w:tab w:leader="none" w:pos="5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to make a demand registration at any time when holders of Registrable Securities are not able to fully exercise their rights hereunder (due to a permitted deferral by the Company or otherwise), or (b) reduce the number of Registrable Securities that may be included in any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limitation shall not apply to any additional Registrable Investor who becomes a Party to this Agreement in accordance with Section 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-27305</wp:posOffset>
            </wp:positionV>
            <wp:extent cx="6985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52" w:lineRule="exact"/>
        <w:rPr>
          <w:sz w:val="20"/>
          <w:szCs w:val="20"/>
          <w:color w:val="auto"/>
        </w:rPr>
      </w:pPr>
    </w:p>
    <w:p>
      <w:pPr>
        <w:ind w:left="300" w:right="699"/>
        <w:spacing w:after="0" w:line="244" w:lineRule="auto"/>
        <w:rPr>
          <w:sz w:val="20"/>
          <w:szCs w:val="20"/>
          <w:color w:val="auto"/>
        </w:rPr>
      </w:pPr>
      <w:r>
        <w:rPr>
          <w:rFonts w:ascii="Arial" w:cs="Arial" w:eastAsia="Arial" w:hAnsi="Arial"/>
          <w:sz w:val="18"/>
          <w:szCs w:val="18"/>
          <w:color w:val="auto"/>
        </w:rPr>
        <w:t xml:space="preserve">SECTION 9.02.  The rights granted to each Holder of Registrable Securities pursuant to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with respect to any request or requests for registration made by such Holder will terminate upon the earliest of (a) such time that (i) such Holder owns less than one percent (1%) of the Class A Common Stock, and (ii) all such Registrable Securities held by such Holder may be sold without registration under the Securities Act pursuant to Rule 144(b)(1)(i) under the Securities Act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8" w:name="page239"/>
    <w:bookmarkEnd w:id="2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without the requirement for the Company to be in compliance with the current public information required under Rule 144(c)(1)), and (b) following the occurrence of an event of liquidation, dissolution or winding up of the affairs of the Company, whether voluntary or involuntary.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Future Changes in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-19050</wp:posOffset>
            </wp:positionV>
            <wp:extent cx="23241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66" w:lineRule="exact"/>
        <w:rPr>
          <w:sz w:val="20"/>
          <w:szCs w:val="20"/>
          <w:color w:val="auto"/>
        </w:rPr>
      </w:pPr>
    </w:p>
    <w:p>
      <w:pPr>
        <w:ind w:left="300" w:right="299"/>
        <w:spacing w:after="0" w:line="244" w:lineRule="auto"/>
        <w:rPr>
          <w:sz w:val="20"/>
          <w:szCs w:val="20"/>
          <w:color w:val="auto"/>
        </w:rPr>
      </w:pPr>
      <w:r>
        <w:rPr>
          <w:rFonts w:ascii="Arial" w:cs="Arial" w:eastAsia="Arial" w:hAnsi="Arial"/>
          <w:sz w:val="18"/>
          <w:szCs w:val="18"/>
          <w:color w:val="auto"/>
        </w:rPr>
        <w:t>In the event that the registration requirements under the Securities Act are amended or eliminated to accommodate a “Company registration” or similar approach, this Agreement shall be deemed amended to the extent necessary to reflect such changes and the intent of the Parties with respect to the benefits and obligations of the Parties, and in such connection, the Company shall use its reasonable best efforts to provide Holders of Registrable Securities equivalent benefits to those provided under this Agreement.</w:t>
      </w:r>
    </w:p>
    <w:p>
      <w:pPr>
        <w:spacing w:after="0" w:line="17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XI</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Information Rights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66" w:lineRule="auto"/>
        <w:rPr>
          <w:sz w:val="20"/>
          <w:szCs w:val="20"/>
          <w:color w:val="auto"/>
        </w:rPr>
      </w:pPr>
      <w:r>
        <w:rPr>
          <w:rFonts w:ascii="Arial" w:cs="Arial" w:eastAsia="Arial" w:hAnsi="Arial"/>
          <w:sz w:val="17"/>
          <w:szCs w:val="17"/>
          <w:color w:val="auto"/>
        </w:rPr>
        <w:t>(a)  Without limiting anything in the Existing Credit Agreement, at and following the Exchange Closing, the Company shall deliver to each Major Investor (unless any Major Investor has instructed the Company in writing not to deliver any such information to such Major Investor, in which case the Company shall not deliver such information to the Major Investor making such request):</w:t>
      </w:r>
    </w:p>
    <w:p>
      <w:pPr>
        <w:spacing w:after="0" w:line="51" w:lineRule="exact"/>
        <w:rPr>
          <w:sz w:val="20"/>
          <w:szCs w:val="20"/>
          <w:color w:val="auto"/>
        </w:rPr>
      </w:pPr>
    </w:p>
    <w:p>
      <w:pPr>
        <w:ind w:left="1020" w:right="459"/>
        <w:spacing w:after="0"/>
        <w:rPr>
          <w:sz w:val="20"/>
          <w:szCs w:val="20"/>
          <w:color w:val="auto"/>
        </w:rPr>
      </w:pPr>
      <w:r>
        <w:rPr>
          <w:rFonts w:ascii="Arial" w:cs="Arial" w:eastAsia="Arial" w:hAnsi="Arial"/>
          <w:sz w:val="18"/>
          <w:szCs w:val="18"/>
          <w:color w:val="auto"/>
        </w:rPr>
        <w:t>(i)  within one hundred twenty (120) days after the end of each fiscal year of the Company, a copy of the audited consolidated financial statements of the Company and its Subsidiaries and the related audited consolidated statements of income, stockholders equity, and cash flows of the Company and its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w:t>
      </w:r>
    </w:p>
    <w:p>
      <w:pPr>
        <w:spacing w:after="0" w:line="77" w:lineRule="exact"/>
        <w:rPr>
          <w:sz w:val="20"/>
          <w:szCs w:val="20"/>
          <w:color w:val="auto"/>
        </w:rPr>
      </w:pPr>
    </w:p>
    <w:p>
      <w:pPr>
        <w:ind w:left="1020" w:right="339"/>
        <w:spacing w:after="0"/>
        <w:rPr>
          <w:sz w:val="20"/>
          <w:szCs w:val="20"/>
          <w:color w:val="auto"/>
        </w:rPr>
      </w:pPr>
      <w:r>
        <w:rPr>
          <w:rFonts w:ascii="Arial" w:cs="Arial" w:eastAsia="Arial" w:hAnsi="Arial"/>
          <w:sz w:val="18"/>
          <w:szCs w:val="18"/>
          <w:color w:val="auto"/>
        </w:rPr>
        <w:t>(ii)  within forty-five (45) days after the end of each quarter of each fiscal year of the Company (including the last quarter of each fiscal year of the Company which, for such quarter, shall be a Company prepared draft subject to standard audit adjustments), unaudited consolidated balance sheets of the Company and its Subsidiaries as at the end of such quarter and the related unaudited statements of income and cash flows of the Company and its Subsidiaries for the portion of the fiscal year through the end of such quarter, setting forth in each case in comparative form the figures for the corresponding periods in the previous fiscal year, and certified by an officer of the Company as being fairly stated in all material respects; and</w:t>
      </w:r>
    </w:p>
    <w:p>
      <w:pPr>
        <w:spacing w:after="0" w:line="72" w:lineRule="exact"/>
        <w:rPr>
          <w:sz w:val="20"/>
          <w:szCs w:val="20"/>
          <w:color w:val="auto"/>
        </w:rPr>
      </w:pPr>
    </w:p>
    <w:p>
      <w:pPr>
        <w:ind w:left="1020" w:right="339"/>
        <w:spacing w:after="0"/>
        <w:rPr>
          <w:sz w:val="20"/>
          <w:szCs w:val="20"/>
          <w:color w:val="auto"/>
        </w:rPr>
      </w:pPr>
      <w:r>
        <w:rPr>
          <w:rFonts w:ascii="Arial" w:cs="Arial" w:eastAsia="Arial" w:hAnsi="Arial"/>
          <w:sz w:val="18"/>
          <w:szCs w:val="18"/>
          <w:color w:val="auto"/>
        </w:rPr>
        <w:t>(iii)  within thirty (30) days after the end of each month (including the last month of each quarter and each fiscal year of the Company, which, for such months, shall be a Company prepared draft subject to standard audit adjustments), unaudited consolidated balance sheets of the Company and its Subsidiaries as at the end of such month and the related unaudited statements of income and cash flows of the Company and its Subsidiaries for the portion of the fiscal year through the end of such month, setting forth in each case in comparative form the figures for the corresponding periods in the previous fiscal year, and certified by an officer of the Company as being fairly stated in all material respects.</w:t>
      </w:r>
    </w:p>
    <w:p>
      <w:pPr>
        <w:spacing w:after="0" w:line="72"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 xml:space="preserve">(b)  All such financial statements shall be complete and correct in all material respects and be prepared in reasonable detail and in accordance with GAAP consistently applied, throughout the periods reflected therein and with prior periods (except as approved by an officer of the Company and disclosed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all the financial statements delivered pursuant to </w:t>
      </w:r>
      <w:r>
        <w:rPr>
          <w:rFonts w:ascii="Arial" w:cs="Arial" w:eastAsia="Arial" w:hAnsi="Arial"/>
          <w:sz w:val="18"/>
          <w:szCs w:val="18"/>
          <w:u w:val="single" w:color="auto"/>
          <w:color w:val="auto"/>
        </w:rPr>
        <w:t>Section 11.01(a)(ii)</w:t>
      </w:r>
      <w:r>
        <w:rPr>
          <w:rFonts w:ascii="Arial" w:cs="Arial" w:eastAsia="Arial" w:hAnsi="Arial"/>
          <w:sz w:val="18"/>
          <w:szCs w:val="18"/>
          <w:color w:val="auto"/>
        </w:rPr>
        <w:t xml:space="preserve"> hereof will not be required to include footnotes and will be subject to change as a result of audit and year-end adjustments, and (ii) all the financial statements delivered pursuant to </w:t>
      </w:r>
      <w:r>
        <w:rPr>
          <w:rFonts w:ascii="Arial" w:cs="Arial" w:eastAsia="Arial" w:hAnsi="Arial"/>
          <w:sz w:val="18"/>
          <w:szCs w:val="18"/>
          <w:u w:val="single" w:color="auto"/>
          <w:color w:val="auto"/>
        </w:rPr>
        <w:t>Section 11.01(a)(iii)</w:t>
      </w:r>
      <w:r>
        <w:rPr>
          <w:rFonts w:ascii="Arial" w:cs="Arial" w:eastAsia="Arial" w:hAnsi="Arial"/>
          <w:sz w:val="18"/>
          <w:szCs w:val="18"/>
          <w:color w:val="auto"/>
        </w:rPr>
        <w:t xml:space="preserve"> hereof will not be required to include exhibits and will be subject to change as a result of audit, quarterly or year-end adjustments.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9" w:name="page240"/>
    <w:bookmarkEnd w:id="2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 xml:space="preserve">(c)  Notwithstanding the foregoing, the obligations in </w:t>
      </w:r>
      <w:r>
        <w:rPr>
          <w:rFonts w:ascii="Arial" w:cs="Arial" w:eastAsia="Arial" w:hAnsi="Arial"/>
          <w:sz w:val="18"/>
          <w:szCs w:val="18"/>
          <w:u w:val="single" w:color="auto"/>
          <w:color w:val="auto"/>
        </w:rPr>
        <w:t>Section 11.01(a)(i)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11.01(a)(ii)</w:t>
      </w:r>
      <w:r>
        <w:rPr>
          <w:rFonts w:ascii="Arial" w:cs="Arial" w:eastAsia="Arial" w:hAnsi="Arial"/>
          <w:sz w:val="18"/>
          <w:szCs w:val="18"/>
          <w:color w:val="auto"/>
        </w:rPr>
        <w:t xml:space="preserve"> may be satisfied with respect to financial information of the Company and its Subsidiaries by furnishing Form 10-K or 10-Q of the Company,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information is in lieu of information required to be provided under </w:t>
      </w:r>
      <w:r>
        <w:rPr>
          <w:rFonts w:ascii="Arial" w:cs="Arial" w:eastAsia="Arial" w:hAnsi="Arial"/>
          <w:sz w:val="18"/>
          <w:szCs w:val="18"/>
          <w:u w:val="single" w:color="auto"/>
          <w:color w:val="auto"/>
        </w:rPr>
        <w:t>Section 11.01(a)(iii)</w:t>
      </w:r>
      <w:r>
        <w:rPr>
          <w:rFonts w:ascii="Arial" w:cs="Arial" w:eastAsia="Arial" w:hAnsi="Arial"/>
          <w:sz w:val="18"/>
          <w:szCs w:val="18"/>
          <w:color w:val="auto"/>
        </w:rPr>
        <w:t>, such materials are accompanied by a report and opinion of the Company’s auditor or any other independent accounting firm.</w:t>
      </w:r>
    </w:p>
    <w:p>
      <w:pPr>
        <w:spacing w:after="0" w:line="71"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SECTION 11.02.  Without limiting anything in the Existing Credit Agreement, at and following the Exchange Closing, the Company shall permit each Major Investor, through their authorized attorneys, accountants and representatives (i) at all reasonable times during normal business hours, upon the request of the such Major Investor, to examine the books, accounts, records, ledgers and assets and properties of the Company and its Subsidiaries, (ii) during normal business hours and at their own risk, to enter onto the real property owned or leased by the Company and its Subsidiaries to conduct inspections, investigations or other reviews of such real property, and (iii) at reasonable times during normal business hours and at reasonable intervals, to visit all of the Company’s and its Subsidiaries’ offices, discuss each of the Company’s and its Subsidiaries’ respective financial matters with their respective officers, as applicable, and, by this provision, the Company authorizes, and will cause each of its respective Subsidiaries to authorize, its independent certified or chartered public accountants to discuss the finances and affairs of the Company and/or any of its Subsidiaries and examine any of the Company’s or any of its Subsidiary’s books, reports or records held by such accountants.</w:t>
      </w:r>
    </w:p>
    <w:p>
      <w:pPr>
        <w:spacing w:after="0" w:line="19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ARTICLE XII</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Board of Directors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Composition and Size of the Board</w:t>
      </w:r>
      <w:r>
        <w:rPr>
          <w:rFonts w:ascii="Arial" w:cs="Arial" w:eastAsia="Arial" w:hAnsi="Arial"/>
          <w:sz w:val="18"/>
          <w:szCs w:val="18"/>
          <w:color w:val="auto"/>
        </w:rPr>
        <w:t>.</w:t>
      </w:r>
    </w:p>
    <w:p>
      <w:pPr>
        <w:spacing w:after="0" w:line="104"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 xml:space="preserve">(a)  At and following the Exchange Closing, each of the Company and the Investors, severally and not jointly, shall take all Necessary Action to cause the full Board to be comprised of seven (7) Directors, inclusive of the Directors nominated by the Investors pursuant to the Director nomination rights set forth in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66"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 xml:space="preserve">(b)  At and following the Exchange Closing, at least four Directors shall meet the independence requirements under the applicable rules of Nasdaq. For the avoidance of doubt, JYH’s right to serve as a Director pursuant to </w:t>
      </w:r>
      <w:r>
        <w:rPr>
          <w:rFonts w:ascii="Arial" w:cs="Arial" w:eastAsia="Arial" w:hAnsi="Arial"/>
          <w:sz w:val="18"/>
          <w:szCs w:val="18"/>
          <w:u w:val="single" w:color="auto"/>
          <w:color w:val="auto"/>
        </w:rPr>
        <w:t>Section 12.02(c)</w:t>
      </w:r>
      <w:r>
        <w:rPr>
          <w:rFonts w:ascii="Arial" w:cs="Arial" w:eastAsia="Arial" w:hAnsi="Arial"/>
          <w:sz w:val="18"/>
          <w:szCs w:val="18"/>
          <w:color w:val="auto"/>
        </w:rPr>
        <w:t xml:space="preserve"> shall not be affected by one or more other Directors ceasing to meet such independence requirements.</w:t>
      </w:r>
    </w:p>
    <w:p>
      <w:pPr>
        <w:spacing w:after="0" w:line="66" w:lineRule="exact"/>
        <w:rPr>
          <w:sz w:val="20"/>
          <w:szCs w:val="20"/>
          <w:color w:val="auto"/>
        </w:rPr>
      </w:pPr>
    </w:p>
    <w:p>
      <w:pPr>
        <w:ind w:left="660" w:right="439"/>
        <w:spacing w:after="0" w:line="259" w:lineRule="auto"/>
        <w:rPr>
          <w:sz w:val="20"/>
          <w:szCs w:val="20"/>
          <w:color w:val="auto"/>
        </w:rPr>
      </w:pPr>
      <w:r>
        <w:rPr>
          <w:rFonts w:ascii="Arial" w:cs="Arial" w:eastAsia="Arial" w:hAnsi="Arial"/>
          <w:sz w:val="17"/>
          <w:szCs w:val="17"/>
          <w:color w:val="auto"/>
        </w:rPr>
        <w:t xml:space="preserve">(c)  At and following the Exchange Closing, but subject to Sections ‎12.01‎(a) and </w:t>
      </w:r>
      <w:r>
        <w:rPr>
          <w:rFonts w:ascii="Arial" w:cs="Arial" w:eastAsia="Arial" w:hAnsi="Arial"/>
          <w:sz w:val="17"/>
          <w:szCs w:val="17"/>
          <w:u w:val="single" w:color="auto"/>
          <w:color w:val="auto"/>
        </w:rPr>
        <w:t>‎</w:t>
      </w:r>
      <w:r>
        <w:rPr>
          <w:rFonts w:ascii="Arial" w:cs="Arial" w:eastAsia="Arial" w:hAnsi="Arial"/>
          <w:sz w:val="17"/>
          <w:szCs w:val="17"/>
          <w:color w:val="auto"/>
        </w:rPr>
        <w:t>12</w:t>
      </w:r>
      <w:r>
        <w:rPr>
          <w:rFonts w:ascii="Arial" w:cs="Arial" w:eastAsia="Arial" w:hAnsi="Arial"/>
          <w:sz w:val="17"/>
          <w:szCs w:val="17"/>
          <w:u w:val="single" w:color="auto"/>
          <w:color w:val="auto"/>
        </w:rPr>
        <w:t>.01‎(b)</w:t>
      </w:r>
      <w:r>
        <w:rPr>
          <w:rFonts w:ascii="Arial" w:cs="Arial" w:eastAsia="Arial" w:hAnsi="Arial"/>
          <w:sz w:val="17"/>
          <w:szCs w:val="17"/>
          <w:color w:val="auto"/>
        </w:rPr>
        <w:t>, each of the Investors, severally and not jointly, and the Company agree to take all Necessary Action so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-144145</wp:posOffset>
            </wp:positionV>
            <wp:extent cx="8953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ind w:left="660" w:right="479" w:hanging="8"/>
        <w:spacing w:after="0" w:line="279" w:lineRule="auto"/>
        <w:tabs>
          <w:tab w:leader="none" w:pos="87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full Board is comprised of the seven (7) Directors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and (ii) the Chairman of the Board as of the Exchange Closing shall be a Director approved by the Investor Majority.</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Election to the Board; Committees</w:t>
      </w:r>
      <w:r>
        <w:rPr>
          <w:rFonts w:ascii="Arial" w:cs="Arial" w:eastAsia="Arial" w:hAnsi="Arial"/>
          <w:sz w:val="18"/>
          <w:szCs w:val="18"/>
          <w:color w:val="auto"/>
        </w:rPr>
        <w:t>. At and following the Exchange Closing:</w:t>
      </w:r>
    </w:p>
    <w:p>
      <w:pPr>
        <w:spacing w:after="0" w:line="104"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(a)  for so long as Nexus continues to own shares of Class A Common Stock equal to or greater than Nexus’ Minimum Ownership Threshold, Nexus shall be entitled to designate for appointment to the Board one (1) Director from time to time (such Director designated by Nexus, the “</w:t>
      </w:r>
      <w:r>
        <w:rPr>
          <w:rFonts w:ascii="Arial" w:cs="Arial" w:eastAsia="Arial" w:hAnsi="Arial"/>
          <w:sz w:val="18"/>
          <w:szCs w:val="18"/>
          <w:u w:val="single" w:color="auto"/>
          <w:color w:val="auto"/>
        </w:rPr>
        <w:t>Nexus</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w:t>
      </w:r>
    </w:p>
    <w:p>
      <w:pPr>
        <w:spacing w:after="0" w:line="66"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(b)  for so long as Story3 continues to own shares of Class A Common Stock equal to or greater than Story3’s Minimum Ownership Threshold, Story3 shall be entitled to designate for appointment to the Board one (1) Director from time to time (such Director designated by Story3, the “</w:t>
      </w:r>
      <w:r>
        <w:rPr>
          <w:rFonts w:ascii="Arial" w:cs="Arial" w:eastAsia="Arial" w:hAnsi="Arial"/>
          <w:sz w:val="18"/>
          <w:szCs w:val="18"/>
          <w:u w:val="single" w:color="auto"/>
          <w:color w:val="auto"/>
        </w:rPr>
        <w:t>Story3</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w:t>
      </w:r>
    </w:p>
    <w:p>
      <w:pPr>
        <w:spacing w:after="0" w:line="66"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 xml:space="preserve">(c)  (i) for so long as JYH serves as the Chief Executive Officer of the Company (or for such longer period as specified in </w:t>
      </w:r>
      <w:r>
        <w:rPr>
          <w:rFonts w:ascii="Arial" w:cs="Arial" w:eastAsia="Arial" w:hAnsi="Arial"/>
          <w:sz w:val="18"/>
          <w:szCs w:val="18"/>
          <w:u w:val="single" w:color="auto"/>
          <w:color w:val="auto"/>
        </w:rPr>
        <w:t>Section 12.03(d)</w:t>
      </w:r>
      <w:r>
        <w:rPr>
          <w:rFonts w:ascii="Arial" w:cs="Arial" w:eastAsia="Arial" w:hAnsi="Arial"/>
          <w:sz w:val="18"/>
          <w:szCs w:val="18"/>
          <w:color w:val="auto"/>
        </w:rPr>
        <w:t>), JYH shall be designated for appointment to the Board and shall continue to serve as a Class III Director, and (ii) for so long as the Founder continues to own shares of Class A Common Stock equal to or greater than the Founder’s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0" w:name="page241"/>
    <w:bookmarkEnd w:id="2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Minimum Ownership Threshold, the Founder shall be entitled to designate for appointment to the Board one (1) Director from time to time reasonably acceptable to the Investor Majority (such Director designated by the Founder, the “</w:t>
      </w:r>
      <w:r>
        <w:rPr>
          <w:rFonts w:ascii="Arial" w:cs="Arial" w:eastAsia="Arial" w:hAnsi="Arial"/>
          <w:sz w:val="18"/>
          <w:szCs w:val="18"/>
          <w:u w:val="single" w:color="auto"/>
          <w:color w:val="auto"/>
        </w:rPr>
        <w:t>Founder Director</w:t>
      </w:r>
      <w:r>
        <w:rPr>
          <w:rFonts w:ascii="Arial" w:cs="Arial" w:eastAsia="Arial" w:hAnsi="Arial"/>
          <w:sz w:val="18"/>
          <w:szCs w:val="18"/>
          <w:color w:val="auto"/>
        </w:rPr>
        <w:t>”);</w:t>
      </w:r>
    </w:p>
    <w:p>
      <w:pPr>
        <w:spacing w:after="0" w:line="61"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(d)  the Board shall be entitled to designate for appointment to the Board three (3) Directors from time to time to fill the remaining vacancies on the Board (such Directors, the “</w:t>
      </w:r>
      <w:r>
        <w:rPr>
          <w:rFonts w:ascii="Arial" w:cs="Arial" w:eastAsia="Arial" w:hAnsi="Arial"/>
          <w:sz w:val="18"/>
          <w:szCs w:val="18"/>
          <w:u w:val="single" w:color="auto"/>
          <w:color w:val="auto"/>
        </w:rPr>
        <w:t>Investor Directors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Investor Directors shall be subject to the approval by the Investor Majority prior to such appointment, and the Investor Majority shall reasonably consider in good faith the views of JYH in connection therewith;</w:t>
      </w:r>
    </w:p>
    <w:p>
      <w:pPr>
        <w:spacing w:after="0" w:line="68" w:lineRule="exact"/>
        <w:rPr>
          <w:sz w:val="20"/>
          <w:szCs w:val="20"/>
          <w:color w:val="auto"/>
        </w:rPr>
      </w:pPr>
    </w:p>
    <w:p>
      <w:pPr>
        <w:ind w:left="660" w:right="339"/>
        <w:spacing w:after="0" w:line="254" w:lineRule="auto"/>
        <w:rPr>
          <w:sz w:val="20"/>
          <w:szCs w:val="20"/>
          <w:color w:val="auto"/>
        </w:rPr>
      </w:pPr>
      <w:r>
        <w:rPr>
          <w:rFonts w:ascii="Arial" w:cs="Arial" w:eastAsia="Arial" w:hAnsi="Arial"/>
          <w:sz w:val="17"/>
          <w:szCs w:val="17"/>
          <w:color w:val="auto"/>
        </w:rPr>
        <w:t xml:space="preserve">(e)  subject to Sections ‎12.02(a) through </w:t>
      </w:r>
      <w:r>
        <w:rPr>
          <w:rFonts w:ascii="Arial" w:cs="Arial" w:eastAsia="Arial" w:hAnsi="Arial"/>
          <w:sz w:val="17"/>
          <w:szCs w:val="17"/>
          <w:u w:val="single" w:color="auto"/>
          <w:color w:val="auto"/>
        </w:rPr>
        <w:t>12.02(d)</w:t>
      </w:r>
      <w:r>
        <w:rPr>
          <w:rFonts w:ascii="Arial" w:cs="Arial" w:eastAsia="Arial" w:hAnsi="Arial"/>
          <w:sz w:val="17"/>
          <w:szCs w:val="17"/>
          <w:color w:val="auto"/>
        </w:rPr>
        <w:t xml:space="preserve">, during the term of this Agreement, each of the Investors hereby agrees, severally and not jointly, to appear in person or by proxy and vote, or cause to be voted, all outstanding shares of Class A Common Stock beneficially owned by each of the Investors and any of their controlled Affiliates at any annual or special meeting, or pursuant to any written consent, of Company Stockholders at, or pursuant to, which Directors of the Company are to be elected or removed, and to take all Necessary Action to cause the election or vote against the removal of each of (i) the Nexus Director, (ii) the Story3 Director, (iii) the Founder Director, (iv) so long as JYH serves as the Chief Executive Officer of the Company (or with respect to removals, such longer period as specified in </w:t>
      </w:r>
      <w:r>
        <w:rPr>
          <w:rFonts w:ascii="Arial" w:cs="Arial" w:eastAsia="Arial" w:hAnsi="Arial"/>
          <w:sz w:val="17"/>
          <w:szCs w:val="17"/>
          <w:u w:val="single" w:color="auto"/>
          <w:color w:val="auto"/>
        </w:rPr>
        <w:t>Section 12.03(d))</w:t>
      </w:r>
      <w:r>
        <w:rPr>
          <w:rFonts w:ascii="Arial" w:cs="Arial" w:eastAsia="Arial" w:hAnsi="Arial"/>
          <w:sz w:val="17"/>
          <w:szCs w:val="17"/>
          <w:color w:val="auto"/>
        </w:rPr>
        <w:t>, JYH as a Director, and (v) the Investor Directors, as provided herein and to implement and enforce the provisions set forth in Section ‎12.01;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-1189355</wp:posOffset>
            </wp:positionV>
            <wp:extent cx="8953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9535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-32385</wp:posOffset>
            </wp:positionV>
            <wp:extent cx="6985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44"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(f)  to the extent permitted by applicable Law (including any requirements under the Exchange Act or the applicable rules of Nasdaq), each of the Nexus Director, the Story3 Director and the Founder Director shall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Vacancies and Replacements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37" w:lineRule="auto"/>
        <w:rPr>
          <w:sz w:val="20"/>
          <w:szCs w:val="20"/>
          <w:color w:val="auto"/>
        </w:rPr>
      </w:pPr>
      <w:r>
        <w:rPr>
          <w:rFonts w:ascii="Arial" w:cs="Arial" w:eastAsia="Arial" w:hAnsi="Arial"/>
          <w:sz w:val="18"/>
          <w:szCs w:val="18"/>
          <w:color w:val="auto"/>
        </w:rPr>
        <w:t>(a)  In the event that Nexus, Story3 or the Founder, as applicable, no longer has the right to designate a Director for nomination by the Board pursuant to Section ‎12.02(a), Section ‎12.02(b) or Section ‎12.02(c) (each such occurrence, a “</w:t>
      </w:r>
      <w:r>
        <w:rPr>
          <w:rFonts w:ascii="Arial" w:cs="Arial" w:eastAsia="Arial" w:hAnsi="Arial"/>
          <w:sz w:val="18"/>
          <w:szCs w:val="18"/>
          <w:u w:val="single" w:color="auto"/>
          <w:color w:val="auto"/>
        </w:rPr>
        <w:t>Loss of Designation Rights</w:t>
      </w:r>
      <w:r>
        <w:rPr>
          <w:rFonts w:ascii="Arial" w:cs="Arial" w:eastAsia="Arial" w:hAnsi="Arial"/>
          <w:sz w:val="18"/>
          <w:szCs w:val="18"/>
          <w:color w:val="auto"/>
        </w:rPr>
        <w:t xml:space="preserve">”) or in the event JYH no longer serves as the Chief Executive Officer of the Company, then, unless a majority of Directors (with the affected party’s Board designee(s) abstaining), and in the case of JYH no longer serving as the Chief Executive Officer of the Company, the Board, by unanimous approval, votes in favor of or agrees in writing that such Director or Directors shall not resign as a result of a Loss of Designation Rights or as otherwise provided in </w:t>
      </w:r>
      <w:r>
        <w:rPr>
          <w:rFonts w:ascii="Arial" w:cs="Arial" w:eastAsia="Arial" w:hAnsi="Arial"/>
          <w:sz w:val="18"/>
          <w:szCs w:val="18"/>
          <w:u w:val="single" w:color="auto"/>
          <w:color w:val="auto"/>
        </w:rPr>
        <w:t>Section 12.03(d)</w:t>
      </w:r>
      <w:r>
        <w:rPr>
          <w:rFonts w:ascii="Arial" w:cs="Arial" w:eastAsia="Arial" w:hAnsi="Arial"/>
          <w:sz w:val="18"/>
          <w:szCs w:val="18"/>
          <w:color w:val="auto"/>
        </w:rPr>
        <w:t xml:space="preserve">, each of Nexus, Story3 or the Founder, as applicable, agrees with the Company (and only with the Company) that it shall take all Necessary Action to cause each of (i) the Nexus Director that Nexus ceases to have the right to designate for nomination as a Nexus Director, (ii) the Story3 Director that Story3 ceases to have the right to designate for nomination as a Story3 Director, (iii) the Founder Director that the Founder ceases to have the right to designate for nomination as the Founder Director, or (iv) JYH in the event she no longer serves as the Chief Executive Officer of the Company, subject to </w:t>
      </w:r>
      <w:r>
        <w:rPr>
          <w:rFonts w:ascii="Arial" w:cs="Arial" w:eastAsia="Arial" w:hAnsi="Arial"/>
          <w:sz w:val="18"/>
          <w:szCs w:val="18"/>
          <w:u w:val="single" w:color="auto"/>
          <w:color w:val="auto"/>
        </w:rPr>
        <w:t>Section 12.03(d)</w:t>
      </w:r>
      <w:r>
        <w:rPr>
          <w:rFonts w:ascii="Arial" w:cs="Arial" w:eastAsia="Arial" w:hAnsi="Arial"/>
          <w:sz w:val="18"/>
          <w:szCs w:val="18"/>
          <w:color w:val="auto"/>
        </w:rPr>
        <w:t>, respectively, to tender his, her or their resignation(s) from the Board and all applicable committees thereof within three (3) Business Days from the date that Nexus, Story3, the Founder or JYH, as applicable, incurs a Loss of Designation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-1953895</wp:posOffset>
            </wp:positionV>
            <wp:extent cx="17399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-1824990</wp:posOffset>
            </wp:positionV>
            <wp:extent cx="83185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6"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(b)  Other than with respect to a Loss of Designation Rights, (i) each of Nexus, Story3 and the Founder shall have the sole right to request that their respective designated Directors, as applicable, tender their resignations from the Board and all applicable committees thereof, and (ii) the Investor Majority shall have the sole right to request that the Investor Directors tender their resignations from the Board and all applicable committees thereof, in each case, with or without cause at any time, by sending a written notice to such Director and the Company’s Secretary stating the name of the Director or Directors whose resignation from the Board and all applicable committees thereof is requested.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1" w:name="page242"/>
    <w:bookmarkEnd w:id="2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(c)  Except with respect to a Loss of Designation Rights subject to Section 12‎.03(a) and </w:t>
      </w:r>
      <w:r>
        <w:rPr>
          <w:rFonts w:ascii="Arial" w:cs="Arial" w:eastAsia="Arial" w:hAnsi="Arial"/>
          <w:sz w:val="18"/>
          <w:szCs w:val="18"/>
          <w:u w:val="single" w:color="auto"/>
          <w:color w:val="auto"/>
        </w:rPr>
        <w:t>Section 12.02(d)</w:t>
      </w:r>
      <w:r>
        <w:rPr>
          <w:rFonts w:ascii="Arial" w:cs="Arial" w:eastAsia="Arial" w:hAnsi="Arial"/>
          <w:sz w:val="18"/>
          <w:szCs w:val="18"/>
          <w:color w:val="auto"/>
        </w:rPr>
        <w:t>, each of Nexus, Story3, the Founder and the Board (subject to approval of the Investor Majority in accordance with Section 12‎.02(d)), as applicable, shall have the exclusive right to designate in accordance with Section 12‎.02(a), Section 12‎.02(b), Section 12‎.02(c)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-401955</wp:posOffset>
            </wp:positionV>
            <wp:extent cx="8382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-144780</wp:posOffset>
            </wp:positionV>
            <wp:extent cx="8382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-15875</wp:posOffset>
            </wp:positionV>
            <wp:extent cx="26352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35250" cy="8255"/>
                    </a:xfrm>
                    <a:prstGeom prst="rect">
                      <a:avLst/>
                    </a:prstGeom>
                    <a:noFill/>
                  </pic:spPr>
                </pic:pic>
              </a:graphicData>
            </a:graphic>
          </wp:anchor>
        </w:drawing>
      </w:r>
    </w:p>
    <w:p>
      <w:pPr>
        <w:ind w:left="660" w:right="339"/>
        <w:spacing w:after="0"/>
        <w:rPr>
          <w:sz w:val="20"/>
          <w:szCs w:val="20"/>
          <w:color w:val="auto"/>
        </w:rPr>
      </w:pPr>
      <w:r>
        <w:rPr>
          <w:rFonts w:ascii="Arial" w:cs="Arial" w:eastAsia="Arial" w:hAnsi="Arial"/>
          <w:sz w:val="18"/>
          <w:szCs w:val="18"/>
          <w:color w:val="auto"/>
        </w:rPr>
        <w:t>Section ‎12.02(d), as applicable, a replacement Director for appointment by the Board to fill vacancies created as a result of death, disability, retirement, resignation or removal (with or without cause) or refusal to stand for re-election of their respective Directors, and the Board shall fill any such vacancy of their respective Directors with such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-413385</wp:posOffset>
            </wp:positionV>
            <wp:extent cx="8382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52" w:lineRule="exact"/>
        <w:rPr>
          <w:sz w:val="20"/>
          <w:szCs w:val="20"/>
          <w:color w:val="auto"/>
        </w:rPr>
      </w:pPr>
    </w:p>
    <w:p>
      <w:pPr>
        <w:ind w:left="660" w:right="379"/>
        <w:spacing w:after="0" w:line="261" w:lineRule="auto"/>
        <w:rPr>
          <w:sz w:val="20"/>
          <w:szCs w:val="20"/>
          <w:color w:val="auto"/>
        </w:rPr>
      </w:pPr>
      <w:r>
        <w:rPr>
          <w:rFonts w:ascii="Arial" w:cs="Arial" w:eastAsia="Arial" w:hAnsi="Arial"/>
          <w:sz w:val="17"/>
          <w:szCs w:val="17"/>
          <w:color w:val="auto"/>
        </w:rPr>
        <w:t>(d)  In the event that JYH ceases to serve as the Chief Executive Officer of the Company for any reason, JYH shall tender her resignation from the Board and all applicable committees thereof within three (3) Business Days from the date that JYH ceases to serve as the Chief Executive Officer of the Company, unless the Board, by unanimous approval, votes in favor of or agrees in writing that JYH’s term shall not expire as a result of JYH ceasing to serve as Chief Executive Officer of the Company.</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(a)  At and following the Exchange Closing, the Company agrees with each of the Investors, severally and not jointly, that the Board will take all Necessary Action (subject to the Board’s fiduciary duties) to (i) cause the full Board to be comprised of seven (7) Directors inclusive of the Directors nominated by Investors pursuant to the Director nomination rights set forth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w:t>
      </w:r>
      <w:r>
        <w:rPr>
          <w:rFonts w:ascii="Arial" w:cs="Arial" w:eastAsia="Arial" w:hAnsi="Arial"/>
          <w:sz w:val="18"/>
          <w:szCs w:val="18"/>
          <w:color w:val="auto"/>
        </w:rPr>
        <w:t>, (ii) cause the individuals designated in accordance with Section ‎12.01 to be included in the slate of nominees with respect to the applicable class of Directors (as determined by the Investor Majority) to be elected to the Board at the next annual or special meeting of stockholders of the Company at which Directors of such class are to be elected, in accordance with the Bylaws, Charter and the DGCL and at each annual meeting of stockholders of the Company thereafter at which such Director’s term expires, (iii) cause the Nexus Director, the Story3 Director and the Founder Director to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 and (iv) cause the individuals designated in accordance with Section ‎12.03(c) to fill the applicable vacancies on the Board, in accordance with the Charter, Bylaws, applicable securities Laws, the DGCL and The Nasdaq Stock Exchange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-1438275</wp:posOffset>
            </wp:positionV>
            <wp:extent cx="698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850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-280670</wp:posOffset>
            </wp:positionV>
            <wp:extent cx="8318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58" w:lineRule="exact"/>
        <w:rPr>
          <w:sz w:val="20"/>
          <w:szCs w:val="20"/>
          <w:color w:val="auto"/>
        </w:rPr>
      </w:pPr>
    </w:p>
    <w:p>
      <w:pPr>
        <w:ind w:left="660" w:right="319"/>
        <w:spacing w:after="0" w:line="253" w:lineRule="auto"/>
        <w:rPr>
          <w:sz w:val="20"/>
          <w:szCs w:val="20"/>
          <w:color w:val="auto"/>
        </w:rPr>
      </w:pPr>
      <w:r>
        <w:rPr>
          <w:rFonts w:ascii="Arial" w:cs="Arial" w:eastAsia="Arial" w:hAnsi="Arial"/>
          <w:sz w:val="18"/>
          <w:szCs w:val="18"/>
          <w:color w:val="auto"/>
        </w:rPr>
        <w:t>(b)  Each Investor agrees that such Investor shall comply with the requirements of the Charter and Bylaws when designating and nominating individuals as Directors in accordance with this Agreement, in each case, to the extent such requirements are applicable to Directors generally.</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Indemnification of the Directors; Directors and Officers Insurance Policy</w:t>
      </w:r>
      <w:r>
        <w:rPr>
          <w:rFonts w:ascii="Arial" w:cs="Arial" w:eastAsia="Arial" w:hAnsi="Arial"/>
          <w:sz w:val="18"/>
          <w:szCs w:val="18"/>
          <w:color w:val="auto"/>
        </w:rPr>
        <w:t>.</w:t>
      </w:r>
    </w:p>
    <w:p>
      <w:pPr>
        <w:spacing w:after="0" w:line="104" w:lineRule="exact"/>
        <w:rPr>
          <w:sz w:val="20"/>
          <w:szCs w:val="20"/>
          <w:color w:val="auto"/>
        </w:rPr>
      </w:pPr>
    </w:p>
    <w:p>
      <w:pPr>
        <w:ind w:left="660" w:right="459"/>
        <w:spacing w:after="0"/>
        <w:rPr>
          <w:sz w:val="20"/>
          <w:szCs w:val="20"/>
          <w:color w:val="auto"/>
        </w:rPr>
      </w:pPr>
      <w:r>
        <w:rPr>
          <w:rFonts w:ascii="Arial" w:cs="Arial" w:eastAsia="Arial" w:hAnsi="Arial"/>
          <w:sz w:val="18"/>
          <w:szCs w:val="18"/>
          <w:color w:val="auto"/>
        </w:rPr>
        <w:t>(a)  At and following the Exchange Closing, to the extent provided by Delaware Law, the Charter shall at all times require (i) the indemnification and reimbursement of costs and expenses (including advancing reasonable costs prior to the final disposition of any actual or threatened Claim) of all of the Directors against liability for actions and omissions to act in their capacity as Directors of the Company to the maximum extent that such individuals may lawfully be so indemnified by the Company, and (ii) the exculpation of the Directors from liability to the Company and its stockholders for monetary damages for breach of their fiduciary duties as Directors.</w:t>
      </w:r>
    </w:p>
    <w:p>
      <w:pPr>
        <w:spacing w:after="0" w:line="77" w:lineRule="exact"/>
        <w:rPr>
          <w:sz w:val="20"/>
          <w:szCs w:val="20"/>
          <w:color w:val="auto"/>
        </w:rPr>
      </w:pPr>
    </w:p>
    <w:p>
      <w:pPr>
        <w:ind w:left="660" w:right="439"/>
        <w:spacing w:after="0" w:line="244" w:lineRule="auto"/>
        <w:rPr>
          <w:sz w:val="20"/>
          <w:szCs w:val="20"/>
          <w:color w:val="auto"/>
        </w:rPr>
      </w:pPr>
      <w:r>
        <w:rPr>
          <w:rFonts w:ascii="Arial" w:cs="Arial" w:eastAsia="Arial" w:hAnsi="Arial"/>
          <w:sz w:val="18"/>
          <w:szCs w:val="18"/>
          <w:color w:val="auto"/>
        </w:rPr>
        <w:t>(b)  At and following the Exchange Closing, the Company will maintain in full force and effect a directors and officer liability insurance policy issued by an insurer or insurers of recognized responsibility, insuring its Directors and officers against such losses and risks, and in such amounts, as determined by the Board. The Company may not cancel any policy required under this Section ‎12.05(b) without the consent of a majority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-29845</wp:posOffset>
            </wp:positionV>
            <wp:extent cx="8382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2" w:name="page243"/>
    <w:bookmarkEnd w:id="2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19"/>
        <w:spacing w:after="0" w:line="247" w:lineRule="auto"/>
        <w:rPr>
          <w:sz w:val="20"/>
          <w:szCs w:val="20"/>
          <w:color w:val="auto"/>
        </w:rPr>
      </w:pPr>
      <w:r>
        <w:rPr>
          <w:rFonts w:ascii="Arial" w:cs="Arial" w:eastAsia="Arial" w:hAnsi="Arial"/>
          <w:sz w:val="18"/>
          <w:szCs w:val="18"/>
          <w:color w:val="auto"/>
        </w:rPr>
        <w:t>(c)  Substantially concurrently with the Exchange Closing, the Company and each of the Directors shall enter into an indemnification agreement, substantially in the form which has been filed by the Company with the SEC, to the extent a Director is not already party to such an indemnification agreement.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Board Observers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5" w:lineRule="auto"/>
        <w:rPr>
          <w:sz w:val="20"/>
          <w:szCs w:val="20"/>
          <w:color w:val="auto"/>
        </w:rPr>
      </w:pPr>
      <w:r>
        <w:rPr>
          <w:rFonts w:ascii="Arial" w:cs="Arial" w:eastAsia="Arial" w:hAnsi="Arial"/>
          <w:sz w:val="18"/>
          <w:szCs w:val="18"/>
          <w:color w:val="auto"/>
        </w:rPr>
        <w:t>(a)  At and following the Exchange Closing, until the date on which the Founder ceases to hold shares of Class A Common Stock equal to or greater than the Founder’s Minimum Ownership Threshold, the Founder shall be entitled to designate one (1) Board observer from time to time reasonably acceptable to the Investor Majority (the “</w:t>
      </w:r>
      <w:r>
        <w:rPr>
          <w:rFonts w:ascii="Arial" w:cs="Arial" w:eastAsia="Arial" w:hAnsi="Arial"/>
          <w:sz w:val="18"/>
          <w:szCs w:val="18"/>
          <w:u w:val="single" w:color="auto"/>
          <w:color w:val="auto"/>
        </w:rPr>
        <w:t>Founder Observer</w:t>
      </w:r>
      <w:r>
        <w:rPr>
          <w:rFonts w:ascii="Arial" w:cs="Arial" w:eastAsia="Arial" w:hAnsi="Arial"/>
          <w:sz w:val="18"/>
          <w:szCs w:val="18"/>
          <w:color w:val="auto"/>
        </w:rPr>
        <w:t xml:space="preserve">”) to attend (in-person, by telephone or by other communication equipment pursuant to Section 3.05 of the Bylaws) any regular or special meeting of the Board (or any relevant committees thereof), except that the Founder Observer shall not be entitled to vote on matters presented to or discussed by the Board (or relevant committee thereof) at any such meetings. The Founder Observer shall be timely notified of the time and place of any meetings of the Board (or any relevant committee thereof) and will be given written notice (such notice to be delivered to the Founder Observer contemporaneously with delivery of such notice to the Directors) of all proposed actions to be taken by the Board (or any relevant committee thereof) at such meeting as if the Founder Observer were a Director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Founder Observer shall enter into an agreement with the Company setting forth the rights and obligations of the Founder Observer, which shall be on customary terms and conditions (and shall include the right of the Founder Observer to receive non-privileged information regarding the Company that would otherwise be available to the Directors, subject to confidentiality and non-use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contained in this Section ‎12.06(a), the Founder Observer may be excluded from meetings (or a portion thereof) and materials provided to the Founder Observer in connection with such meetings may be redacted to the extent that the Board (or any relevant committee thereof) reasonably determines that such exclusion or redaction is necessary to (i) preserve attorney-client privilege, or (ii) avoid a conflict of interest between the interests of the Founder or any of their respective Affiliates, on the one hand, and those of the Company or any of its Subsidiaries, on the other hand;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 the Founder Observer is excluded from any meeting or portion thereof or is delivered any redacted information or materials related thereto, the Secretary of the Company shall promptly provide to the Founder Observer a general description, which shall be true and correct in all material respects, of the matters discussed during such meeting or portion thereof at which the Founder Observer was excluded and any such redacted information or materials;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description may exclude any information to the extent that the Board reasonably determines that such exclusion is necessary to (A) preserve attorney-client privilege or (B) avoid a conflict of interest between the interests of the Founder or any of their respective Affiliates, on the one hand, and those of the Company or any of its Subsidiaries, on the other hand. Subject to the second proviso in the second sentence of this </w:t>
      </w:r>
      <w:r>
        <w:rPr>
          <w:rFonts w:ascii="Arial" w:cs="Arial" w:eastAsia="Arial" w:hAnsi="Arial"/>
          <w:sz w:val="18"/>
          <w:szCs w:val="18"/>
          <w:u w:val="single" w:color="auto"/>
          <w:color w:val="auto"/>
        </w:rPr>
        <w:t>Section 12.06(a)</w:t>
      </w:r>
      <w:r>
        <w:rPr>
          <w:rFonts w:ascii="Arial" w:cs="Arial" w:eastAsia="Arial" w:hAnsi="Arial"/>
          <w:sz w:val="18"/>
          <w:szCs w:val="18"/>
          <w:color w:val="auto"/>
        </w:rPr>
        <w:t>, the Founder Observer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Founder Observer shall keep such materials and information confidential. Notwithstanding anything to the contrary contained in this Section ‎12.06(a), the Founder Observer shall not, unless reasonably acceptable to the Investor Majority, be an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-3352800</wp:posOffset>
            </wp:positionV>
            <wp:extent cx="8382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-137795</wp:posOffset>
            </wp:positionV>
            <wp:extent cx="698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3" w:name="page244"/>
    <w:bookmarkEnd w:id="2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manager, employee, member, partner, Representative or Affiliate of, or do business with, competitors or potential competitors of the Company or any of its Subsidiaries, or entities engaged in business similar to or the same as the Company (as currently conducted or as currently proposed to be conducted).</w:t>
      </w:r>
    </w:p>
    <w:p>
      <w:pPr>
        <w:spacing w:after="0" w:line="66" w:lineRule="exact"/>
        <w:rPr>
          <w:sz w:val="20"/>
          <w:szCs w:val="20"/>
          <w:color w:val="auto"/>
        </w:rPr>
      </w:pPr>
    </w:p>
    <w:p>
      <w:pPr>
        <w:ind w:left="660" w:right="539"/>
        <w:spacing w:after="0" w:line="254" w:lineRule="auto"/>
        <w:rPr>
          <w:sz w:val="20"/>
          <w:szCs w:val="20"/>
          <w:color w:val="auto"/>
        </w:rPr>
      </w:pPr>
      <w:r>
        <w:rPr>
          <w:rFonts w:ascii="Arial" w:cs="Arial" w:eastAsia="Arial" w:hAnsi="Arial"/>
          <w:sz w:val="17"/>
          <w:szCs w:val="17"/>
          <w:color w:val="auto"/>
        </w:rPr>
        <w:t>(b)  At and following the Exchange Closing, (i) each of Nexus, for so long as Nexus continues to own shares of Class A Common Stock equal to or greater than Nexus’ Minimum Ownership Threshold, and Story3, for so long as Story3 continues to own shares of Class A Common Stock equal to or greater than Story3’s Minimum Ownership Threshold, shall be entitled to designate one</w:t>
      </w:r>
    </w:p>
    <w:p>
      <w:pPr>
        <w:ind w:left="660" w:right="299" w:hanging="8"/>
        <w:spacing w:after="0" w:line="235" w:lineRule="auto"/>
        <w:tabs>
          <w:tab w:leader="none" w:pos="9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Board observer from time to time (each, an “</w:t>
      </w:r>
      <w:r>
        <w:rPr>
          <w:rFonts w:ascii="Arial" w:cs="Arial" w:eastAsia="Arial" w:hAnsi="Arial"/>
          <w:sz w:val="18"/>
          <w:szCs w:val="18"/>
          <w:u w:val="single" w:color="auto"/>
          <w:color w:val="auto"/>
        </w:rPr>
        <w:t>Investor Observer</w:t>
      </w:r>
      <w:r>
        <w:rPr>
          <w:rFonts w:ascii="Arial" w:cs="Arial" w:eastAsia="Arial" w:hAnsi="Arial"/>
          <w:sz w:val="18"/>
          <w:szCs w:val="18"/>
          <w:color w:val="auto"/>
        </w:rPr>
        <w:t>”), and (ii) CHS shall be entitled to designate two (2) Board observers from time to time (each, a “</w:t>
      </w:r>
      <w:r>
        <w:rPr>
          <w:rFonts w:ascii="Arial" w:cs="Arial" w:eastAsia="Arial" w:hAnsi="Arial"/>
          <w:sz w:val="18"/>
          <w:szCs w:val="18"/>
          <w:u w:val="single" w:color="auto"/>
          <w:color w:val="auto"/>
        </w:rPr>
        <w:t>CHS Observer</w:t>
      </w:r>
      <w:r>
        <w:rPr>
          <w:rFonts w:ascii="Arial" w:cs="Arial" w:eastAsia="Arial" w:hAnsi="Arial"/>
          <w:sz w:val="18"/>
          <w:szCs w:val="18"/>
          <w:color w:val="auto"/>
        </w:rPr>
        <w:t>” and together with the Investor Observers, the “</w:t>
      </w:r>
      <w:r>
        <w:rPr>
          <w:rFonts w:ascii="Arial" w:cs="Arial" w:eastAsia="Arial" w:hAnsi="Arial"/>
          <w:sz w:val="18"/>
          <w:szCs w:val="18"/>
          <w:u w:val="single" w:color="auto"/>
          <w:color w:val="auto"/>
        </w:rPr>
        <w:t>Investor Majority Observers</w:t>
      </w:r>
      <w:r>
        <w:rPr>
          <w:rFonts w:ascii="Arial" w:cs="Arial" w:eastAsia="Arial" w:hAnsi="Arial"/>
          <w:sz w:val="18"/>
          <w:szCs w:val="18"/>
          <w:color w:val="auto"/>
        </w:rPr>
        <w:t xml:space="preserve">”) to attend (in-person, by telephone or by other communication equipment pursuant to Section 3.05 of the Bylaws) any regular or special meeting of the Board (or any relevant committees thereof), except that none of the Investor Majority Observers shall be entitled to vote on matters presented to or discussed by the Board (or relevant committee thereof) at any such meetings. The Investor Majority Observers shall be timely notified of the time and place of any meetings of the Board (or any relevant committee thereof) and will be given written notice (such notice to be delivered to the Investor Majority Observers contemporaneously with delivery of such notice to the Directors) of all proposed actions to be taken by the Board (or any relevant committee thereof) at such meeting as if the Investor Majority Observers were Directors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of the Investor Majority Observers shall enter into an agreement with the Company setting forth the rights and obligations of such Investor Majority Observers, which shall be on customary terms and conditions (and shall include the right of each of the Investor Majority Observers to receive non-privileged information regarding the Company that would otherwise be available to the Directors, subject to confidentiality and non-use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contained in this Section 12‎.06(b), the Investor Majority Observers may be excluded from meetings (or a portion thereof) and materials provided to the Investor Majority Observers in connection with such meetings may be redacted to the extent that the Board (or any relevant committee thereof) reasonably determines that such exclusion or redaction is necessary to (A) preserve attorney-client privilege, or (B) avoid a conflict of interest between the interests of CHS, Nexus or Story3, as applicable, or any of their respective Affiliates, on the one hand, and those of the Company or any of its Subsidiaries, on the other hand;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 any Investor Majority Observer is excluded from any meeting or portion thereof or is delivered any redacted information or materials related thereto, the Secretary of the Company shall promptly provide to such Investor Majority Observer a general description, which shall be true and correct in all material respects, of the matters discussed during such meeting or portion thereof at which such Investor Majority Observer was excluded and any such redacted information or materials;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description may exclude any information to the extent that the Board reasonably determines that such exclusion is necessary to (1) preserve attorney-client privilege or (2) avoid a conflict of interest between the interests of CHS, Nexus or Story3, as applicable, or any of their respective Affiliates, on the one hand, and those of the Company or any of its Subsidiaries, on the other hand. Subject to the second proviso in the second sentence of this </w:t>
      </w:r>
      <w:r>
        <w:rPr>
          <w:rFonts w:ascii="Arial" w:cs="Arial" w:eastAsia="Arial" w:hAnsi="Arial"/>
          <w:sz w:val="18"/>
          <w:szCs w:val="18"/>
          <w:u w:val="single" w:color="auto"/>
          <w:color w:val="auto"/>
        </w:rPr>
        <w:t>Section 12.06(b)</w:t>
      </w:r>
      <w:r>
        <w:rPr>
          <w:rFonts w:ascii="Arial" w:cs="Arial" w:eastAsia="Arial" w:hAnsi="Arial"/>
          <w:sz w:val="18"/>
          <w:szCs w:val="18"/>
          <w:color w:val="auto"/>
        </w:rPr>
        <w:t>, the Investor Majority Observers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Investor Majority Observers shall keep such materials and information confidential. Each of CHS, Nexus and Story3 shall have the right to replace its Investor Majority Observer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-3492500</wp:posOffset>
            </wp:positionV>
            <wp:extent cx="8382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4" w:name="page245"/>
    <w:bookmarkEnd w:id="2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42" w:lineRule="auto"/>
        <w:rPr>
          <w:sz w:val="20"/>
          <w:szCs w:val="20"/>
          <w:color w:val="auto"/>
        </w:rPr>
      </w:pPr>
      <w:r>
        <w:rPr>
          <w:rFonts w:ascii="Arial" w:cs="Arial" w:eastAsia="Arial" w:hAnsi="Arial"/>
          <w:sz w:val="18"/>
          <w:szCs w:val="18"/>
          <w:color w:val="auto"/>
        </w:rPr>
        <w:t xml:space="preserve">(c)  The Investor Majority Observer rights set forth in </w:t>
      </w:r>
      <w:r>
        <w:rPr>
          <w:rFonts w:ascii="Arial" w:cs="Arial" w:eastAsia="Arial" w:hAnsi="Arial"/>
          <w:sz w:val="18"/>
          <w:szCs w:val="18"/>
          <w:u w:val="single" w:color="auto"/>
          <w:color w:val="auto"/>
        </w:rPr>
        <w:t>Section 12.06(b)</w:t>
      </w:r>
      <w:r>
        <w:rPr>
          <w:rFonts w:ascii="Arial" w:cs="Arial" w:eastAsia="Arial" w:hAnsi="Arial"/>
          <w:sz w:val="18"/>
          <w:szCs w:val="18"/>
          <w:color w:val="auto"/>
        </w:rPr>
        <w:t xml:space="preserve"> are in addition to, and do not limit, any rights provided in the New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(i) each of Story3 and Nexus shall have the right to designate one (1) Board observer in total pursuant to this Agreement and the New Credit Agreement and (ii) CHS shall have the right to designate two (2) Board observers in total pursuant to this Agreement and the New Credit Agreement.</w:t>
      </w:r>
    </w:p>
    <w:p>
      <w:pPr>
        <w:spacing w:after="0" w:line="7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Expense Reimbursement</w:t>
      </w:r>
      <w:r>
        <w:rPr>
          <w:rFonts w:ascii="Arial" w:cs="Arial" w:eastAsia="Arial" w:hAnsi="Arial"/>
          <w:sz w:val="18"/>
          <w:szCs w:val="18"/>
          <w:color w:val="auto"/>
        </w:rPr>
        <w:t>. At and following the Exchange Closing, the Company will reimburse all non-employee Directors, the Founder Observer and the Investor Majority Observers for all reasonable and documented out-of-pocket costs and expenses incurred in connection with the performance of his or her duties as a Director, the Founder Observer or the Investor Majority Observer, as applicable, or participation in any meeting of the Board (or any relevant committee thereof), upon production of appropriate receipts (including, for the avoidance of doubt, reimbursement for travel expenses and business development activities that are requested by the Company).</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Certain Actions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45" w:lineRule="auto"/>
        <w:rPr>
          <w:sz w:val="20"/>
          <w:szCs w:val="20"/>
          <w:color w:val="auto"/>
        </w:rPr>
      </w:pPr>
      <w:r>
        <w:rPr>
          <w:rFonts w:ascii="Arial" w:cs="Arial" w:eastAsia="Arial" w:hAnsi="Arial"/>
          <w:sz w:val="18"/>
          <w:szCs w:val="18"/>
          <w:color w:val="auto"/>
        </w:rPr>
        <w:t>(a)  For eighteen (18) months after the Exchange Closing, unless approved in advance by a majority of the disinterested and independent directors on the Board (which for purposes of this</w:t>
      </w:r>
    </w:p>
    <w:p>
      <w:pPr>
        <w:ind w:left="660" w:right="619"/>
        <w:spacing w:after="0"/>
        <w:rPr>
          <w:sz w:val="20"/>
          <w:szCs w:val="20"/>
          <w:color w:val="auto"/>
        </w:rPr>
      </w:pPr>
      <w:r>
        <w:rPr>
          <w:rFonts w:ascii="Arial" w:cs="Arial" w:eastAsia="Arial" w:hAnsi="Arial"/>
          <w:sz w:val="18"/>
          <w:szCs w:val="18"/>
          <w:u w:val="single" w:color="auto"/>
          <w:color w:val="auto"/>
        </w:rPr>
        <w:t>Section 12.08(a)</w:t>
      </w:r>
      <w:r>
        <w:rPr>
          <w:rFonts w:ascii="Arial" w:cs="Arial" w:eastAsia="Arial" w:hAnsi="Arial"/>
          <w:sz w:val="18"/>
          <w:szCs w:val="18"/>
          <w:color w:val="auto"/>
        </w:rPr>
        <w:t xml:space="preserve"> shall include JYH to the extent JYH is a member of the Board), CHS, Nexus and Story3, individually or as a group, shall not, directly or indirectly (including through one or more Affiliates), cause or permit the Company to engage in or consummate a merger or consolidation pursuant to Section 253 or Section 267 of the Delaware General Corporation Law.</w:t>
      </w:r>
    </w:p>
    <w:p>
      <w:pPr>
        <w:spacing w:after="0" w:line="72"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 xml:space="preserve">(b)  At and following the Exchange Closing, each Investor agrees that he, she or it shall not vote in favor of or agree in writing to any amendment or other modification to the Amended and Restated Charter that is inconsistent with the purposes and intent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6.3(b)</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6.5(b)</w:t>
      </w:r>
      <w:r>
        <w:rPr>
          <w:rFonts w:ascii="Arial" w:cs="Arial" w:eastAsia="Arial" w:hAnsi="Arial"/>
          <w:sz w:val="18"/>
          <w:szCs w:val="18"/>
          <w:color w:val="auto"/>
        </w:rPr>
        <w:t xml:space="preserve"> thereof.</w:t>
      </w:r>
    </w:p>
    <w:p>
      <w:pPr>
        <w:spacing w:after="0" w:line="17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ARTICLE XIII</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u w:val="single" w:color="auto"/>
          <w:color w:val="auto"/>
        </w:rPr>
        <w:t>General Provisions</w:t>
      </w:r>
    </w:p>
    <w:p>
      <w:pPr>
        <w:spacing w:after="0" w:line="8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given when delivered, if delivered personally, emailed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email states that it is a notice sent pursuant to this Section 13‎.01) or sent by overnight courier (providing proof of delivery) to the Parties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-287020</wp:posOffset>
            </wp:positionV>
            <wp:extent cx="6985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if to the Company, to:</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Rent the Runway, Inc.</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5" w:name="page246"/>
    <w:bookmarkEnd w:id="2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with copies (which shall not constitute notice) to:</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Davis Polk &amp; Wardwell LLP</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(ii) if to any Investor, to the address set forth next to such Investor’s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5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72"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all of which shall be considered one and the same agreement and shall become effective when one or more counterparts have been signed by each of the Parties and delivered to the other Parties. Delivery of an executed counterpart of a signature page to this Agreement by “.pdf” format, scanned pages or electronic signature shall be effective as delivery of a manually executed counterpart to this Agreement.</w:t>
      </w:r>
    </w:p>
    <w:p>
      <w:pPr>
        <w:spacing w:after="0" w:line="6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collectively with the other Transaction Documents (including the schedules and exhibits hereto and thereto), constitutes the entire agreement, and supersede all prior agreements, understandings and representations, both written and oral, between the Parties with respect to the Transactions. This Agreement (including the documents and instruments referred to herein) is not intended to, and does not, confer upon any Person other than the Parties any rights or remedies hereunder, including the right to rely upon the representations and warranties set forth in this Agreement, except as otherwise specifically provided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which is intended to benefit each Covered Person.</w:t>
      </w:r>
    </w:p>
    <w:p>
      <w:pPr>
        <w:spacing w:after="0" w:line="72" w:lineRule="exact"/>
        <w:rPr>
          <w:sz w:val="20"/>
          <w:szCs w:val="20"/>
          <w:color w:val="auto"/>
        </w:rPr>
      </w:pPr>
    </w:p>
    <w:p>
      <w:pPr>
        <w:ind w:left="300" w:right="319"/>
        <w:spacing w:after="0" w:line="255"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neither this Agreement nor any of the rights, interests or obligations under this Agreement shall be assigned, in whole or in part, by operation of law or otherwise by any of the Parties without the prior written consent of the other Parties. Notwithstanding the foregoing or anything else in this Agreement, each of CHS, Nexus or Story3 may, upon prior written notice to the Company, assign, in its sole discretion, any or all of its rights, interests and obligations under this Agreement to any Affiliate of CHS, Nexus or Story3, respectively, so long as CHS, Nexus or Story3, as applicable,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61" w:lineRule="exact"/>
        <w:rPr>
          <w:sz w:val="20"/>
          <w:szCs w:val="20"/>
          <w:color w:val="auto"/>
        </w:rPr>
      </w:pPr>
    </w:p>
    <w:p>
      <w:pPr>
        <w:jc w:val="both"/>
        <w:ind w:left="300" w:right="479"/>
        <w:spacing w:after="0" w:line="253"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6" w:name="page247"/>
    <w:bookmarkEnd w:id="2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Specific Performance; Exclusive Jurisdiction; Waiver of Jury Trial</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(a)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an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72"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Section ‎13.01.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-27305</wp:posOffset>
            </wp:positionV>
            <wp:extent cx="6985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52" w:lineRule="exact"/>
        <w:rPr>
          <w:sz w:val="20"/>
          <w:szCs w:val="20"/>
          <w:color w:val="auto"/>
        </w:rPr>
      </w:pPr>
    </w:p>
    <w:p>
      <w:pPr>
        <w:ind w:left="660" w:right="579"/>
        <w:spacing w:after="0" w:line="253" w:lineRule="auto"/>
        <w:rPr>
          <w:sz w:val="20"/>
          <w:szCs w:val="20"/>
          <w:color w:val="auto"/>
        </w:rPr>
      </w:pPr>
      <w:r>
        <w:rPr>
          <w:rFonts w:ascii="Arial" w:cs="Arial" w:eastAsia="Arial" w:hAnsi="Arial"/>
          <w:sz w:val="18"/>
          <w:szCs w:val="18"/>
          <w:color w:val="auto"/>
        </w:rPr>
        <w:t>(c)  EACH OF THE PARTIES HEREBY KNOWINGLY, INTENTIONALLY AND VOLUNTARILY IRREVOCABLY WAIVES ANY AND ALL RIGHTS TO TRIAL BY JURY IN ANY ACTION ARISING OUT OF OR RELATED TO THIS AGREEMENT OR THE TRANSACTIONS.</w:t>
      </w:r>
    </w:p>
    <w:p>
      <w:pPr>
        <w:spacing w:after="0" w:line="61"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xml:space="preserve">. This Agreement may not be modified, amended or supplemented, except by written instrument executed by each Party (excluding, for the avoidance of doubt, any Party whose rights and obligations hereunder have validly terminated in accordance with </w:t>
      </w:r>
      <w:r>
        <w:rPr>
          <w:rFonts w:ascii="Arial" w:cs="Arial" w:eastAsia="Arial" w:hAnsi="Arial"/>
          <w:sz w:val="18"/>
          <w:szCs w:val="18"/>
          <w:u w:val="single" w:color="auto"/>
          <w:color w:val="auto"/>
        </w:rPr>
        <w:t>Section 12.13</w:t>
      </w:r>
      <w:r>
        <w:rPr>
          <w:rFonts w:ascii="Arial" w:cs="Arial" w:eastAsia="Arial" w:hAnsi="Arial"/>
          <w:sz w:val="18"/>
          <w:szCs w:val="18"/>
          <w:color w:val="auto"/>
        </w:rPr>
        <w:t xml:space="preserve">). Any of the terms or provisions hereof may be waived in writing at any time by the Party that is entitled to the benefits of such waived terms or provisions. In addition, any amendment or waiver of </w:t>
      </w:r>
      <w:r>
        <w:rPr>
          <w:rFonts w:ascii="Arial" w:cs="Arial" w:eastAsia="Arial" w:hAnsi="Arial"/>
          <w:sz w:val="18"/>
          <w:szCs w:val="18"/>
          <w:u w:val="single" w:color="auto"/>
          <w:color w:val="auto"/>
        </w:rPr>
        <w:t>Section 12.08(a)</w:t>
      </w:r>
      <w:r>
        <w:rPr>
          <w:rFonts w:ascii="Arial" w:cs="Arial" w:eastAsia="Arial" w:hAnsi="Arial"/>
          <w:sz w:val="18"/>
          <w:szCs w:val="18"/>
          <w:color w:val="auto"/>
        </w:rPr>
        <w:t xml:space="preserve"> shall require the approval specified therein.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72"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held or acquired by an Investor or its respective Affiliates (which for purposes of this Section ‎13.09 shall include, with regard to any Investor that is a natural person, such Person’s (a) family members, or (b) family-related investment vehicles or trusts for the benefit of such Person or such Person’s family members or estate) shall be aggregated together for the purpose of determining the availability of any rights under this Agreement, and such Affiliates may apportion such rights as among themselves in any manner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-542290</wp:posOffset>
            </wp:positionV>
            <wp:extent cx="698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7" w:name="page248"/>
    <w:bookmarkEnd w:id="2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 xml:space="preserve">. The Company hereby agrees and acknowledges that the Investors are in the investment business and as such invest in (directly or indirectly, including providing financing to) or do business with competitors or potential competitors of the Company, or entities engaged in business similar to or the same as the Company (as currently conducted or as currently proposed to be conducted). The Company hereby agrees that (a) the execution of this Agreement shall not restrict or preclude such activities, and (b) to the maximum extent permitted under applicable Law, each Investor shall not be liable to the Company for any claim arising out of, or based upon, (i) making available any loans or financing by such Investor to any entity competitive with the Company, (ii) the investment by such Investor in any entity competitive with the Company, or (iii) actions taken by any partner, officer or other Representative of such Investor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80" w:lineRule="exact"/>
        <w:rPr>
          <w:sz w:val="20"/>
          <w:szCs w:val="20"/>
          <w:color w:val="auto"/>
        </w:rPr>
      </w:pPr>
    </w:p>
    <w:p>
      <w:pPr>
        <w:ind w:left="300" w:right="479"/>
        <w:spacing w:after="0" w:line="253"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Existing Stockholders Agreement</w:t>
      </w:r>
      <w:r>
        <w:rPr>
          <w:rFonts w:ascii="Arial" w:cs="Arial" w:eastAsia="Arial" w:hAnsi="Arial"/>
          <w:sz w:val="18"/>
          <w:szCs w:val="18"/>
          <w:color w:val="auto"/>
        </w:rPr>
        <w:t>. The Company acknowledges and agrees that immediately following the consummation of the transactions contemplated by the Exchange Agreement, the Stockholders Agreement will terminate in accordance with its terms.</w:t>
      </w:r>
    </w:p>
    <w:p>
      <w:pPr>
        <w:spacing w:after="0" w:line="61" w:lineRule="exact"/>
        <w:rPr>
          <w:sz w:val="20"/>
          <w:szCs w:val="20"/>
          <w:color w:val="auto"/>
        </w:rPr>
      </w:pPr>
    </w:p>
    <w:p>
      <w:pPr>
        <w:ind w:left="300" w:right="739"/>
        <w:spacing w:after="0" w:line="247"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Costs and Expenses</w:t>
      </w:r>
      <w:r>
        <w:rPr>
          <w:rFonts w:ascii="Arial" w:cs="Arial" w:eastAsia="Arial" w:hAnsi="Arial"/>
          <w:sz w:val="18"/>
          <w:szCs w:val="18"/>
          <w:color w:val="auto"/>
        </w:rPr>
        <w:t>. Except to the extent set forth in Section 12.4 of the Existing Credit Agreement, all costs and expenses incurred in connection with this Agreement and the consummation of the transactions contemplated hereby shall be paid by the Party incurring such expenses.</w:t>
      </w:r>
    </w:p>
    <w:p>
      <w:pPr>
        <w:spacing w:after="0" w:line="66"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automatically without any action by or on behalf of any Party or any other Person upon the earliest to occur of any of the following events:</w:t>
      </w:r>
    </w:p>
    <w:p>
      <w:pPr>
        <w:spacing w:after="0" w:line="46"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(a)  each of (i) Nexus, (ii) Story3; and (iii) the Founder ceasing to have any Director designation rights under Section ‎12.02;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-44450</wp:posOffset>
            </wp:positionV>
            <wp:extent cx="6985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unanimous written consent of the Parties;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the valid termination of the Exchange Agreement in accordance with its terms.</w:t>
      </w:r>
    </w:p>
    <w:p>
      <w:pPr>
        <w:spacing w:after="0" w:line="104" w:lineRule="exact"/>
        <w:rPr>
          <w:sz w:val="20"/>
          <w:szCs w:val="20"/>
          <w:color w:val="auto"/>
        </w:rPr>
      </w:pPr>
    </w:p>
    <w:p>
      <w:pPr>
        <w:ind w:left="300" w:right="339"/>
        <w:spacing w:after="0" w:line="241" w:lineRule="auto"/>
        <w:rPr>
          <w:sz w:val="20"/>
          <w:szCs w:val="20"/>
          <w:color w:val="auto"/>
        </w:rPr>
      </w:pPr>
      <w:r>
        <w:rPr>
          <w:rFonts w:ascii="Arial" w:cs="Arial" w:eastAsia="Arial" w:hAnsi="Arial"/>
          <w:sz w:val="18"/>
          <w:szCs w:val="18"/>
          <w:color w:val="auto"/>
        </w:rPr>
        <w:t>For the avoidance of doubt, the rights and obligations of (A) Nexus under this Agreement shall terminate upon Nexus ceasing to have any Director designation rights under Section 12‎.02(a), (B) Story3 under this Agreement shall terminate upon Story3 ceasing to have any Director designation rights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-143510</wp:posOffset>
            </wp:positionV>
            <wp:extent cx="8382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ind w:left="300" w:right="539"/>
        <w:spacing w:after="0" w:line="237" w:lineRule="auto"/>
        <w:rPr>
          <w:sz w:val="20"/>
          <w:szCs w:val="20"/>
          <w:color w:val="auto"/>
        </w:rPr>
      </w:pPr>
      <w:r>
        <w:rPr>
          <w:rFonts w:ascii="Arial" w:cs="Arial" w:eastAsia="Arial" w:hAnsi="Arial"/>
          <w:sz w:val="18"/>
          <w:szCs w:val="18"/>
          <w:color w:val="auto"/>
        </w:rPr>
        <w:t>Section ‎12.02(b), (C) the Founder under this Agreement shall terminate upon the Founder ceasing to have any Director designation rights under Section ‎12.02(c), and (D) CHS under this Agreement shall terminate upon CHS ceasing to hold at least five percent (5%) of all issued and outstanding shares of Class A Common Stock. Notwithstanding the foregoing, nothing in this Agreement shall modify, limit or otherwise affect, in any way, any and all rights to indemnification, exculpation and contribution owed to any of the Parties, to the extent arising out of or relating to events occurring prior to the date of termination of this Agreement or the date the rights and obligations of such Party under this Agreement terminates in accordance with this Section ‎13.13.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-925830</wp:posOffset>
            </wp:positionV>
            <wp:extent cx="8382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-796925</wp:posOffset>
            </wp:positionV>
            <wp:extent cx="8318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-25400</wp:posOffset>
            </wp:positionV>
            <wp:extent cx="698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8" w:name="page249"/>
    <w:bookmarkEnd w:id="2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759"/>
        <w:spacing w:after="0" w:line="271" w:lineRule="auto"/>
        <w:rPr>
          <w:sz w:val="20"/>
          <w:szCs w:val="20"/>
          <w:color w:val="auto"/>
        </w:rPr>
      </w:pPr>
      <w:r>
        <w:rPr>
          <w:rFonts w:ascii="Arial" w:cs="Arial" w:eastAsia="Arial" w:hAnsi="Arial"/>
          <w:sz w:val="18"/>
          <w:szCs w:val="18"/>
          <w:color w:val="auto"/>
        </w:rPr>
        <w:t>IN WITNESS WHEREOF, the Parties have duly executed and delivered this Agreement, all as of the Effective Date.</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RENT THE RUNWAY, INC.</w:t>
      </w:r>
    </w:p>
    <w:p>
      <w:pPr>
        <w:spacing w:after="0" w:line="185"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Siddharth Thacker</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Siddharth Thacker</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CHS US INVESTMENTS LLC</w:t>
      </w:r>
    </w:p>
    <w:p>
      <w:pPr>
        <w:spacing w:after="0" w:line="185"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CHS GP LP, as manager</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CHS UGP LLC, as general partner</w:t>
            </w:r>
          </w:p>
        </w:tc>
      </w:tr>
      <w:tr>
        <w:trPr>
          <w:trHeight w:val="783"/>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Brady Schuck</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Brady Schuck</w:t>
            </w: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GATEWAY RUNWAY, LLC</w:t>
      </w:r>
    </w:p>
    <w:p>
      <w:pPr>
        <w:spacing w:after="0" w:line="200" w:lineRule="exact"/>
        <w:rPr>
          <w:sz w:val="20"/>
          <w:szCs w:val="20"/>
          <w:color w:val="auto"/>
        </w:rPr>
      </w:pPr>
    </w:p>
    <w:p>
      <w:pPr>
        <w:spacing w:after="0" w:line="376"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Damian Giangiacomo</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Damian Giangiacomo</w:t>
            </w: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 RR AGGREGATOR, LLC</w:t>
      </w:r>
    </w:p>
    <w:p>
      <w:pPr>
        <w:spacing w:after="0" w:line="200" w:lineRule="exact"/>
        <w:rPr>
          <w:sz w:val="20"/>
          <w:szCs w:val="20"/>
          <w:color w:val="auto"/>
        </w:rPr>
      </w:pPr>
    </w:p>
    <w:p>
      <w:pPr>
        <w:spacing w:after="0" w:line="376"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Peter Comisar</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4"/>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Peter Comisar</w:t>
            </w: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Investor Rights Agreement</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9" w:name="page250"/>
    <w:bookmarkEnd w:id="2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JENNIFER Y. HYMAN</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Benjamin Stauffer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BENJAMIN STAUFFER</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JYH 2021 CHILDREN’S TRUST DTD 10/12/21</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JUSTIN FINNEGAN TTEE</w:t>
      </w: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5"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BS 2021 FAMILY TRUST DTD 10/12/21 JUSTIN</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FINNEGAN TTEE</w:t>
      </w: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Linda S.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JYH 2012 ARTICLE 2ND TRUST DTD 1/23/20</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LINDA HYMAN &amp; JUSTINE FINNEGAN TTEES</w:t>
      </w: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Linda S.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LINDA S HYMAN &amp; DOV I HYMAN JTWROS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Investor Rights Agreement</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Investors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86360</wp:posOffset>
            </wp:positionV>
            <wp:extent cx="5349240" cy="21132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49240" cy="2113280"/>
                    </a:xfrm>
                    <a:prstGeom prst="rect">
                      <a:avLst/>
                    </a:prstGeom>
                    <a:noFill/>
                  </pic:spPr>
                </pic:pic>
              </a:graphicData>
            </a:graphic>
          </wp:anchor>
        </w:drawing>
      </w:r>
    </w:p>
    <w:p>
      <w:pPr>
        <w:spacing w:after="0" w:line="219" w:lineRule="exact"/>
        <w:rPr>
          <w:sz w:val="20"/>
          <w:szCs w:val="20"/>
          <w:color w:val="auto"/>
        </w:rPr>
      </w:pPr>
    </w:p>
    <w:p>
      <w:pPr>
        <w:ind w:left="440"/>
        <w:spacing w:after="0"/>
        <w:tabs>
          <w:tab w:leader="none" w:pos="44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Director</w:t>
      </w:r>
    </w:p>
    <w:p>
      <w:pPr>
        <w:spacing w:after="0" w:line="51" w:lineRule="exact"/>
        <w:rPr>
          <w:sz w:val="20"/>
          <w:szCs w:val="20"/>
          <w:color w:val="auto"/>
        </w:rPr>
      </w:pPr>
    </w:p>
    <w:p>
      <w:pPr>
        <w:ind w:left="860" w:hanging="334"/>
        <w:spacing w:after="0"/>
        <w:tabs>
          <w:tab w:leader="none" w:pos="860" w:val="left"/>
        </w:tabs>
        <w:numPr>
          <w:ilvl w:val="0"/>
          <w:numId w:val="75"/>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368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273685"/>
                    </a:xfrm>
                    <a:prstGeom prst="rect">
                      <a:avLst/>
                    </a:prstGeom>
                    <a:noFill/>
                    <a:ln>
                      <a:noFill/>
                    </a:ln>
                  </pic:spPr>
                </pic:pic>
              </a:graphicData>
            </a:graphic>
          </wp:inline>
        </w:drawing>
      </w:r>
      <w:r>
        <w:rPr>
          <w:rFonts w:ascii="Arial" w:cs="Arial" w:eastAsia="Arial" w:hAnsi="Arial"/>
          <w:sz w:val="18"/>
          <w:szCs w:val="18"/>
          <w:color w:val="auto"/>
        </w:rPr>
        <w:t xml:space="preserve"> Jennifer Hyman</w:t>
      </w:r>
    </w:p>
    <w:p>
      <w:pPr>
        <w:spacing w:after="0" w:line="42" w:lineRule="exact"/>
        <w:rPr>
          <w:sz w:val="20"/>
          <w:szCs w:val="20"/>
          <w:color w:val="auto"/>
        </w:rPr>
      </w:pPr>
    </w:p>
    <w:p>
      <w:pPr>
        <w:ind w:left="1000" w:right="599" w:hanging="474"/>
        <w:spacing w:after="0" w:line="271"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Founder Director selected by the Founder prior to the Exchange Closing and approved by the Investor Majority</w:t>
      </w:r>
    </w:p>
    <w:p>
      <w:pPr>
        <w:spacing w:after="0" w:line="6" w:lineRule="exact"/>
        <w:rPr>
          <w:sz w:val="20"/>
          <w:szCs w:val="20"/>
          <w:color w:val="auto"/>
        </w:rPr>
      </w:pPr>
    </w:p>
    <w:p>
      <w:pPr>
        <w:ind w:left="860" w:hanging="334"/>
        <w:spacing w:after="0"/>
        <w:tabs>
          <w:tab w:leader="none" w:pos="860" w:val="left"/>
        </w:tabs>
        <w:numPr>
          <w:ilvl w:val="0"/>
          <w:numId w:val="77"/>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Damian Giangiacomo (Nexus Director)</w:t>
      </w:r>
    </w:p>
    <w:p>
      <w:pPr>
        <w:spacing w:after="0" w:line="42" w:lineRule="exact"/>
        <w:rPr>
          <w:sz w:val="20"/>
          <w:szCs w:val="20"/>
          <w:color w:val="auto"/>
        </w:rPr>
      </w:pPr>
    </w:p>
    <w:p>
      <w:pPr>
        <w:ind w:left="1000" w:hanging="474"/>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Peter Comisar (Story3 Director)</w:t>
      </w:r>
    </w:p>
    <w:p>
      <w:pPr>
        <w:spacing w:after="0" w:line="64" w:lineRule="exact"/>
        <w:rPr>
          <w:sz w:val="20"/>
          <w:szCs w:val="20"/>
          <w:color w:val="auto"/>
        </w:rPr>
      </w:pPr>
    </w:p>
    <w:p>
      <w:pPr>
        <w:ind w:left="860" w:hanging="33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368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273685"/>
                    </a:xfrm>
                    <a:prstGeom prst="rect">
                      <a:avLst/>
                    </a:prstGeom>
                    <a:noFill/>
                    <a:ln>
                      <a:noFill/>
                    </a:ln>
                  </pic:spPr>
                </pic:pic>
              </a:graphicData>
            </a:graphic>
          </wp:inline>
        </w:drawing>
      </w:r>
      <w:r>
        <w:rPr>
          <w:rFonts w:ascii="Arial" w:cs="Arial" w:eastAsia="Arial" w:hAnsi="Arial"/>
          <w:sz w:val="18"/>
          <w:szCs w:val="18"/>
          <w:color w:val="auto"/>
        </w:rPr>
        <w:t xml:space="preserve"> Independent Director to be selected by the Investor Majority prior to the Exchange Closing</w:t>
      </w:r>
    </w:p>
    <w:p>
      <w:pPr>
        <w:spacing w:after="0" w:line="42" w:lineRule="exact"/>
        <w:rPr>
          <w:sz w:val="20"/>
          <w:szCs w:val="20"/>
          <w:color w:val="auto"/>
        </w:rPr>
      </w:pPr>
    </w:p>
    <w:p>
      <w:pPr>
        <w:ind w:left="1000" w:hanging="474"/>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Independent Director to be selected by the Investor Majority prior to the Exchange Closing</w:t>
      </w:r>
    </w:p>
    <w:p>
      <w:pPr>
        <w:spacing w:after="0" w:line="184"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Independent Director to be selected by the Investor Majority prior to the Exchange Closing</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2" w:name="page253"/>
    <w:bookmarkEnd w:id="2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ANNEX A</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ind w:left="3740"/>
        <w:spacing w:after="0"/>
        <w:rPr>
          <w:sz w:val="20"/>
          <w:szCs w:val="20"/>
          <w:color w:val="auto"/>
        </w:rPr>
      </w:pPr>
      <w:r>
        <w:rPr>
          <w:rFonts w:ascii="Arial" w:cs="Arial" w:eastAsia="Arial" w:hAnsi="Arial"/>
          <w:sz w:val="18"/>
          <w:szCs w:val="18"/>
          <w:color w:val="auto"/>
        </w:rPr>
        <w:t>Plan of Distribution</w:t>
      </w:r>
    </w:p>
    <w:p>
      <w:pPr>
        <w:spacing w:after="0" w:line="86" w:lineRule="exact"/>
        <w:rPr>
          <w:sz w:val="20"/>
          <w:szCs w:val="20"/>
          <w:color w:val="auto"/>
        </w:rPr>
      </w:pPr>
    </w:p>
    <w:p>
      <w:pPr>
        <w:ind w:left="300" w:right="579"/>
        <w:spacing w:after="0" w:line="261" w:lineRule="auto"/>
        <w:rPr>
          <w:sz w:val="20"/>
          <w:szCs w:val="20"/>
          <w:color w:val="auto"/>
        </w:rPr>
      </w:pPr>
      <w:r>
        <w:rPr>
          <w:rFonts w:ascii="Arial" w:cs="Arial" w:eastAsia="Arial" w:hAnsi="Arial"/>
          <w:sz w:val="17"/>
          <w:szCs w:val="17"/>
          <w:color w:val="auto"/>
        </w:rPr>
        <w:t>Each Selling Stockholder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58" w:lineRule="exact"/>
        <w:rPr>
          <w:sz w:val="20"/>
          <w:szCs w:val="20"/>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dealer solicits purchasers;</w:t>
      </w:r>
    </w:p>
    <w:p>
      <w:pPr>
        <w:spacing w:after="0" w:line="103" w:lineRule="exact"/>
        <w:rPr>
          <w:rFonts w:ascii="Arial" w:cs="Arial" w:eastAsia="Arial" w:hAnsi="Arial"/>
          <w:sz w:val="18"/>
          <w:szCs w:val="18"/>
          <w:color w:val="auto"/>
        </w:rPr>
      </w:pPr>
    </w:p>
    <w:p>
      <w:pPr>
        <w:ind w:left="1000" w:right="919" w:hanging="348"/>
        <w:spacing w:after="0" w:line="271"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block trades in which the broker dealer will attempt to sell the securities as agent but may position and resell a portion of the block as principal to facilitate the transaction;</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purchases by a broker dealer as principal and resale by the broker dealer for its account;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03" w:lineRule="exact"/>
        <w:rPr>
          <w:rFonts w:ascii="Arial" w:cs="Arial" w:eastAsia="Arial" w:hAnsi="Arial"/>
          <w:sz w:val="18"/>
          <w:szCs w:val="18"/>
          <w:color w:val="auto"/>
        </w:rPr>
      </w:pPr>
    </w:p>
    <w:p>
      <w:pPr>
        <w:ind w:left="1000" w:right="359" w:hanging="348"/>
        <w:spacing w:after="0" w:line="271"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transactions through broker dealers that agree with the Selling Stockholders to sell a specified number of such securities at a stipulated price per security;</w:t>
      </w:r>
    </w:p>
    <w:p>
      <w:pPr>
        <w:spacing w:after="0" w:line="45" w:lineRule="exact"/>
        <w:rPr>
          <w:rFonts w:ascii="Arial" w:cs="Arial" w:eastAsia="Arial" w:hAnsi="Arial"/>
          <w:sz w:val="18"/>
          <w:szCs w:val="18"/>
          <w:color w:val="auto"/>
        </w:rPr>
      </w:pPr>
    </w:p>
    <w:p>
      <w:pPr>
        <w:ind w:left="1000" w:right="579" w:hanging="348"/>
        <w:spacing w:after="0" w:line="271"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04"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61" w:lineRule="exact"/>
        <w:rPr>
          <w:sz w:val="20"/>
          <w:szCs w:val="20"/>
          <w:color w:val="auto"/>
        </w:rPr>
      </w:pPr>
    </w:p>
    <w:p>
      <w:pPr>
        <w:ind w:left="300" w:right="439"/>
        <w:spacing w:after="0" w:line="259" w:lineRule="auto"/>
        <w:rPr>
          <w:sz w:val="20"/>
          <w:szCs w:val="20"/>
          <w:color w:val="auto"/>
        </w:rPr>
      </w:pPr>
      <w:r>
        <w:rPr>
          <w:rFonts w:ascii="Arial" w:cs="Arial" w:eastAsia="Arial" w:hAnsi="Arial"/>
          <w:sz w:val="17"/>
          <w:szCs w:val="17"/>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57"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75"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66" w:lineRule="exact"/>
        <w:rPr>
          <w:sz w:val="20"/>
          <w:szCs w:val="20"/>
          <w:color w:val="auto"/>
        </w:rPr>
      </w:pPr>
    </w:p>
    <w:p>
      <w:pPr>
        <w:jc w:val="both"/>
        <w:ind w:left="300" w:right="719"/>
        <w:spacing w:after="0" w:line="253" w:lineRule="auto"/>
        <w:rPr>
          <w:sz w:val="20"/>
          <w:szCs w:val="20"/>
          <w:color w:val="auto"/>
        </w:rPr>
      </w:pPr>
      <w:r>
        <w:rPr>
          <w:rFonts w:ascii="Arial" w:cs="Arial" w:eastAsia="Arial" w:hAnsi="Arial"/>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61" w:lineRule="exact"/>
        <w:rPr>
          <w:sz w:val="20"/>
          <w:szCs w:val="20"/>
          <w:color w:val="auto"/>
        </w:rPr>
      </w:pPr>
    </w:p>
    <w:p>
      <w:pPr>
        <w:ind w:left="300" w:right="339"/>
        <w:spacing w:after="0" w:line="254" w:lineRule="auto"/>
        <w:rPr>
          <w:sz w:val="20"/>
          <w:szCs w:val="20"/>
          <w:color w:val="auto"/>
        </w:rPr>
      </w:pPr>
      <w:r>
        <w:rPr>
          <w:rFonts w:ascii="Arial" w:cs="Arial" w:eastAsia="Arial" w:hAnsi="Arial"/>
          <w:sz w:val="17"/>
          <w:szCs w:val="17"/>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w:t>
      </w:r>
    </w:p>
    <w:p>
      <w:pPr>
        <w:ind w:left="300" w:right="359" w:hanging="8"/>
        <w:spacing w:after="0" w:line="238" w:lineRule="auto"/>
        <w:tabs>
          <w:tab w:leader="none" w:pos="5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73"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4" w:name="page255"/>
    <w:bookmarkEnd w:id="2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OFFERING BACKSTOP AGREEMENT</w:t>
      </w:r>
    </w:p>
    <w:p>
      <w:pPr>
        <w:spacing w:after="0" w:line="104" w:lineRule="exact"/>
        <w:rPr>
          <w:sz w:val="20"/>
          <w:szCs w:val="20"/>
          <w:color w:val="auto"/>
        </w:rPr>
      </w:pPr>
    </w:p>
    <w:p>
      <w:pPr>
        <w:ind w:left="300" w:right="319"/>
        <w:spacing w:after="0" w:line="259" w:lineRule="auto"/>
        <w:rPr>
          <w:sz w:val="20"/>
          <w:szCs w:val="20"/>
          <w:color w:val="auto"/>
        </w:rPr>
      </w:pPr>
      <w:r>
        <w:rPr>
          <w:rFonts w:ascii="Arial" w:cs="Arial" w:eastAsia="Arial" w:hAnsi="Arial"/>
          <w:sz w:val="17"/>
          <w:szCs w:val="17"/>
          <w:color w:val="auto"/>
        </w:rPr>
        <w:t>This RIGHTS OFFERING BACKSTOP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August 20, 2025, is made and entered into by and among Rent the Runway,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CHS US Investments LLC, a Cayman limited liability company (“</w:t>
      </w:r>
      <w:r>
        <w:rPr>
          <w:rFonts w:ascii="Arial" w:cs="Arial" w:eastAsia="Arial" w:hAnsi="Arial"/>
          <w:sz w:val="17"/>
          <w:szCs w:val="17"/>
          <w:u w:val="single" w:color="auto"/>
          <w:color w:val="auto"/>
        </w:rPr>
        <w:t>CHS</w:t>
      </w:r>
      <w:r>
        <w:rPr>
          <w:rFonts w:ascii="Arial" w:cs="Arial" w:eastAsia="Arial" w:hAnsi="Arial"/>
          <w:sz w:val="17"/>
          <w:szCs w:val="17"/>
          <w:color w:val="auto"/>
        </w:rPr>
        <w:t>”), Gateway Runway, LLC, a Delaware limited liability company (“</w:t>
      </w:r>
      <w:r>
        <w:rPr>
          <w:rFonts w:ascii="Arial" w:cs="Arial" w:eastAsia="Arial" w:hAnsi="Arial"/>
          <w:sz w:val="17"/>
          <w:szCs w:val="17"/>
          <w:u w:val="single" w:color="auto"/>
          <w:color w:val="auto"/>
        </w:rPr>
        <w:t>Nexus</w:t>
      </w:r>
      <w:r>
        <w:rPr>
          <w:rFonts w:ascii="Arial" w:cs="Arial" w:eastAsia="Arial" w:hAnsi="Arial"/>
          <w:sz w:val="17"/>
          <w:szCs w:val="17"/>
          <w:color w:val="auto"/>
        </w:rPr>
        <w:t>”), and S3 RR Aggregator, LLC, a Delaware limited liability company (“</w:t>
      </w:r>
      <w:r>
        <w:rPr>
          <w:rFonts w:ascii="Arial" w:cs="Arial" w:eastAsia="Arial" w:hAnsi="Arial"/>
          <w:sz w:val="17"/>
          <w:szCs w:val="17"/>
          <w:u w:val="single" w:color="auto"/>
          <w:color w:val="auto"/>
        </w:rPr>
        <w:t>Story3</w:t>
      </w:r>
      <w:r>
        <w:rPr>
          <w:rFonts w:ascii="Arial" w:cs="Arial" w:eastAsia="Arial" w:hAnsi="Arial"/>
          <w:sz w:val="17"/>
          <w:szCs w:val="17"/>
          <w:color w:val="auto"/>
        </w:rPr>
        <w:t>” and, together with CHS and Nexus, the “</w:t>
      </w:r>
      <w:r>
        <w:rPr>
          <w:rFonts w:ascii="Arial" w:cs="Arial" w:eastAsia="Arial" w:hAnsi="Arial"/>
          <w:sz w:val="17"/>
          <w:szCs w:val="17"/>
          <w:u w:val="single" w:color="auto"/>
          <w:color w:val="auto"/>
        </w:rPr>
        <w:t>Backstop Purchasers</w:t>
      </w:r>
      <w:r>
        <w:rPr>
          <w:rFonts w:ascii="Arial" w:cs="Arial" w:eastAsia="Arial" w:hAnsi="Arial"/>
          <w:sz w:val="17"/>
          <w:szCs w:val="17"/>
          <w:color w:val="auto"/>
        </w:rPr>
        <w:t>”). The Company and the Backstop Purchasers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57"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WHEREAS, substantially concurrently with the execution and delivery of this Agreement, the Company and CHS have entered into the Exchange Agreement (as it may be amended from time to time in accordance with its terms,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among other things, on the terms and subject to the conditions contained therein, CHS will contribute, transfer, assign and convey to the Company all of its rights, title and interest in, to and under the Equity Exchange Obligations in exchange for the Exchange Stock;</w:t>
      </w:r>
    </w:p>
    <w:p>
      <w:pPr>
        <w:spacing w:after="0" w:line="71"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WHEREAS, immediately following the consummation of the transactions contemplated by the Exchange Agreement, CHS will sell a portion of Exchange Stock to Nexus and Story3 on the terms and subject to the conditions of the Debt and Equity Purchase Agreement, dated as of the date hereof, by and among CHS, Nexus and Story3;</w:t>
      </w:r>
    </w:p>
    <w:p>
      <w:pPr>
        <w:spacing w:after="0" w:line="66"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auto"/>
        </w:rPr>
        <w:t>WHEREAS, capitalized terms used and not otherwise defined herein have the meanings ascribed to them in the Exchange Agreement;</w:t>
      </w:r>
    </w:p>
    <w:p>
      <w:pPr>
        <w:spacing w:after="0" w:line="46"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WHEREAS, the Company has proposed to distribute, at no charge, to holders of record of its Class A Common Stock, par value $0.001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Class B Common Stock, par value $0.001 per share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as of the close of business on the record date established in the Rights Offering Registration Statement (the “</w:t>
      </w:r>
      <w:r>
        <w:rPr>
          <w:rFonts w:ascii="Arial" w:cs="Arial" w:eastAsia="Arial" w:hAnsi="Arial"/>
          <w:sz w:val="18"/>
          <w:szCs w:val="18"/>
          <w:u w:val="single" w:color="auto"/>
          <w:color w:val="auto"/>
        </w:rPr>
        <w:t>Record Date</w:t>
      </w:r>
      <w:r>
        <w:rPr>
          <w:rFonts w:ascii="Arial" w:cs="Arial" w:eastAsia="Arial" w:hAnsi="Arial"/>
          <w:sz w:val="18"/>
          <w:szCs w:val="18"/>
          <w:color w:val="auto"/>
        </w:rPr>
        <w:t>”), transferable rights (the “</w:t>
      </w:r>
      <w:r>
        <w:rPr>
          <w:rFonts w:ascii="Arial" w:cs="Arial" w:eastAsia="Arial" w:hAnsi="Arial"/>
          <w:sz w:val="18"/>
          <w:szCs w:val="18"/>
          <w:u w:val="single" w:color="auto"/>
          <w:color w:val="auto"/>
        </w:rPr>
        <w:t>Rights</w:t>
      </w:r>
      <w:r>
        <w:rPr>
          <w:rFonts w:ascii="Arial" w:cs="Arial" w:eastAsia="Arial" w:hAnsi="Arial"/>
          <w:sz w:val="18"/>
          <w:szCs w:val="18"/>
          <w:color w:val="auto"/>
        </w:rPr>
        <w:t>”) to subscribe for and purchase additional shares of Class A Common Stock at a subscription price equal to $4.08, which represents a 20% discount to the Average VWAP of the Class A Common Stock over the thirty (30)-day trading period ending as of the close of business on the trading day immediately preceding the date hereof (the “</w:t>
      </w:r>
      <w:r>
        <w:rPr>
          <w:rFonts w:ascii="Arial" w:cs="Arial" w:eastAsia="Arial" w:hAnsi="Arial"/>
          <w:sz w:val="18"/>
          <w:szCs w:val="18"/>
          <w:u w:val="single" w:color="auto"/>
          <w:color w:val="auto"/>
        </w:rPr>
        <w:t>Subscription Price</w:t>
      </w:r>
      <w:r>
        <w:rPr>
          <w:rFonts w:ascii="Arial" w:cs="Arial" w:eastAsia="Arial" w:hAnsi="Arial"/>
          <w:sz w:val="18"/>
          <w:szCs w:val="18"/>
          <w:color w:val="auto"/>
        </w:rPr>
        <w:t>” and such offering, the “</w:t>
      </w:r>
      <w:r>
        <w:rPr>
          <w:rFonts w:ascii="Arial" w:cs="Arial" w:eastAsia="Arial" w:hAnsi="Arial"/>
          <w:sz w:val="18"/>
          <w:szCs w:val="18"/>
          <w:u w:val="single" w:color="auto"/>
          <w:color w:val="auto"/>
        </w:rPr>
        <w:t>Rights Offering</w:t>
      </w:r>
      <w:r>
        <w:rPr>
          <w:rFonts w:ascii="Arial" w:cs="Arial" w:eastAsia="Arial" w:hAnsi="Arial"/>
          <w:sz w:val="18"/>
          <w:szCs w:val="18"/>
          <w:color w:val="auto"/>
        </w:rPr>
        <w:t>”);</w:t>
      </w:r>
    </w:p>
    <w:p>
      <w:pPr>
        <w:spacing w:after="0" w:line="75"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WHEREAS, pursuant to the Rights Offering, each Company Stockholder of record as of the close of business on the Record Date (collectively, the “</w:t>
      </w:r>
      <w:r>
        <w:rPr>
          <w:rFonts w:ascii="Arial" w:cs="Arial" w:eastAsia="Arial" w:hAnsi="Arial"/>
          <w:sz w:val="18"/>
          <w:szCs w:val="18"/>
          <w:u w:val="single" w:color="auto"/>
          <w:color w:val="auto"/>
        </w:rPr>
        <w:t>Eligible Common Stockholders</w:t>
      </w:r>
      <w:r>
        <w:rPr>
          <w:rFonts w:ascii="Arial" w:cs="Arial" w:eastAsia="Arial" w:hAnsi="Arial"/>
          <w:sz w:val="18"/>
          <w:szCs w:val="18"/>
          <w:color w:val="auto"/>
        </w:rPr>
        <w:t>”) will receive one (1) Right for each share of Common Stock held by such Company Stockholder as of the close of business on the Record Date, and each Right will entitle the holder to purchase one (1) share of Class A Common Stock at the Subscription Price (the “</w:t>
      </w:r>
      <w:r>
        <w:rPr>
          <w:rFonts w:ascii="Arial" w:cs="Arial" w:eastAsia="Arial" w:hAnsi="Arial"/>
          <w:sz w:val="18"/>
          <w:szCs w:val="18"/>
          <w:u w:val="single" w:color="auto"/>
          <w:color w:val="auto"/>
        </w:rPr>
        <w:t>Basic Subscription Right</w:t>
      </w:r>
      <w:r>
        <w:rPr>
          <w:rFonts w:ascii="Arial" w:cs="Arial" w:eastAsia="Arial" w:hAnsi="Arial"/>
          <w:sz w:val="18"/>
          <w:szCs w:val="18"/>
          <w:color w:val="auto"/>
        </w:rPr>
        <w:t>”), subject to adjustment in accordance with the Rights Offering Registration Statement and any amendments thereto;</w:t>
      </w:r>
    </w:p>
    <w:p>
      <w:pPr>
        <w:spacing w:after="0" w:line="71"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WHEREAS, subject to and in accordance with the Rights Offering Registration Statement and any amendments thereto, each Company Stockholder who exercises his, her or its Basic Subscription Rights may subscribe for additional shares of Class A Common Stock to the extent they are available, at the Subscription Price (the “</w:t>
      </w:r>
      <w:r>
        <w:rPr>
          <w:rFonts w:ascii="Arial" w:cs="Arial" w:eastAsia="Arial" w:hAnsi="Arial"/>
          <w:sz w:val="18"/>
          <w:szCs w:val="18"/>
          <w:u w:val="single" w:color="auto"/>
          <w:color w:val="auto"/>
        </w:rPr>
        <w:t>Over-Subscription Right</w:t>
      </w:r>
      <w:r>
        <w:rPr>
          <w:rFonts w:ascii="Arial" w:cs="Arial" w:eastAsia="Arial" w:hAnsi="Arial"/>
          <w:sz w:val="18"/>
          <w:szCs w:val="18"/>
          <w:color w:val="auto"/>
        </w:rPr>
        <w:t>” and, together with the Basic Subscription Right, the “</w:t>
      </w:r>
      <w:r>
        <w:rPr>
          <w:rFonts w:ascii="Arial" w:cs="Arial" w:eastAsia="Arial" w:hAnsi="Arial"/>
          <w:sz w:val="18"/>
          <w:szCs w:val="18"/>
          <w:u w:val="single" w:color="auto"/>
          <w:color w:val="auto"/>
        </w:rPr>
        <w:t>Subscription Rights</w:t>
      </w:r>
      <w:r>
        <w:rPr>
          <w:rFonts w:ascii="Arial" w:cs="Arial" w:eastAsia="Arial" w:hAnsi="Arial"/>
          <w:sz w:val="18"/>
          <w:szCs w:val="18"/>
          <w:color w:val="auto"/>
        </w:rPr>
        <w:t>”);</w:t>
      </w:r>
    </w:p>
    <w:p>
      <w:pPr>
        <w:spacing w:after="0" w:line="68"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WHEREAS, the Company desires to receive aggregate consideration of $12,500,000 in connection with the Rights Offering;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WHEREAS, in order to provide assurance that the Company receives aggregate consideration of</w:t>
      </w:r>
    </w:p>
    <w:p>
      <w:pPr>
        <w:spacing w:after="0" w:line="14" w:lineRule="exact"/>
        <w:rPr>
          <w:sz w:val="20"/>
          <w:szCs w:val="20"/>
          <w:color w:val="auto"/>
        </w:rPr>
      </w:pPr>
    </w:p>
    <w:p>
      <w:pPr>
        <w:ind w:left="300" w:right="339"/>
        <w:spacing w:after="0" w:line="259" w:lineRule="auto"/>
        <w:rPr>
          <w:sz w:val="20"/>
          <w:szCs w:val="20"/>
          <w:color w:val="auto"/>
        </w:rPr>
      </w:pPr>
      <w:r>
        <w:rPr>
          <w:rFonts w:ascii="Arial" w:cs="Arial" w:eastAsia="Arial" w:hAnsi="Arial"/>
          <w:sz w:val="17"/>
          <w:szCs w:val="17"/>
          <w:color w:val="auto"/>
        </w:rPr>
        <w:t>$12,500,000 in connection with the Rights Offering, the Company has offered to the Backstop Purchasers the opportunity, and each Backstop Purchaser has agreed and committed, to purchase from the Company upon expiration of the Rights Offering, at the Subscription Price, shares of Class A Common Stock not otherwise sold in the Rights Offering, subject to the terms and conditions of this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5" w:name="page256"/>
    <w:bookmarkEnd w:id="2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Backstop Commitment</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(a)  Subject to the consummation of the Rights Offering, the terms and conditions of which shall be subject to the prior written approval of the Backstop Purchasers (not to be unreasonably withheld, conditioned or delayed) and shall be customary for offerings of this type, and the terms and conditions set forth herein, in order to provide assurance that the Rights Offering will be fully subscribed, each Backstop Purchaser hereby commits to purchase from the Company, and the Company hereby agrees to sell to such Backstop Purchaser, at the Subscription Price, any and all Unsubscribed Shares, in accordance with such Backstop Purchaser’s Backstop Percentage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Backstop 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Backstop Commitment of such Backstop Purchaser shall not exceed the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It is understood that the Unsubscribed Shares shall be allocated for the purposes of the Backstop Commitment among the Backstop Purchasers proportionally in accordance with their respective Backstop Percentage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Unsubscribed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means a number of shares of Class A Common Stock equal to the excess, if any, of (i) the aggregate number of shares of Class A Common Stock that may be purchased pursuant to all Rights issued by the Company in connection with the Rights Offering, less (ii) the aggregate number of shares of Class A Common Stock that are purchased by the Eligible Common Stockholders in the Rights Offering pursuant to the exercise of the Subscription Rights.</w:t>
      </w:r>
    </w:p>
    <w:p>
      <w:pPr>
        <w:spacing w:after="0" w:line="76"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(b)  Within two (2) Business Days after the closing of the Rights Offering, the Company shall issue to each Backstop Purchaser a notice (the “</w:t>
      </w:r>
      <w:r>
        <w:rPr>
          <w:rFonts w:ascii="Arial" w:cs="Arial" w:eastAsia="Arial" w:hAnsi="Arial"/>
          <w:sz w:val="18"/>
          <w:szCs w:val="18"/>
          <w:u w:val="single" w:color="auto"/>
          <w:color w:val="auto"/>
        </w:rPr>
        <w:t>Subscription Notice</w:t>
      </w:r>
      <w:r>
        <w:rPr>
          <w:rFonts w:ascii="Arial" w:cs="Arial" w:eastAsia="Arial" w:hAnsi="Arial"/>
          <w:sz w:val="18"/>
          <w:szCs w:val="18"/>
          <w:color w:val="auto"/>
        </w:rPr>
        <w:t>”) setting forth the number of shares of Class A Common Stock subscribed for in the Rights Offering pursuant to the exercise of the Subscription Rights by the Eligible Common Stockholders and the aggregate gross proceeds of the Rights Offering and, accordingly, the number of Unsubscribed Shares to be acquired by such Backstop Purchaser pursuant to the Backstop Commitment at the Rights Subscription Price. Shares of Class A Common Stock acquired by the Backstop Purchasers pursuant to the Backstop Commitment are collectively referred to as the “</w:t>
      </w:r>
      <w:r>
        <w:rPr>
          <w:rFonts w:ascii="Arial" w:cs="Arial" w:eastAsia="Arial" w:hAnsi="Arial"/>
          <w:sz w:val="18"/>
          <w:szCs w:val="18"/>
          <w:u w:val="single" w:color="auto"/>
          <w:color w:val="auto"/>
        </w:rPr>
        <w:t>Backstop Acquired Shares</w:t>
      </w:r>
      <w:r>
        <w:rPr>
          <w:rFonts w:ascii="Arial" w:cs="Arial" w:eastAsia="Arial" w:hAnsi="Arial"/>
          <w:sz w:val="18"/>
          <w:szCs w:val="18"/>
          <w:color w:val="auto"/>
        </w:rPr>
        <w:t>.”</w:t>
      </w:r>
    </w:p>
    <w:p>
      <w:pPr>
        <w:spacing w:after="0" w:line="72" w:lineRule="exact"/>
        <w:rPr>
          <w:sz w:val="20"/>
          <w:szCs w:val="20"/>
          <w:color w:val="auto"/>
        </w:rPr>
      </w:pPr>
    </w:p>
    <w:p>
      <w:pPr>
        <w:ind w:left="660" w:right="439"/>
        <w:spacing w:after="0" w:line="256" w:lineRule="auto"/>
        <w:rPr>
          <w:sz w:val="20"/>
          <w:szCs w:val="20"/>
          <w:color w:val="auto"/>
        </w:rPr>
      </w:pPr>
      <w:r>
        <w:rPr>
          <w:rFonts w:ascii="Arial" w:cs="Arial" w:eastAsia="Arial" w:hAnsi="Arial"/>
          <w:sz w:val="17"/>
          <w:szCs w:val="17"/>
          <w:color w:val="auto"/>
        </w:rPr>
        <w:t>(c)  Unless this Agreement shall have been terminated pursuant to Section 5, the closing of the Backstop Commitment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by means of a virtual closing through electronic exchange of signatures on the later of (i) immediately following the Effective Time, and (ii) the second (2nd) Business Day following the satisfaction or waiver (to the extent permitted herein and by applicable Law) of the conditions set forth in Section 4 (other than those conditions that by their nature are to be satisfied at the Closing, but subject to the satisfaction or waiver of those conditions at such time) or on such other date, time or at such place as agreed to in writing by the Company and the Backstop Purchasers (the date on which the Closing occurs,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60" w:lineRule="exact"/>
        <w:rPr>
          <w:sz w:val="20"/>
          <w:szCs w:val="20"/>
          <w:color w:val="auto"/>
        </w:rPr>
      </w:pPr>
    </w:p>
    <w:p>
      <w:pPr>
        <w:ind w:left="660" w:right="399"/>
        <w:spacing w:after="0" w:line="238" w:lineRule="auto"/>
        <w:rPr>
          <w:sz w:val="20"/>
          <w:szCs w:val="20"/>
          <w:color w:val="auto"/>
        </w:rPr>
      </w:pPr>
      <w:r>
        <w:rPr>
          <w:rFonts w:ascii="Arial" w:cs="Arial" w:eastAsia="Arial" w:hAnsi="Arial"/>
          <w:sz w:val="18"/>
          <w:szCs w:val="18"/>
          <w:color w:val="auto"/>
        </w:rPr>
        <w:t>(d)  At the Closing, the Company shall automatically (without a need for any further action on the part of, or notice to, the Company or any other Person) issue to the Backstop Purchasers the Backstop Acquired Shares via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in book entry form, free and clear of all Liens (other than any restrictions on transfer arising under applicable securities Laws), against payment by or on behalf of the Backstop Purchasers of the aggregate Rights Subscription Price for all such shares by wire transfer in immediately available funds to the account designated by the Company in writing at least two (2) Business Days prior to the Closing. In furtherance of the foregoing, the Company shall cooperate with each Backstop Purchaser and take such actions as may be necessary to (i) instruct the Company’s transfer agent to issue the Backstop Acquired Shares to each Backstop Purchaser effective as of the Closing, and (ii) deliver to each Backstop Purchaser evidence thereof in a form customarily delivered by the Company’s transfer agent.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6" w:name="page257"/>
    <w:bookmarkEnd w:id="2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719"/>
        <w:spacing w:after="0" w:line="27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by the Backstop Purchasers</w:t>
      </w:r>
      <w:r>
        <w:rPr>
          <w:rFonts w:ascii="Arial" w:cs="Arial" w:eastAsia="Arial" w:hAnsi="Arial"/>
          <w:sz w:val="18"/>
          <w:szCs w:val="18"/>
          <w:color w:val="auto"/>
        </w:rPr>
        <w:t>. Each Backstop Purchaser represents and warrants, severally and not jointly, to the Company as follows:</w:t>
      </w:r>
    </w:p>
    <w:p>
      <w:pPr>
        <w:spacing w:after="0" w:line="46" w:lineRule="exact"/>
        <w:rPr>
          <w:sz w:val="20"/>
          <w:szCs w:val="20"/>
          <w:color w:val="auto"/>
        </w:rPr>
      </w:pPr>
    </w:p>
    <w:p>
      <w:pPr>
        <w:ind w:left="660" w:right="419"/>
        <w:spacing w:after="0" w:line="23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Such Backstop Purchaser is a corporation, partnership or limited liability company duly organized, validly existing and in good standing under the Laws of its state or country of organization and has all requisite corporate, partnership or limited liability company power and authority necessary to own, lease and operate its properties and to carry on its business as presently conducted, except as has not had, and would not reasonably be expected to have, individually or in the aggregate, a material adverse effect on the ability of such Backstop Purchaser to consummate the transactions contemplated by this Agreement. Such Backstop Purchaser is duly licensed or qualified to do business as a foreign corporation, partnership or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material adverse effect on the ability of such Backstop Purchaser to consummate the transactions contemplated by this Agreement.</w:t>
      </w:r>
    </w:p>
    <w:p>
      <w:pPr>
        <w:spacing w:after="0" w:line="72"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 Such Backstop Purchaser has all requisite corporate, partnership or limited liability company (as the case may be) power and authority to execute and deliver this Agreement and to consummate the transactions contemplated hereby. The execution, delivery and performance by such Backstop Purchaser of this Agreement and the consummation by such Backstop Purchaser of the transactions contemplated hereby have been duly authorized by all necessary corporate, partnership or limited liability company (as the case may be) action on the part of such Backstop Purchaser and no other corporate, partnership or limited liability company (as the case may be) proceedings on the part of such Backstop Purchaser are necessary to approve this Agreement and to consummate the transactions contemplated hereby. Such Backstop Purchaser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w:t>
      </w:r>
    </w:p>
    <w:p>
      <w:pPr>
        <w:spacing w:after="0" w:line="72" w:lineRule="exact"/>
        <w:rPr>
          <w:sz w:val="20"/>
          <w:szCs w:val="20"/>
          <w:color w:val="auto"/>
        </w:rPr>
      </w:pPr>
    </w:p>
    <w:p>
      <w:pPr>
        <w:ind w:left="660" w:right="1079"/>
        <w:spacing w:after="0" w:line="27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Such Backstop Purchaser is an “accredited investor” as defined in Rule 501(a) under the Securities Act.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1020" w:right="299"/>
        <w:spacing w:after="0" w:line="237" w:lineRule="auto"/>
        <w:rPr>
          <w:sz w:val="20"/>
          <w:szCs w:val="20"/>
          <w:color w:val="auto"/>
        </w:rPr>
      </w:pPr>
      <w:r>
        <w:rPr>
          <w:rFonts w:ascii="Arial" w:cs="Arial" w:eastAsia="Arial" w:hAnsi="Arial"/>
          <w:sz w:val="18"/>
          <w:szCs w:val="18"/>
          <w:color w:val="auto"/>
        </w:rPr>
        <w:t xml:space="preserve">(i)  The execution, delivery and performance by such Backstop Purchaser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such Backstop Purchaser or any of its Subsidiaries or to which any of them are a party or by or to which any of their respective properties, rights or assets are bound or subject or result in the creation of any Lien upon any of the properties, rights or assets of such Backstop Purchaser or any of its Subsidiaries, other than Permitted Liens, (B) conflict with or result in any violation of any provision of such Backstop Purchaser’s organizational documents, or (C) conflict with or violate any Laws applicable to such Backstop Purchaser or any of its Subsidiaries or any of their respective properties, rights or assets, other than,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any such violation, conflict, default, termination, cancellation, acceleration, right, loss or Lien that has not had and would not reasonably be expected to have, individually or in the aggregate, a material adverse effect on the ability of such Backstop Purchaser to consummate the transactions contemplated by this Agreement.</w:t>
      </w:r>
    </w:p>
    <w:p>
      <w:pPr>
        <w:spacing w:after="0" w:line="78" w:lineRule="exact"/>
        <w:rPr>
          <w:sz w:val="20"/>
          <w:szCs w:val="20"/>
          <w:color w:val="auto"/>
        </w:rPr>
      </w:pPr>
    </w:p>
    <w:p>
      <w:pPr>
        <w:ind w:left="1020" w:right="459"/>
        <w:spacing w:after="0" w:line="253" w:lineRule="auto"/>
        <w:rPr>
          <w:sz w:val="20"/>
          <w:szCs w:val="20"/>
          <w:color w:val="auto"/>
        </w:rPr>
      </w:pPr>
      <w:r>
        <w:rPr>
          <w:rFonts w:ascii="Arial" w:cs="Arial" w:eastAsia="Arial" w:hAnsi="Arial"/>
          <w:sz w:val="18"/>
          <w:szCs w:val="18"/>
          <w:color w:val="auto"/>
        </w:rPr>
        <w:t>(ii)  No Consent of, or registration, declaration or filing with any Governmental Authority is required to be obtained or made by such Backstop Purchaser in connection with the execution, delivery and performance of this Agreement or the consummation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7" w:name="page258"/>
    <w:bookmarkEnd w:id="2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299"/>
        <w:spacing w:after="0"/>
        <w:rPr>
          <w:sz w:val="20"/>
          <w:szCs w:val="20"/>
          <w:color w:val="auto"/>
        </w:rPr>
      </w:pPr>
      <w:r>
        <w:rPr>
          <w:rFonts w:ascii="Arial" w:cs="Arial" w:eastAsia="Arial" w:hAnsi="Arial"/>
          <w:sz w:val="18"/>
          <w:szCs w:val="18"/>
          <w:color w:val="auto"/>
        </w:rPr>
        <w:t>transactions contemplated hereby, other than (A) the filing with the SEC of such reports under Sections 13 and 16 of the Exchange Act as may be required in connection with this Agreement and the transactions contemplated hereby, (B) any Consents, registrations, declarations or filings required to be obtained or made as a result of the identity, nature, business or operations of Company or any of its Subsidiaries or Affiliates, and (C) such other items that, individually or in the aggregate, have not had and would not reasonably be expected to have, individually or in the aggregate, a material adverse effect on the ability of such Backstop Purchaser to consummate the transactions contemplated by this Agreement.</w:t>
      </w:r>
    </w:p>
    <w:p>
      <w:pPr>
        <w:spacing w:after="0" w:line="72" w:lineRule="exact"/>
        <w:rPr>
          <w:sz w:val="20"/>
          <w:szCs w:val="20"/>
          <w:color w:val="auto"/>
        </w:rPr>
      </w:pPr>
    </w:p>
    <w:p>
      <w:pPr>
        <w:ind w:left="660" w:right="519"/>
        <w:spacing w:after="0" w:line="24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such Backstop Purchaser, threatened in writing against such Backstop Purchaser or any of its Subsidiaries or any of the directors or officers of such Backstop Purchaser or any of its Subsidiaries in their capacity as such, which, in any such case, has had or would reasonably be expected to have, individually or in the aggregate, a material adverse effect on the ability of such Backstop Purchaser to consummate the transactions contemplated by this Agreement.</w:t>
      </w:r>
    </w:p>
    <w:p>
      <w:pPr>
        <w:spacing w:after="0" w:line="71"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xml:space="preserve">. Such Backstop Purchaser acknowledges that (i) it has had the opportunity to review the Transaction Documents (including all exhibits and schedules thereto) and the SEC Documents and has been afforded (A) the opportunity to ask such questions as it has deemed necessary of, and to receive answers from, Representatives of the Company concerning the terms and conditions of the Backstop Commitment and the merits and risks of acquiring the Backstop Acquired Shares;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by any Person (including any of the Company’s financial advisors or other Representatives), other than such statements, representations and warranties of the Company expressly contained in this Agreement, and based on such information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made its own analysis and decision to enter into this Agreement and the transactions contemplated hereby and that it has not relied on the analysis and decision or due diligence investigation of any other Person (including any of the Company’s financial advisors or other Representatives).</w:t>
      </w:r>
    </w:p>
    <w:p>
      <w:pPr>
        <w:spacing w:after="0" w:line="76"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Financial Sophistication</w:t>
      </w:r>
      <w:r>
        <w:rPr>
          <w:rFonts w:ascii="Arial" w:cs="Arial" w:eastAsia="Arial" w:hAnsi="Arial"/>
          <w:sz w:val="18"/>
          <w:szCs w:val="18"/>
          <w:color w:val="auto"/>
        </w:rPr>
        <w:t>. Such Backstop Purchaser, either alone or together with its Representatives, has such knowledge, sophistication and experience in business and financial matters so as to be capable of evaluating the merits and risks of the transactions contemplated by this Agreement, and has so evaluated the merits and risks of such transactions, including the Backstop Commitment. Such Backstop Purchaser is able to bear the economic risk of the acquisition of the Backstop Acquired Shares and, at the present time, is able to afford a complete loss of such investment.</w:t>
      </w:r>
    </w:p>
    <w:p>
      <w:pPr>
        <w:spacing w:after="0" w:line="77" w:lineRule="exact"/>
        <w:rPr>
          <w:sz w:val="20"/>
          <w:szCs w:val="20"/>
          <w:color w:val="auto"/>
        </w:rPr>
      </w:pPr>
    </w:p>
    <w:p>
      <w:pPr>
        <w:ind w:left="660" w:right="419"/>
        <w:spacing w:after="0" w:line="253"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Investment Intent</w:t>
      </w:r>
      <w:r>
        <w:rPr>
          <w:rFonts w:ascii="Arial" w:cs="Arial" w:eastAsia="Arial" w:hAnsi="Arial"/>
          <w:sz w:val="18"/>
          <w:szCs w:val="18"/>
          <w:color w:val="auto"/>
        </w:rPr>
        <w:t>. Such Backstop Purchaser is acquiring Backstop Acquired Shares for its own account, with the intention of holding such shares for investment and with no present intention of participating, directly or indirectly, in a distribution of the shares.</w:t>
      </w:r>
    </w:p>
    <w:p>
      <w:pPr>
        <w:spacing w:after="0" w:line="61" w:lineRule="exact"/>
        <w:rPr>
          <w:sz w:val="20"/>
          <w:szCs w:val="20"/>
          <w:color w:val="auto"/>
        </w:rPr>
      </w:pPr>
    </w:p>
    <w:p>
      <w:pPr>
        <w:ind w:left="660" w:right="479"/>
        <w:spacing w:after="0" w:line="24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No Manipulation or Stabilization of Price</w:t>
      </w:r>
      <w:r>
        <w:rPr>
          <w:rFonts w:ascii="Arial" w:cs="Arial" w:eastAsia="Arial" w:hAnsi="Arial"/>
          <w:sz w:val="18"/>
          <w:szCs w:val="18"/>
          <w:color w:val="auto"/>
        </w:rPr>
        <w:t>. In connection with the Rights Offering, such Backstop Purchaser has not taken and will not take, directly or indirectly, any action designed to or that would constitute or that might reasonably be expected to cause or result in, under the Exchange Act or otherwise, stabilization or manipulation of the price of any security of the Company in order to facilitate the sale or resale of any securities of the Company, and it is not aware of any such action taken or to be taken by any Person.</w:t>
      </w:r>
    </w:p>
    <w:p>
      <w:pPr>
        <w:spacing w:after="0" w:line="71"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No Registration</w:t>
      </w:r>
      <w:r>
        <w:rPr>
          <w:rFonts w:ascii="Arial" w:cs="Arial" w:eastAsia="Arial" w:hAnsi="Arial"/>
          <w:sz w:val="18"/>
          <w:szCs w:val="18"/>
          <w:color w:val="auto"/>
        </w:rPr>
        <w:t>. Such Backstop Purchaser understands (i) that the offer and sale of the Backstop Acquired Shares to be purchased by it pursuant to the terms of this Agreement have not been registered under the Securities Act or any state securities Laws, (ii) the Company shall not be required to effect any registration or qualification of the Backstop Acquired Shares 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8" w:name="page259"/>
    <w:bookmarkEnd w:id="2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39"/>
        <w:spacing w:after="0"/>
        <w:rPr>
          <w:sz w:val="20"/>
          <w:szCs w:val="20"/>
          <w:color w:val="auto"/>
        </w:rPr>
      </w:pPr>
      <w:r>
        <w:rPr>
          <w:rFonts w:ascii="Arial" w:cs="Arial" w:eastAsia="Arial" w:hAnsi="Arial"/>
          <w:sz w:val="18"/>
          <w:szCs w:val="18"/>
          <w:color w:val="auto"/>
        </w:rPr>
        <w:t>the Securities Act or any state securities Laws, except pursuant to the Investor Rights Agreement to be entered by and between the Company and the Backstop Purchasers, (iii) that the Backstop Acquired Shares will be issued in reliance upon exemptions contained in the Securities Act or interpretations thereof and in the applicable state securities Laws, and (iv) that the Backstop Acquired Shares may not be offered for sale, sold or otherwise transferred except pursuant to a registration statement under the Securities Act or in a transaction exempt from or not subject to registration under the Securities Act. Further, the following legends (or similar language) shall be placed on such certificate(s), if any, representing the Backstop Acquired Shares:</w:t>
      </w:r>
    </w:p>
    <w:p>
      <w:pPr>
        <w:spacing w:after="0" w:line="72"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“SECURITIES ACT”), OR REGISTERED AND/OR QUALIFIED UNDER ANY STATE SECURITIES LAWS. THE SECURITIES REPRESENTED BY THIS CERTIFICATE MAY NOT BE TRANSFERRED EXCEPT (A) PURSUANT TO AN EFFECTIVE REGISTRATION STATEMENT UNDER THE SECURITIES ACT, AND REGISTRATION AND/OR QUALIFICATION UNDER APPLICABLE STATE SECURITIES LAWS, (B) IN A TRANSACTION WHICH IS EXEMPT FROM REGISTRATION UNDER THE SECURITIES ACT, AND REGISTRATION AND/OR QUALIFICATION UNDER APPLICABLE STATE SECURITIES LAWS PROVIDED THAT AT THE ISSUER’S REQUEST, THE TRANSFEROR THEREOF SHALL HAVE DELIVERED TO THE ISSUER AN OPINION OF COUNSEL (WHICH OPINION SHALL BE IN FORM, SUBSTANCE AND SCOPE REASONABLY SATISFACTORY TO THE ISSUER) TO THE EFFECT THAT SUCH SECURITIES MAY BE SOLD OR TRANSFERRED PURSUANT TO AN EXEMPTION FROM SUCH REGISTRATION, OR (C) SUCH SECURITIES MAY BE SOLD PURSUANT TO RULE 144 PROMULGATED UNDER THE SECURITIES ACT.</w:t>
      </w:r>
    </w:p>
    <w:p>
      <w:pPr>
        <w:spacing w:after="0" w:line="81"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Removal of Legends</w:t>
      </w:r>
      <w:r>
        <w:rPr>
          <w:rFonts w:ascii="Arial" w:cs="Arial" w:eastAsia="Arial" w:hAnsi="Arial"/>
          <w:sz w:val="18"/>
          <w:szCs w:val="18"/>
          <w:color w:val="auto"/>
        </w:rPr>
        <w:t>. The legend set forth in Section 2(j) above shall be removed and the Company shall issue a certificate (or book entry notation, as applicable) without such legend or any other legend to the holder of the applicable Backstop Acquired Shares upon which it is stamped or issue to such holder by electronic delivery at the applicable balance account at the DTC, if (i) such shares are registered for resale under the Securities Act and sold pursuant to the effective registration statement registering the shares for resale, (ii) such shares are sold or transferred pursuant to and in compliance with Rule 144 under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or another similar exemption from registration, or (iii) an opinion of counsel is provided to the Company, in form, substance and scope customary for opinions of counsel in comparable transactions, to the effect that such shares are eligible for sale under Rule 144, without the requirement for the Company to be in compliance with the current public information required under Rule 144 as to such securities and without volume or manner-of-sale restrictions. Certificates (or book entry notations) for Backstop Acquired Shares subject to legend removal hereunder will be transmitted by the Company to such Backstop Purchaser or may be transmitted by the Company’s transfer agent to such Backstop Purchaser by crediting the DTC account of such Backstop Purchaser’s broker or other DTC participant as directed by such Backstop Purchaser.</w:t>
      </w:r>
    </w:p>
    <w:p>
      <w:pPr>
        <w:spacing w:after="0" w:line="78" w:lineRule="exact"/>
        <w:rPr>
          <w:sz w:val="20"/>
          <w:szCs w:val="20"/>
          <w:color w:val="auto"/>
        </w:rPr>
      </w:pPr>
    </w:p>
    <w:p>
      <w:pPr>
        <w:ind w:left="660" w:right="599"/>
        <w:spacing w:after="0" w:line="253"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Sufficiency of Funds</w:t>
      </w:r>
      <w:r>
        <w:rPr>
          <w:rFonts w:ascii="Arial" w:cs="Arial" w:eastAsia="Arial" w:hAnsi="Arial"/>
          <w:sz w:val="18"/>
          <w:szCs w:val="18"/>
          <w:color w:val="auto"/>
        </w:rPr>
        <w:t>. Such Backstop Purchaser has and will have available funds sufficient to pay the aggregate Subscription Price for all Class A Common Stock to be purchased by such Backstop Purchaser hereunder.</w:t>
      </w:r>
    </w:p>
    <w:p>
      <w:pPr>
        <w:spacing w:after="0" w:line="61"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Backstop Purchaser as follows:</w:t>
      </w:r>
    </w:p>
    <w:p>
      <w:pPr>
        <w:spacing w:after="0" w:line="46" w:lineRule="exact"/>
        <w:rPr>
          <w:sz w:val="20"/>
          <w:szCs w:val="20"/>
          <w:color w:val="auto"/>
        </w:rPr>
      </w:pPr>
    </w:p>
    <w:p>
      <w:pPr>
        <w:ind w:left="660" w:right="41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Existence and Good Standing</w:t>
      </w:r>
      <w:r>
        <w:rPr>
          <w:rFonts w:ascii="Arial" w:cs="Arial" w:eastAsia="Arial" w:hAnsi="Arial"/>
          <w:sz w:val="18"/>
          <w:szCs w:val="18"/>
          <w:color w:val="auto"/>
        </w:rPr>
        <w:t>. The Company is a corporation duly incorporated, validly existing and in good standing under the Laws of the State of Delaware and 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9" w:name="page260"/>
    <w:bookmarkEnd w:id="2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19"/>
        <w:spacing w:after="0" w:line="247" w:lineRule="auto"/>
        <w:rPr>
          <w:sz w:val="20"/>
          <w:szCs w:val="20"/>
          <w:color w:val="auto"/>
        </w:rPr>
      </w:pPr>
      <w:r>
        <w:rPr>
          <w:rFonts w:ascii="Arial" w:cs="Arial" w:eastAsia="Arial" w:hAnsi="Arial"/>
          <w:sz w:val="18"/>
          <w:szCs w:val="18"/>
          <w:color w:val="auto"/>
        </w:rPr>
        <w:t>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66" w:lineRule="exact"/>
        <w:rPr>
          <w:sz w:val="20"/>
          <w:szCs w:val="20"/>
          <w:color w:val="auto"/>
        </w:rPr>
      </w:pPr>
    </w:p>
    <w:p>
      <w:pPr>
        <w:ind w:left="660" w:right="43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all requisite corporate power and authority to execute and deliver this Agreement and to consummate the transactions contemplated hereby. The execution, delivery and performance by the Company of this Agreement and the consummation by the Company of the transactions contemplated hereby have been duly authorized by all necessary corporate action on the part of the Company and, to the extent required by the rules of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subject to Stockholder Approval (as defined below), no other corporate proceedings on the part of the Company are necessary to approve this Agreement and to consummate the transactions contemplated hereby. The Company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 and, to the extent required by the rules of Nasdaq, the Stockholder Approval.</w:t>
      </w:r>
    </w:p>
    <w:p>
      <w:pPr>
        <w:spacing w:after="0" w:line="75"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Valid Issuance of Shares</w:t>
      </w:r>
      <w:r>
        <w:rPr>
          <w:rFonts w:ascii="Arial" w:cs="Arial" w:eastAsia="Arial" w:hAnsi="Arial"/>
          <w:sz w:val="18"/>
          <w:szCs w:val="18"/>
          <w:color w:val="auto"/>
        </w:rPr>
        <w:t>. All of the shares of Backstop Acquired Shares to be issued pursuant to this Agreement will be, as of the date of their issuance, duly authorized by all necessary corporate action on the part of the Company and, when issued and delivered by the Company against payment therefor as provided in this Agreement, (i) will be validly issued, fully paid and nonassessable, (ii) will be free and clear of all Liens (other than any restrictions on transfer arising under applicable securities Laws), and (iii) will not be subject to any statutory or contractual preemptive rights or other similar rights of stockholders.</w:t>
      </w:r>
    </w:p>
    <w:p>
      <w:pPr>
        <w:spacing w:after="0" w:line="77"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No Investment Company</w:t>
      </w:r>
      <w:r>
        <w:rPr>
          <w:rFonts w:ascii="Arial" w:cs="Arial" w:eastAsia="Arial" w:hAnsi="Arial"/>
          <w:sz w:val="18"/>
          <w:szCs w:val="18"/>
          <w:color w:val="auto"/>
        </w:rPr>
        <w:t>. The Company is not required to register as an “investment company” within the meaning of the Investment Company Act of 1940, as amended.</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1020" w:right="359"/>
        <w:spacing w:after="0" w:line="252" w:lineRule="auto"/>
        <w:rPr>
          <w:sz w:val="20"/>
          <w:szCs w:val="20"/>
          <w:color w:val="auto"/>
        </w:rPr>
      </w:pPr>
      <w:r>
        <w:rPr>
          <w:rFonts w:ascii="Arial" w:cs="Arial" w:eastAsia="Arial" w:hAnsi="Arial"/>
          <w:sz w:val="17"/>
          <w:szCs w:val="17"/>
          <w:color w:val="auto"/>
        </w:rPr>
        <w:t xml:space="preserve">(i)  The execution, delivery and performance by the Company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(B) conflict with or result in any violation of any provision of the Company Governing Documents or organizational documents of the Company’s Subsidiaries, or (C) conflict with or violate any Laws applicable to the Company or any of its Subsidiaries or any of their respective properties, rights or assets, other than,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any such violation, conflict, default, termination, cancellation, acceleration, right, loss or Lien that has not been or would not reasonably be expected to be, individually or in the aggregate, material to the Company and its Subsidiaries, taken as a whole.</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   Other than in connection with or in compliance with (A) the DGCL, (B) the Securities Act,</w:t>
      </w:r>
    </w:p>
    <w:p>
      <w:pPr>
        <w:spacing w:after="0" w:line="14" w:lineRule="exact"/>
        <w:rPr>
          <w:sz w:val="20"/>
          <w:szCs w:val="20"/>
          <w:color w:val="auto"/>
        </w:rPr>
      </w:pPr>
    </w:p>
    <w:p>
      <w:pPr>
        <w:ind w:left="1020" w:right="399" w:hanging="8"/>
        <w:spacing w:after="0" w:line="237" w:lineRule="auto"/>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Exchange Act, (D) other applicable state or federal securities Laws, and (E) any applicable requirements of Nasdaq, no Consent of, or registration, declaration or filing with any Governmental Authority is necessary or required, under applicable Law, to be obtained or made by or with respect to the Company or any of its Subsidiaries in connection with the execution, delivery and performance of this Agreement or the consummation of the transactions contemplated by this Agreement, except for such Consents or filings that, if not obtained or made, would not reasonably be expected to be material to the Company and its Subsidiaries, taken as a whole.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0" w:name="page261"/>
    <w:bookmarkEnd w:id="2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(a)  Each Backstop Purchaser’s obligation to purchase shares of Class A Common Stock pursuant to its Backstop Commitment is subject to the following conditions: (i) the Company shall be in compliance with its obligations under this Agreement in all material respects; (ii) the representations and warranties of the Company set forth in this Agreement shall be true and correct as of the date of this Agreement and the Closing and the failure of any such representations and warranties to be so true and correct has not resulted in, and would not reasonably be expected to result in, individually or in the aggregate, a Company Material Adverse Effect; and (iii) to the extent required by the rules of Nasdaq, the Company shall have obtained the Stockholder Approval.</w:t>
      </w:r>
    </w:p>
    <w:p>
      <w:pPr>
        <w:spacing w:after="0" w:line="72"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(b)  The Company’s obligations hereunder are subject to the following conditions: (i) the Backstop Purchasers shall be in compliance with their respective obligations under this Agreement in all material respects; (ii) the representations and warranties of the Backstop Purchasers hereunder shall be true and correct as of the date of this Agreement and the Closing and the failure of any such representations and warranties to be so true and correct has not resulted in, and would not reasonably be expected to result in, individually or in the aggregate, a material adverse effect on the ability of the Backstop Purchasers to consummate the transactions contemplated by this Agreement; and (iii) to the extent required by the rules of Nasdaq, the Company shall have obtained the Stockholder Approval.</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The Closing is further subject to the satisfaction or waiver of the following conditions:</w:t>
      </w:r>
    </w:p>
    <w:p>
      <w:pPr>
        <w:spacing w:after="0" w:line="14" w:lineRule="exact"/>
        <w:rPr>
          <w:sz w:val="20"/>
          <w:szCs w:val="20"/>
          <w:color w:val="auto"/>
        </w:rPr>
      </w:pPr>
    </w:p>
    <w:p>
      <w:pPr>
        <w:ind w:left="660" w:right="339" w:hanging="8"/>
        <w:spacing w:after="0"/>
        <w:tabs>
          <w:tab w:leader="none" w:pos="8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consummation of the Rights Offering and delivery of the Subscription Notice to the Backstop Purchasers; (ii) to the extent required by the rules of Nasdaq, stockholder approval of this Agreement and the issuance of the Backstop Acquired Shares in compliance with Nasdaq Rule 5635 (the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and (iii) the consummation of the Exchange Transactions.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04" w:lineRule="exact"/>
        <w:rPr>
          <w:sz w:val="20"/>
          <w:szCs w:val="20"/>
          <w:color w:val="auto"/>
        </w:rPr>
      </w:pPr>
    </w:p>
    <w:p>
      <w:pPr>
        <w:jc w:val="both"/>
        <w:ind w:left="660" w:right="639"/>
        <w:spacing w:after="0" w:line="25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By the Backstop Purchasers; Other</w:t>
      </w:r>
      <w:r>
        <w:rPr>
          <w:rFonts w:ascii="Arial" w:cs="Arial" w:eastAsia="Arial" w:hAnsi="Arial"/>
          <w:sz w:val="18"/>
          <w:szCs w:val="18"/>
          <w:color w:val="auto"/>
        </w:rPr>
        <w:t>. This Agreement shall terminate (i) automatically without any action by or on behalf of any Party or any other Person if the Exchange Agreement is validly terminated in accordance with its terms, or (ii) upon the Parties’ mutual written consent.</w:t>
      </w:r>
    </w:p>
    <w:p>
      <w:pPr>
        <w:spacing w:after="0" w:line="61" w:lineRule="exact"/>
        <w:rPr>
          <w:sz w:val="20"/>
          <w:szCs w:val="20"/>
          <w:color w:val="auto"/>
        </w:rPr>
      </w:pPr>
    </w:p>
    <w:p>
      <w:pPr>
        <w:ind w:left="660" w:right="519"/>
        <w:spacing w:after="0" w:line="24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The Company and the Backstop Purchasers hereby agree that any termination of this Agreement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(other than termination by one Party in the event of a willful and material breach of a Party of, or fraud with respect to, any of such Party’s representations, warranties, covenants or agreements set forth in this Agreement occurring prior to such termination), shall be without liability to the Company or any Backstop Purchaser.</w:t>
      </w:r>
    </w:p>
    <w:p>
      <w:pPr>
        <w:spacing w:after="0" w:line="68" w:lineRule="exact"/>
        <w:rPr>
          <w:sz w:val="20"/>
          <w:szCs w:val="20"/>
          <w:color w:val="auto"/>
        </w:rPr>
      </w:pPr>
    </w:p>
    <w:p>
      <w:pPr>
        <w:ind w:left="300" w:right="439"/>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Rule 144 Availability; Public Information</w:t>
      </w:r>
      <w:r>
        <w:rPr>
          <w:rFonts w:ascii="Arial" w:cs="Arial" w:eastAsia="Arial" w:hAnsi="Arial"/>
          <w:sz w:val="18"/>
          <w:szCs w:val="18"/>
          <w:color w:val="auto"/>
        </w:rPr>
        <w:t>. At all times during the period commencing on the Closing Date and ending at such time that all of the Backstop Acquired Shares can be sold without the requirement to be in compliance with Rule 144(c)(1) under the Securities Act and otherwise without restriction or limitation pursuant to Rule 144 under the Securities Act, the Company shall use its reasonable best efforts to ensure the availability of Rule 144 under the Securities Act to each Backstop Purchaser with regard to the Backstop Acquired Shares, including compliance with Rule 144(c)(1) under the Securities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1" w:name="page262"/>
    <w:bookmarkEnd w:id="2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61" w:lineRule="exact"/>
        <w:rPr>
          <w:sz w:val="20"/>
          <w:szCs w:val="20"/>
          <w:color w:val="auto"/>
        </w:rPr>
      </w:pPr>
    </w:p>
    <w:p>
      <w:pPr>
        <w:ind w:left="300" w:right="299"/>
        <w:spacing w:after="0" w:line="24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given when delivered, if delivered personally, emailed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email states that it is a notice sent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or sent by overnight courier (providing proof of delivery) to the Parties at the following addresses (or at such other address for a Party as shall be specified by like notice):</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 if to the Company, to:</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Rent the Runway, Inc.</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with copies (which shall not constitute notice) to:</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Davis Polk &amp; Wardwell LLP</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80" w:right="539" w:firstLine="3"/>
        <w:spacing w:after="0" w:line="271" w:lineRule="auto"/>
        <w:tabs>
          <w:tab w:leader="none" w:pos="9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to any Backstop Purchaser, to the address set forth next to such Backstop Purchaser’s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Specific Performance; Exclusive Jurisdiction; Waiver of Jury Trial</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72"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2" w:name="page263"/>
    <w:bookmarkEnd w:id="2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hanging="8"/>
        <w:spacing w:after="0" w:line="239" w:lineRule="auto"/>
        <w:tabs>
          <w:tab w:leader="none" w:pos="9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hereby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75" w:lineRule="exact"/>
        <w:rPr>
          <w:sz w:val="20"/>
          <w:szCs w:val="20"/>
          <w:color w:val="auto"/>
        </w:rPr>
      </w:pPr>
    </w:p>
    <w:p>
      <w:pPr>
        <w:ind w:left="660" w:right="859"/>
        <w:spacing w:after="0" w:line="247" w:lineRule="auto"/>
        <w:rPr>
          <w:sz w:val="20"/>
          <w:szCs w:val="20"/>
          <w:color w:val="auto"/>
        </w:rPr>
      </w:pPr>
      <w:r>
        <w:rPr>
          <w:rFonts w:ascii="Arial" w:cs="Arial" w:eastAsia="Arial" w:hAnsi="Arial"/>
          <w:sz w:val="18"/>
          <w:szCs w:val="18"/>
          <w:color w:val="auto"/>
        </w:rPr>
        <w:t>(c)  EACH OF THE PARTIES HEREBY KNOWINGLY, INTENTIONALLY AND VOLUNTARILY IRREVOCABLY WAIVES ANY AND ALL RIGHTS TO TRIAL BY JURY IN ANY LEGAL PROCEEDING ARISING OUT OF OR RELATED TO THIS AGREEMENT OR THE TRANSACTIONS.</w:t>
      </w:r>
    </w:p>
    <w:p>
      <w:pPr>
        <w:spacing w:after="0" w:line="66"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Amendment; Waiver; Counterparts</w:t>
      </w:r>
      <w:r>
        <w:rPr>
          <w:rFonts w:ascii="Arial" w:cs="Arial" w:eastAsia="Arial" w:hAnsi="Arial"/>
          <w:sz w:val="18"/>
          <w:szCs w:val="18"/>
          <w:color w:val="auto"/>
        </w:rPr>
        <w:t>. This Agreement may not be modified, amended or supplemented, except by written instrument executed by the Parties. Any of the terms or provisions hereof may be waived in writing at any time by the Party that is entitled to the benefits of such waived terms or provisions.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78"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collectively with the other Transaction Documents, constitutes the entire agreement, and supersedes all prior agreements and understandings, both written and oral, between the Parties with respect to the subject matter hereof and is not intended to confer upon any Person other than the Parties any rights or remedies.</w:t>
      </w:r>
    </w:p>
    <w:p>
      <w:pPr>
        <w:spacing w:after="0" w:line="66" w:lineRule="exact"/>
        <w:rPr>
          <w:sz w:val="20"/>
          <w:szCs w:val="20"/>
          <w:color w:val="auto"/>
        </w:rPr>
      </w:pPr>
    </w:p>
    <w:p>
      <w:pPr>
        <w:ind w:left="300" w:right="359"/>
        <w:spacing w:after="0" w:line="30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Expenses</w:t>
      </w:r>
      <w:r>
        <w:rPr>
          <w:rFonts w:ascii="Arial" w:cs="Arial" w:eastAsia="Arial" w:hAnsi="Arial"/>
          <w:sz w:val="17"/>
          <w:szCs w:val="17"/>
          <w:color w:val="auto"/>
        </w:rPr>
        <w:t>. Except to the extent set forth in Section 12.4 of the Existing Credit Agreement, each Party shall pay its own fees and expenses in connection with the transactions contemplated hereby.</w:t>
      </w:r>
    </w:p>
    <w:p>
      <w:pPr>
        <w:spacing w:after="0" w:line="23"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72"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all of which shall be considered one and the same agreement and shall become effective when one or more counterparts have been signed by each of the Parties and delivered to each other Party. Delivery of an executed counterpart of a signature page to this Agreement by “.pdf” format, scanned pages or electronic signature shall be effective as delivery of a manually executed counterpart to this Agreement.</w:t>
      </w:r>
    </w:p>
    <w:p>
      <w:pPr>
        <w:spacing w:after="0" w:line="6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under this Agreement shall be assigned, in whole or in part, by operation of law or otherwise by any of the Parties without the prior written consent of each other Party, except that each Backstop Purchaser may, upon prior written notice to the Company, assign, in its sole discretion, any or all of its rights, interests and obligations under this Agreement to any Affiliate of such Backstop Purchaser, so long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3" w:name="page264"/>
    <w:bookmarkEnd w:id="2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as such Backstop Purchaser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66" w:lineRule="exact"/>
        <w:rPr>
          <w:sz w:val="20"/>
          <w:szCs w:val="20"/>
          <w:color w:val="auto"/>
        </w:rPr>
      </w:pPr>
    </w:p>
    <w:p>
      <w:pPr>
        <w:ind w:left="300" w:right="399"/>
        <w:spacing w:after="0" w:line="26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Nonsurvival of Representations and Warranties</w:t>
      </w:r>
      <w:r>
        <w:rPr>
          <w:rFonts w:ascii="Arial" w:cs="Arial" w:eastAsia="Arial" w:hAnsi="Arial"/>
          <w:sz w:val="17"/>
          <w:szCs w:val="17"/>
          <w:color w:val="auto"/>
        </w:rPr>
        <w:t xml:space="preserve">. None of the representations, warranties, covenants and other agreements in this Agreement or in any instrument delivered pursuant to this Agreement, shall survive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16 shall not limit any covenant or agreement of the Parties which by its terms contemplates performance at or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-168910</wp:posOffset>
            </wp:positionV>
            <wp:extent cx="5397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4" w:name="page265"/>
    <w:bookmarkEnd w:id="2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IN WITNESS WHEREOF, the Parties have duly executed and delivered this Agreement, all as of the date first set forth above.</w:t>
      </w:r>
    </w:p>
    <w:p>
      <w:pPr>
        <w:spacing w:after="0" w:line="1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COMPANY</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RENT THE RUNWAY, INC</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tbl>
      <w:tblPr>
        <w:tblLayout w:type="fixed"/>
        <w:tblInd w:w="428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Siddharth Thacker</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5"/>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Siddharth Thacker</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34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BACKSTOP PURCHASERS</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CHS US INVESTMENTS LLC</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tbl>
      <w:tblPr>
        <w:tblLayout w:type="fixed"/>
        <w:tblInd w:w="428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CHS GP LP, as manager</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CHS UGP LLC, as general partner</w:t>
            </w:r>
          </w:p>
        </w:tc>
      </w:tr>
      <w:tr>
        <w:trPr>
          <w:trHeight w:val="783"/>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Brady Schuck</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4"/>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Brady Schuck</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47"/>
        </w:trPr>
        <w:tc>
          <w:tcPr>
            <w:tcW w:w="4320" w:type="dxa"/>
            <w:vAlign w:val="bottom"/>
            <w:gridSpan w:val="2"/>
          </w:tcPr>
          <w:p>
            <w:pPr>
              <w:spacing w:after="0"/>
              <w:rPr>
                <w:sz w:val="20"/>
                <w:szCs w:val="20"/>
                <w:color w:val="auto"/>
              </w:rPr>
            </w:pPr>
            <w:r>
              <w:rPr>
                <w:rFonts w:ascii="Arial" w:cs="Arial" w:eastAsia="Arial" w:hAnsi="Arial"/>
                <w:sz w:val="18"/>
                <w:szCs w:val="18"/>
                <w:color w:val="auto"/>
              </w:rPr>
              <w:t>GATEWAY RUNWAY, LLC</w:t>
            </w:r>
          </w:p>
        </w:tc>
      </w:t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spacing w:after="0"/>
              <w:rPr>
                <w:sz w:val="20"/>
                <w:szCs w:val="20"/>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Damian Giangiacomo</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4"/>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Damian Giangiacomo</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President</w:t>
            </w:r>
          </w:p>
        </w:tc>
      </w:tr>
      <w:tr>
        <w:trPr>
          <w:trHeight w:val="747"/>
        </w:trPr>
        <w:tc>
          <w:tcPr>
            <w:tcW w:w="4320" w:type="dxa"/>
            <w:vAlign w:val="bottom"/>
            <w:gridSpan w:val="2"/>
          </w:tcPr>
          <w:p>
            <w:pPr>
              <w:spacing w:after="0"/>
              <w:rPr>
                <w:sz w:val="20"/>
                <w:szCs w:val="20"/>
                <w:color w:val="auto"/>
              </w:rPr>
            </w:pPr>
            <w:r>
              <w:rPr>
                <w:rFonts w:ascii="Arial" w:cs="Arial" w:eastAsia="Arial" w:hAnsi="Arial"/>
                <w:sz w:val="18"/>
                <w:szCs w:val="18"/>
                <w:color w:val="auto"/>
              </w:rPr>
              <w:t>S3 RR AGGREGATOR, LLC</w:t>
            </w:r>
          </w:p>
        </w:tc>
      </w:t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spacing w:after="0"/>
              <w:rPr>
                <w:sz w:val="20"/>
                <w:szCs w:val="20"/>
                <w:color w:val="auto"/>
              </w:rPr>
            </w:pP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Peter Comisar</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5"/>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Peter Comisar</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Rights Offering Backstop Agreement]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5" w:name="page266"/>
    <w:bookmarkEnd w:id="2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Exhibit 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 </w:t>
      </w:r>
    </w:p>
    <w:p>
      <w:pPr>
        <w:jc w:val="right"/>
        <w:ind w:right="2799"/>
        <w:spacing w:after="0"/>
        <w:rPr>
          <w:sz w:val="20"/>
          <w:szCs w:val="20"/>
          <w:color w:val="auto"/>
        </w:rPr>
      </w:pPr>
      <w:r>
        <w:rPr>
          <w:rFonts w:ascii="Arial" w:cs="Arial" w:eastAsia="Arial" w:hAnsi="Arial"/>
          <w:sz w:val="18"/>
          <w:szCs w:val="18"/>
          <w:b w:val="1"/>
          <w:bCs w:val="1"/>
          <w:color w:val="auto"/>
        </w:rPr>
        <w:t>Notice Address of Backstop Purchasers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6" w:name="page267"/>
    <w:bookmarkEnd w:id="2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w:t>
      </w:r>
    </w:p>
    <w:p>
      <w:pPr>
        <w:jc w:val="center"/>
        <w:ind w:right="19"/>
        <w:spacing w:after="0"/>
        <w:rPr>
          <w:sz w:val="20"/>
          <w:szCs w:val="20"/>
          <w:color w:val="auto"/>
        </w:rPr>
      </w:pPr>
      <w:r>
        <w:rPr>
          <w:rFonts w:ascii="Arial" w:cs="Arial" w:eastAsia="Arial" w:hAnsi="Arial"/>
          <w:sz w:val="17"/>
          <w:szCs w:val="17"/>
          <w:b w:val="1"/>
          <w:bCs w:val="1"/>
          <w:color w:val="auto"/>
        </w:rPr>
        <w:t>Backstop Purchaser Backstop Commitment Allocation Schedule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7" w:name="page268"/>
    <w:bookmarkEnd w:id="2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E</w:t>
      </w:r>
    </w:p>
    <w:p>
      <w:pPr>
        <w:spacing w:after="0" w:line="131"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 xml:space="preserve">ADDED TEXT SHOWN </w:t>
      </w:r>
      <w:r>
        <w:rPr>
          <w:rFonts w:ascii="Arial" w:cs="Arial" w:eastAsia="Arial" w:hAnsi="Arial"/>
          <w:sz w:val="18"/>
          <w:szCs w:val="18"/>
          <w:b w:val="1"/>
          <w:bCs w:val="1"/>
          <w:u w:val="single" w:color="auto"/>
          <w:color w:val="0000FF"/>
        </w:rPr>
        <w:t>UNDERSCORED</w:t>
      </w:r>
    </w:p>
    <w:p>
      <w:pPr>
        <w:spacing w:after="0" w:line="14"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 xml:space="preserve">DELETED TEXT SHOWN </w:t>
      </w:r>
      <w:r>
        <w:rPr>
          <w:rFonts w:ascii="Arial" w:cs="Arial" w:eastAsia="Arial" w:hAnsi="Arial"/>
          <w:sz w:val="18"/>
          <w:szCs w:val="18"/>
          <w:color w:val="FF0000"/>
          <w:strike w:val="1"/>
        </w:rPr>
        <w:t>STRIKETHROUGH</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F0000"/>
          <w:strike w:val="1"/>
        </w:rPr>
        <w:t>TWELFTH</w:t>
      </w:r>
      <w:r>
        <w:rPr>
          <w:rFonts w:ascii="Arial" w:cs="Arial" w:eastAsia="Arial" w:hAnsi="Arial"/>
          <w:sz w:val="18"/>
          <w:szCs w:val="18"/>
          <w:b w:val="1"/>
          <w:bCs w:val="1"/>
          <w:u w:val="single" w:color="auto"/>
          <w:color w:val="0000FF"/>
        </w:rPr>
        <w:t xml:space="preserve">THIRTEENTH  </w:t>
      </w:r>
      <w:r>
        <w:rPr>
          <w:rFonts w:ascii="Arial" w:cs="Arial" w:eastAsia="Arial" w:hAnsi="Arial"/>
          <w:sz w:val="18"/>
          <w:szCs w:val="18"/>
          <w:b w:val="1"/>
          <w:bCs w:val="1"/>
          <w:color w:val="000000"/>
        </w:rPr>
        <w:t>AMENDED AND RESTATED CERTIFICATE OF INCORPORATION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ind w:left="4360"/>
        <w:spacing w:after="0" w:line="234" w:lineRule="auto"/>
        <w:rPr>
          <w:sz w:val="20"/>
          <w:szCs w:val="20"/>
          <w:color w:val="auto"/>
        </w:rPr>
      </w:pPr>
      <w:r>
        <w:rPr>
          <w:rFonts w:ascii="Arial" w:cs="Arial" w:eastAsia="Arial" w:hAnsi="Arial"/>
          <w:sz w:val="18"/>
          <w:szCs w:val="18"/>
          <w:b w:val="1"/>
          <w:bCs w:val="1"/>
          <w:color w:val="auto"/>
        </w:rPr>
        <w:t>OF</w:t>
      </w:r>
    </w:p>
    <w:p>
      <w:pPr>
        <w:ind w:left="4420"/>
        <w:spacing w:after="0" w:line="235"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RENT THE RUNWAY, INC.</w:t>
      </w:r>
    </w:p>
    <w:p>
      <w:pPr>
        <w:spacing w:after="0" w:line="86" w:lineRule="exact"/>
        <w:rPr>
          <w:sz w:val="20"/>
          <w:szCs w:val="20"/>
          <w:color w:val="auto"/>
        </w:rPr>
      </w:pPr>
    </w:p>
    <w:p>
      <w:pPr>
        <w:ind w:left="300" w:right="719"/>
        <w:spacing w:after="0" w:line="271" w:lineRule="auto"/>
        <w:rPr>
          <w:sz w:val="20"/>
          <w:szCs w:val="20"/>
          <w:color w:val="auto"/>
        </w:rPr>
      </w:pPr>
      <w:r>
        <w:rPr>
          <w:rFonts w:ascii="Arial" w:cs="Arial" w:eastAsia="Arial" w:hAnsi="Arial"/>
          <w:sz w:val="18"/>
          <w:szCs w:val="18"/>
          <w:color w:val="auto"/>
        </w:rPr>
        <w:t>Rent the Runway, Inc., a corporation organized and existing under the laws of the State of Delaware, hereby certifies as follows:</w:t>
      </w:r>
    </w:p>
    <w:p>
      <w:pPr>
        <w:spacing w:after="0" w:line="46" w:lineRule="exact"/>
        <w:rPr>
          <w:sz w:val="20"/>
          <w:szCs w:val="20"/>
          <w:color w:val="auto"/>
        </w:rPr>
      </w:pPr>
    </w:p>
    <w:p>
      <w:pPr>
        <w:ind w:left="660" w:right="399" w:hanging="8"/>
        <w:spacing w:after="0" w:line="281"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Corporation was originally incorporated pursuant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on March 3, 2009, under the name Rent the Runway, Inc.</w:t>
      </w:r>
    </w:p>
    <w:p>
      <w:pPr>
        <w:spacing w:after="0" w:line="28" w:lineRule="exact"/>
        <w:rPr>
          <w:rFonts w:ascii="Arial" w:cs="Arial" w:eastAsia="Arial" w:hAnsi="Arial"/>
          <w:sz w:val="18"/>
          <w:szCs w:val="18"/>
          <w:color w:val="auto"/>
        </w:rPr>
      </w:pPr>
    </w:p>
    <w:p>
      <w:pPr>
        <w:ind w:left="660" w:right="339" w:hanging="8"/>
        <w:spacing w:after="0" w:line="244"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Corporation is filing this </w:t>
      </w:r>
      <w:r>
        <w:rPr>
          <w:rFonts w:ascii="Arial" w:cs="Arial" w:eastAsia="Arial" w:hAnsi="Arial"/>
          <w:sz w:val="18"/>
          <w:szCs w:val="18"/>
          <w:color w:val="FF0000"/>
          <w:strike w:val="1"/>
        </w:rPr>
        <w:t>Twelfth</w:t>
      </w:r>
      <w:r>
        <w:rPr>
          <w:rFonts w:ascii="Arial" w:cs="Arial" w:eastAsia="Arial" w:hAnsi="Arial"/>
          <w:sz w:val="18"/>
          <w:szCs w:val="18"/>
          <w:b w:val="1"/>
          <w:bCs w:val="1"/>
          <w:u w:val="single" w:color="auto"/>
          <w:color w:val="0000FF"/>
        </w:rPr>
        <w:t>Thirteenth</w:t>
      </w:r>
      <w:r>
        <w:rPr>
          <w:rFonts w:ascii="Arial" w:cs="Arial" w:eastAsia="Arial" w:hAnsi="Arial"/>
          <w:sz w:val="18"/>
          <w:szCs w:val="18"/>
          <w:color w:val="auto"/>
        </w:rPr>
        <w:t xml:space="preserve"> Amended and Restated 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xml:space="preserve">”), which restates, integrates and further amends the </w:t>
      </w:r>
      <w:r>
        <w:rPr>
          <w:rFonts w:ascii="Arial" w:cs="Arial" w:eastAsia="Arial" w:hAnsi="Arial"/>
          <w:sz w:val="18"/>
          <w:szCs w:val="18"/>
          <w:color w:val="FF0000"/>
          <w:strike w:val="1"/>
        </w:rPr>
        <w:t>Eleventh</w:t>
      </w:r>
      <w:r>
        <w:rPr>
          <w:rFonts w:ascii="Arial" w:cs="Arial" w:eastAsia="Arial" w:hAnsi="Arial"/>
          <w:sz w:val="18"/>
          <w:szCs w:val="18"/>
          <w:b w:val="1"/>
          <w:bCs w:val="1"/>
          <w:u w:val="single" w:color="auto"/>
          <w:color w:val="0000FF"/>
        </w:rPr>
        <w:t>Twelfth</w:t>
      </w:r>
      <w:r>
        <w:rPr>
          <w:rFonts w:ascii="Arial" w:cs="Arial" w:eastAsia="Arial" w:hAnsi="Arial"/>
          <w:sz w:val="18"/>
          <w:szCs w:val="18"/>
          <w:color w:val="auto"/>
        </w:rPr>
        <w:t xml:space="preserve"> Amended and Restated Certificate of Incorporation, as heretofore amended (the “</w:t>
      </w:r>
      <w:r>
        <w:rPr>
          <w:rFonts w:ascii="Arial" w:cs="Arial" w:eastAsia="Arial" w:hAnsi="Arial"/>
          <w:sz w:val="18"/>
          <w:szCs w:val="18"/>
          <w:b w:val="1"/>
          <w:bCs w:val="1"/>
          <w:i w:val="1"/>
          <w:iCs w:val="1"/>
          <w:color w:val="auto"/>
        </w:rPr>
        <w:t>Prior Certificate</w:t>
      </w:r>
      <w:r>
        <w:rPr>
          <w:rFonts w:ascii="Arial" w:cs="Arial" w:eastAsia="Arial" w:hAnsi="Arial"/>
          <w:sz w:val="18"/>
          <w:szCs w:val="18"/>
          <w:color w:val="auto"/>
        </w:rPr>
        <w:t>”), and which was duly adopted by all necessary action of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and the stockholders of the Corporation in accordance with the provisions of Sections 242</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245 </w:t>
      </w:r>
      <w:r>
        <w:rPr>
          <w:rFonts w:ascii="Arial" w:cs="Arial" w:eastAsia="Arial" w:hAnsi="Arial"/>
          <w:sz w:val="18"/>
          <w:szCs w:val="18"/>
          <w:color w:val="FF0000"/>
          <w:strike w:val="1"/>
        </w:rPr>
        <w:t>and 228</w:t>
      </w:r>
      <w:r>
        <w:rPr>
          <w:rFonts w:ascii="Arial" w:cs="Arial" w:eastAsia="Arial" w:hAnsi="Arial"/>
          <w:sz w:val="18"/>
          <w:szCs w:val="18"/>
          <w:color w:val="auto"/>
        </w:rPr>
        <w:t xml:space="preserve"> of the DGCL.</w:t>
      </w:r>
    </w:p>
    <w:p>
      <w:pPr>
        <w:spacing w:after="0" w:line="60" w:lineRule="exact"/>
        <w:rPr>
          <w:rFonts w:ascii="Arial" w:cs="Arial" w:eastAsia="Arial" w:hAnsi="Arial"/>
          <w:sz w:val="18"/>
          <w:szCs w:val="18"/>
          <w:color w:val="auto"/>
        </w:rPr>
      </w:pPr>
    </w:p>
    <w:p>
      <w:pPr>
        <w:ind w:left="660" w:right="399" w:hanging="8"/>
        <w:spacing w:after="0" w:line="271"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text of the Prior Certificate is hereby amended and restated in its entirety by this Certificate of Incorporation to read in full as follows:</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name of the corporation is Rent the Runway,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04" w:lineRule="exact"/>
        <w:rPr>
          <w:sz w:val="20"/>
          <w:szCs w:val="20"/>
          <w:color w:val="auto"/>
        </w:rPr>
      </w:pPr>
    </w:p>
    <w:p>
      <w:pPr>
        <w:jc w:val="both"/>
        <w:ind w:left="300" w:right="559"/>
        <w:spacing w:after="0" w:line="253" w:lineRule="auto"/>
        <w:rPr>
          <w:sz w:val="20"/>
          <w:szCs w:val="20"/>
          <w:color w:val="auto"/>
        </w:rPr>
      </w:pPr>
      <w:r>
        <w:rPr>
          <w:rFonts w:ascii="Arial" w:cs="Arial" w:eastAsia="Arial" w:hAnsi="Arial"/>
          <w:sz w:val="18"/>
          <w:szCs w:val="18"/>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04" w:lineRule="exact"/>
        <w:rPr>
          <w:sz w:val="20"/>
          <w:szCs w:val="20"/>
          <w:color w:val="auto"/>
        </w:rPr>
      </w:pPr>
    </w:p>
    <w:p>
      <w:pPr>
        <w:ind w:left="300" w:right="499"/>
        <w:spacing w:after="0" w:line="242"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Purposes</w:t>
      </w:r>
      <w:r>
        <w:rPr>
          <w:rFonts w:ascii="Arial" w:cs="Arial" w:eastAsia="Arial" w:hAnsi="Arial"/>
          <w:sz w:val="18"/>
          <w:szCs w:val="18"/>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 (i) 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04" w:lineRule="exact"/>
        <w:rPr>
          <w:sz w:val="20"/>
          <w:szCs w:val="20"/>
          <w:color w:val="auto"/>
        </w:rPr>
      </w:pPr>
    </w:p>
    <w:p>
      <w:pPr>
        <w:ind w:left="300" w:right="599"/>
        <w:spacing w:after="0" w:line="24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w:t>
      </w:r>
      <w:r>
        <w:rPr>
          <w:rFonts w:ascii="Arial" w:cs="Arial" w:eastAsia="Arial" w:hAnsi="Arial"/>
          <w:sz w:val="18"/>
          <w:szCs w:val="18"/>
          <w:color w:val="auto"/>
        </w:rPr>
        <w:t xml:space="preserve">. The total number of shares of all classes of stock that the Corporation is authorized to issue is three hundred </w:t>
      </w:r>
      <w:r>
        <w:rPr>
          <w:rFonts w:ascii="Arial" w:cs="Arial" w:eastAsia="Arial" w:hAnsi="Arial"/>
          <w:sz w:val="18"/>
          <w:szCs w:val="18"/>
          <w:color w:val="FF0000"/>
          <w:strike w:val="1"/>
        </w:rPr>
        <w:t>and sixty</w:t>
      </w:r>
      <w:r>
        <w:rPr>
          <w:rFonts w:ascii="Arial" w:cs="Arial" w:eastAsia="Arial" w:hAnsi="Arial"/>
          <w:sz w:val="18"/>
          <w:szCs w:val="18"/>
          <w:color w:val="auto"/>
        </w:rPr>
        <w:t xml:space="preserve"> million (</w:t>
      </w:r>
      <w:r>
        <w:rPr>
          <w:rFonts w:ascii="Arial" w:cs="Arial" w:eastAsia="Arial" w:hAnsi="Arial"/>
          <w:sz w:val="18"/>
          <w:szCs w:val="18"/>
          <w:color w:val="FF0000"/>
          <w:strike w:val="1"/>
        </w:rPr>
        <w:t>360,000,000</w:t>
      </w:r>
      <w:r>
        <w:rPr>
          <w:rFonts w:ascii="Arial" w:cs="Arial" w:eastAsia="Arial" w:hAnsi="Arial"/>
          <w:sz w:val="18"/>
          <w:szCs w:val="18"/>
          <w:b w:val="1"/>
          <w:bCs w:val="1"/>
          <w:u w:val="single" w:color="auto"/>
          <w:color w:val="0000FF"/>
        </w:rPr>
        <w:t>300,000,000</w:t>
      </w:r>
      <w:r>
        <w:rPr>
          <w:rFonts w:ascii="Arial" w:cs="Arial" w:eastAsia="Arial" w:hAnsi="Arial"/>
          <w:sz w:val="18"/>
          <w:szCs w:val="18"/>
          <w:color w:val="auto"/>
        </w:rPr>
        <w:t xml:space="preserve">), consisting of </w:t>
      </w:r>
      <w:r>
        <w:rPr>
          <w:rFonts w:ascii="Arial" w:cs="Arial" w:eastAsia="Arial" w:hAnsi="Arial"/>
          <w:sz w:val="18"/>
          <w:szCs w:val="18"/>
          <w:color w:val="FF0000"/>
          <w:strike w:val="1"/>
        </w:rPr>
        <w:t>:</w:t>
      </w:r>
    </w:p>
    <w:p>
      <w:pPr>
        <w:ind w:left="300" w:right="839" w:hanging="8"/>
        <w:spacing w:after="0" w:line="260" w:lineRule="auto"/>
        <w:tabs>
          <w:tab w:leader="none" w:pos="567" w:val="left"/>
        </w:tabs>
        <w:numPr>
          <w:ilvl w:val="0"/>
          <w:numId w:val="88"/>
        </w:numPr>
        <w:rPr>
          <w:rFonts w:ascii="Arial" w:cs="Arial" w:eastAsia="Arial" w:hAnsi="Arial"/>
          <w:sz w:val="18"/>
          <w:szCs w:val="18"/>
          <w:color w:val="FF0000"/>
          <w:strike w:val="1"/>
        </w:rPr>
      </w:pPr>
      <w:r>
        <w:rPr>
          <w:rFonts w:ascii="Arial" w:cs="Arial" w:eastAsia="Arial" w:hAnsi="Arial"/>
          <w:sz w:val="18"/>
          <w:szCs w:val="18"/>
          <w:color w:val="FF0000"/>
          <w:strike w:val="1"/>
        </w:rPr>
        <w:t>Three</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rPr>
        <w:t>three</w:t>
      </w:r>
      <w:r>
        <w:rPr>
          <w:rFonts w:ascii="Arial" w:cs="Arial" w:eastAsia="Arial" w:hAnsi="Arial"/>
          <w:sz w:val="18"/>
          <w:szCs w:val="18"/>
          <w:color w:val="FF0000"/>
        </w:rPr>
        <w:t xml:space="preserve"> </w:t>
      </w:r>
      <w:r>
        <w:rPr>
          <w:rFonts w:ascii="Arial" w:cs="Arial" w:eastAsia="Arial" w:hAnsi="Arial"/>
          <w:sz w:val="18"/>
          <w:szCs w:val="18"/>
          <w:color w:val="000000"/>
        </w:rPr>
        <w:t>hundred million (300,000,000) shares of Class A common stock, with a par value of</w:t>
      </w:r>
      <w:r>
        <w:rPr>
          <w:rFonts w:ascii="Arial" w:cs="Arial" w:eastAsia="Arial" w:hAnsi="Arial"/>
          <w:sz w:val="18"/>
          <w:szCs w:val="18"/>
          <w:color w:val="FF0000"/>
        </w:rPr>
        <w:t xml:space="preserve"> </w:t>
      </w:r>
      <w:r>
        <w:rPr>
          <w:rFonts w:ascii="Arial" w:cs="Arial" w:eastAsia="Arial" w:hAnsi="Arial"/>
          <w:sz w:val="18"/>
          <w:szCs w:val="18"/>
          <w:color w:val="000000"/>
        </w:rPr>
        <w:t>$0.001 per share (the “</w:t>
      </w:r>
      <w:r>
        <w:rPr>
          <w:rFonts w:ascii="Arial" w:cs="Arial" w:eastAsia="Arial" w:hAnsi="Arial"/>
          <w:sz w:val="18"/>
          <w:szCs w:val="18"/>
          <w:b w:val="1"/>
          <w:bCs w:val="1"/>
          <w:i w:val="1"/>
          <w:iCs w:val="1"/>
          <w:color w:val="000000"/>
        </w:rPr>
        <w:t>Class A Common Stock</w:t>
      </w:r>
      <w:r>
        <w:rPr>
          <w:rFonts w:ascii="Arial" w:cs="Arial" w:eastAsia="Arial" w:hAnsi="Arial"/>
          <w:sz w:val="18"/>
          <w:szCs w:val="18"/>
          <w:color w:val="000000"/>
        </w:rPr>
        <w:t>”)</w:t>
      </w:r>
      <w:r>
        <w:rPr>
          <w:rFonts w:ascii="Arial" w:cs="Arial" w:eastAsia="Arial" w:hAnsi="Arial"/>
          <w:sz w:val="18"/>
          <w:szCs w:val="18"/>
          <w:color w:val="FF0000"/>
          <w:strike w:val="1"/>
        </w:rPr>
        <w:t>; and</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w:t>
      </w:r>
    </w:p>
    <w:p>
      <w:pPr>
        <w:spacing w:after="0" w:line="46" w:lineRule="exact"/>
        <w:rPr>
          <w:rFonts w:ascii="Arial" w:cs="Arial" w:eastAsia="Arial" w:hAnsi="Arial"/>
          <w:sz w:val="18"/>
          <w:szCs w:val="18"/>
          <w:color w:val="FF0000"/>
          <w:strike w:val="1"/>
        </w:rPr>
      </w:pPr>
    </w:p>
    <w:p>
      <w:pPr>
        <w:ind w:left="660" w:right="479" w:hanging="8"/>
        <w:spacing w:after="0" w:line="257" w:lineRule="auto"/>
        <w:tabs>
          <w:tab w:leader="none" w:pos="930" w:val="left"/>
        </w:tabs>
        <w:numPr>
          <w:ilvl w:val="1"/>
          <w:numId w:val="88"/>
        </w:numPr>
        <w:rPr>
          <w:rFonts w:ascii="Arial" w:cs="Arial" w:eastAsia="Arial" w:hAnsi="Arial"/>
          <w:sz w:val="18"/>
          <w:szCs w:val="18"/>
          <w:color w:val="FF0000"/>
          <w:strike w:val="1"/>
        </w:rPr>
      </w:pPr>
      <w:r>
        <w:rPr>
          <w:rFonts w:ascii="Arial" w:cs="Arial" w:eastAsia="Arial" w:hAnsi="Arial"/>
          <w:sz w:val="18"/>
          <w:szCs w:val="18"/>
          <w:color w:val="FF0000"/>
          <w:strike w:val="1"/>
        </w:rPr>
        <w:t>Fifty million (50,000,000) shares of Class B common stock, with a par value of $0.001 per share (the “</w:t>
      </w:r>
      <w:r>
        <w:rPr>
          <w:rFonts w:ascii="Arial" w:cs="Arial" w:eastAsia="Arial" w:hAnsi="Arial"/>
          <w:sz w:val="18"/>
          <w:szCs w:val="18"/>
          <w:b w:val="1"/>
          <w:bCs w:val="1"/>
          <w:i w:val="1"/>
          <w:iCs w:val="1"/>
          <w:color w:val="FF0000"/>
          <w:strike w:val="1"/>
        </w:rPr>
        <w:t>Class B Common Stock</w:t>
      </w:r>
      <w:r>
        <w:rPr>
          <w:rFonts w:ascii="Arial" w:cs="Arial" w:eastAsia="Arial" w:hAnsi="Arial"/>
          <w:sz w:val="18"/>
          <w:szCs w:val="18"/>
          <w:color w:val="FF0000"/>
          <w:strike w:val="1"/>
        </w:rPr>
        <w:t>”, and together with the Class A Common Stock, the “</w:t>
      </w:r>
      <w:r>
        <w:rPr>
          <w:rFonts w:ascii="Arial" w:cs="Arial" w:eastAsia="Arial" w:hAnsi="Arial"/>
          <w:sz w:val="18"/>
          <w:szCs w:val="18"/>
          <w:b w:val="1"/>
          <w:bCs w:val="1"/>
          <w:i w:val="1"/>
          <w:iCs w:val="1"/>
          <w:color w:val="FF0000"/>
          <w:strike w:val="1"/>
        </w:rPr>
        <w:t>Common</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Stock</w:t>
      </w:r>
      <w:r>
        <w:rPr>
          <w:rFonts w:ascii="Arial" w:cs="Arial" w:eastAsia="Arial" w:hAnsi="Arial"/>
          <w:sz w:val="18"/>
          <w:szCs w:val="18"/>
          <w:color w:val="FF0000"/>
          <w:strike w:val="1"/>
        </w:rPr>
        <w:t>”).</w:t>
      </w:r>
    </w:p>
    <w:p>
      <w:pPr>
        <w:spacing w:after="0" w:line="50" w:lineRule="exact"/>
        <w:rPr>
          <w:rFonts w:ascii="Arial" w:cs="Arial" w:eastAsia="Arial" w:hAnsi="Arial"/>
          <w:sz w:val="18"/>
          <w:szCs w:val="18"/>
          <w:color w:val="FF0000"/>
          <w:strike w:val="1"/>
        </w:rPr>
      </w:pPr>
    </w:p>
    <w:p>
      <w:pPr>
        <w:ind w:left="920" w:hanging="268"/>
        <w:spacing w:after="0"/>
        <w:tabs>
          <w:tab w:leader="none" w:pos="920" w:val="left"/>
        </w:tabs>
        <w:numPr>
          <w:ilvl w:val="1"/>
          <w:numId w:val="88"/>
        </w:numPr>
        <w:rPr>
          <w:rFonts w:ascii="Arial" w:cs="Arial" w:eastAsia="Arial" w:hAnsi="Arial"/>
          <w:sz w:val="18"/>
          <w:szCs w:val="18"/>
          <w:color w:val="FF0000"/>
          <w:strike w:val="1"/>
        </w:rPr>
      </w:pPr>
      <w:r>
        <w:rPr>
          <w:rFonts w:ascii="Arial" w:cs="Arial" w:eastAsia="Arial" w:hAnsi="Arial"/>
          <w:sz w:val="18"/>
          <w:szCs w:val="18"/>
          <w:color w:val="FF0000"/>
          <w:strike w:val="1"/>
        </w:rPr>
        <w:t>ten million (10,000,000) shares of preferred stock, with a par value of $0.001 per share (the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Preferred Stock</w:t>
      </w:r>
      <w:r>
        <w:rPr>
          <w:rFonts w:ascii="Arial" w:cs="Arial" w:eastAsia="Arial" w:hAnsi="Arial"/>
          <w:sz w:val="18"/>
          <w:szCs w:val="18"/>
          <w:color w:val="FF0000"/>
          <w:strike w:val="1"/>
        </w:rPr>
        <w:t>”).</w:t>
      </w:r>
    </w:p>
    <w:p>
      <w:pPr>
        <w:spacing w:after="0" w:line="86" w:lineRule="exact"/>
        <w:rPr>
          <w:sz w:val="20"/>
          <w:szCs w:val="20"/>
          <w:color w:val="auto"/>
        </w:rPr>
      </w:pPr>
    </w:p>
    <w:p>
      <w:pPr>
        <w:ind w:left="300" w:right="759"/>
        <w:spacing w:after="0" w:line="281" w:lineRule="auto"/>
        <w:rPr>
          <w:sz w:val="20"/>
          <w:szCs w:val="20"/>
          <w:color w:val="auto"/>
        </w:rPr>
      </w:pPr>
      <w:r>
        <w:rPr>
          <w:rFonts w:ascii="Arial" w:cs="Arial" w:eastAsia="Arial" w:hAnsi="Arial"/>
          <w:sz w:val="18"/>
          <w:szCs w:val="18"/>
          <w:color w:val="FF0000"/>
          <w:strike w:val="1"/>
        </w:rPr>
        <w:t xml:space="preserve">Section 4.2 </w:t>
      </w:r>
      <w:r>
        <w:rPr>
          <w:rFonts w:ascii="Arial" w:cs="Arial" w:eastAsia="Arial" w:hAnsi="Arial"/>
          <w:sz w:val="18"/>
          <w:szCs w:val="18"/>
          <w:u w:val="single" w:color="auto"/>
          <w:color w:val="FF0000"/>
          <w:strike w:val="1"/>
        </w:rPr>
        <w:t>Reclassification of Common Stock</w:t>
      </w:r>
      <w:r>
        <w:rPr>
          <w:rFonts w:ascii="Arial" w:cs="Arial" w:eastAsia="Arial" w:hAnsi="Arial"/>
          <w:sz w:val="18"/>
          <w:szCs w:val="18"/>
          <w:color w:val="FF0000"/>
          <w:strike w:val="1"/>
        </w:rPr>
        <w:t>. Upon the filing and effectiveness of this Certificate of Incorporation with the Secretary of State of the State of Delaware (the “</w:t>
      </w:r>
      <w:r>
        <w:rPr>
          <w:rFonts w:ascii="Arial" w:cs="Arial" w:eastAsia="Arial" w:hAnsi="Arial"/>
          <w:sz w:val="18"/>
          <w:szCs w:val="18"/>
          <w:b w:val="1"/>
          <w:bCs w:val="1"/>
          <w:i w:val="1"/>
          <w:iCs w:val="1"/>
          <w:color w:val="FF0000"/>
          <w:strike w:val="1"/>
        </w:rPr>
        <w:t>Effective Time</w:t>
      </w:r>
      <w:r>
        <w:rPr>
          <w:rFonts w:ascii="Arial" w:cs="Arial" w:eastAsia="Arial" w:hAnsi="Arial"/>
          <w:sz w:val="18"/>
          <w:szCs w:val="18"/>
          <w:color w:val="FF0000"/>
          <w:strike w:val="1"/>
        </w:rPr>
        <w:t>”),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8" w:name="page269"/>
    <w:bookmarkEnd w:id="2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rPr>
          <w:sz w:val="20"/>
          <w:szCs w:val="20"/>
          <w:color w:val="auto"/>
        </w:rPr>
      </w:pPr>
      <w:r>
        <w:rPr>
          <w:rFonts w:ascii="Arial" w:cs="Arial" w:eastAsia="Arial" w:hAnsi="Arial"/>
          <w:sz w:val="18"/>
          <w:szCs w:val="18"/>
          <w:color w:val="FF0000"/>
          <w:strike w:val="1"/>
        </w:rPr>
        <w:t>without any further action required by the Corporation or its stockholders: (i) each share of Common Stock (as defined in the Prior Certificate) issued and outstanding or held in treasury, immediately prior to the Effective Time, shall be automatically reclassified into one validly issued, fully paid and non-assessable share of Class A Common Stock without any further action by the Corporation or the holder of any such share. Each stock certificate representing shares of Common Stock immediately prior to the Effective Time shall be cancelled without any further action required by the stockholders and the shares of Class A Common Stock into which the shares of Common Stock previously represented by such stock certificate have been reclassified pursuant to this Section 4.2 shall be uncertificated shares.</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FF0000"/>
          <w:strike w:val="1"/>
        </w:rPr>
        <w:t xml:space="preserve">Section 4.3 </w:t>
      </w:r>
      <w:r>
        <w:rPr>
          <w:rFonts w:ascii="Arial" w:cs="Arial" w:eastAsia="Arial" w:hAnsi="Arial"/>
          <w:sz w:val="18"/>
          <w:szCs w:val="18"/>
          <w:u w:val="single" w:color="auto"/>
          <w:color w:val="FF0000"/>
          <w:strike w:val="1"/>
        </w:rPr>
        <w:t>Blank Check Preferred Stock</w:t>
      </w:r>
      <w:r>
        <w:rPr>
          <w:rFonts w:ascii="Arial" w:cs="Arial" w:eastAsia="Arial" w:hAnsi="Arial"/>
          <w:sz w:val="18"/>
          <w:szCs w:val="18"/>
          <w:color w:val="FF0000"/>
          <w:strike w:val="1"/>
        </w:rPr>
        <w:t>. The Board of Directors is authorized, subject to any limitations prescribed by law, to provide, out of the unissued shares of Preferred Stock, for the issuance of shares of Preferred Stock in one or more series, and by filing a certificate pursuant to the applicable law of the State of Delaware (such certificate being hereinafter referred to as a “Preferred Stock Designation”),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or alter the dividend rights, dividend rates, conversion rights, exchange rights, voting powers (which may be full, limited or no voting power),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and the number of shares constituting any such series, and the designation thereof, or any of them and to increase (but not above the total number of authorized shares of Preferred Stock) or decrease (but not below the number of shares of such series then outstanding) the number of shares of any series so created (except where otherwise provided in the Preferred Stock Designation), subsequent to the issue of that series. In case the authorized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committee of the Board of Directors, providing for the issuance of the various series of Preferred Stock. Except as otherwise required by law, holders of any series of Preferred Stock shall be entitled only to such voting rights, if any, as shall expressly be granted thereto by this Certificate of Incorporation (including any Preferred Stock Designation).</w:t>
      </w:r>
    </w:p>
    <w:p>
      <w:pPr>
        <w:spacing w:after="0" w:line="81" w:lineRule="exact"/>
        <w:rPr>
          <w:sz w:val="20"/>
          <w:szCs w:val="20"/>
          <w:color w:val="auto"/>
        </w:rPr>
      </w:pPr>
    </w:p>
    <w:p>
      <w:pPr>
        <w:ind w:left="300" w:right="399"/>
        <w:spacing w:after="0"/>
        <w:rPr>
          <w:sz w:val="20"/>
          <w:szCs w:val="20"/>
          <w:color w:val="auto"/>
        </w:rPr>
      </w:pPr>
      <w:r>
        <w:rPr>
          <w:rFonts w:ascii="Arial" w:cs="Arial" w:eastAsia="Arial" w:hAnsi="Arial"/>
          <w:sz w:val="18"/>
          <w:szCs w:val="18"/>
          <w:color w:val="FF0000"/>
          <w:strike w:val="1"/>
        </w:rPr>
        <w:t xml:space="preserve">Section 4.4 </w:t>
      </w:r>
      <w:r>
        <w:rPr>
          <w:rFonts w:ascii="Arial" w:cs="Arial" w:eastAsia="Arial" w:hAnsi="Arial"/>
          <w:sz w:val="18"/>
          <w:szCs w:val="18"/>
          <w:u w:val="single" w:color="auto"/>
          <w:color w:val="FF0000"/>
          <w:strike w:val="1"/>
        </w:rPr>
        <w:t>Number of Authorized Shares</w:t>
      </w:r>
      <w:r>
        <w:rPr>
          <w:rFonts w:ascii="Arial" w:cs="Arial" w:eastAsia="Arial" w:hAnsi="Arial"/>
          <w:sz w:val="18"/>
          <w:szCs w:val="18"/>
          <w:color w:val="FF0000"/>
          <w:strike w:val="1"/>
        </w:rPr>
        <w:t xml:space="preserve">. Notwithstanding </w:t>
      </w:r>
      <w:r>
        <w:rPr>
          <w:rFonts w:ascii="Arial" w:cs="Arial" w:eastAsia="Arial" w:hAnsi="Arial"/>
          <w:sz w:val="18"/>
          <w:szCs w:val="18"/>
          <w:u w:val="single" w:color="auto"/>
          <w:color w:val="FF0000"/>
          <w:strike w:val="1"/>
        </w:rPr>
        <w:t>Article VIII</w:t>
      </w:r>
      <w:r>
        <w:rPr>
          <w:rFonts w:ascii="Arial" w:cs="Arial" w:eastAsia="Arial" w:hAnsi="Arial"/>
          <w:sz w:val="18"/>
          <w:szCs w:val="18"/>
          <w:color w:val="FF0000"/>
          <w:strike w:val="1"/>
        </w:rPr>
        <w:t xml:space="preserve"> of this Certificate of Incorporation, the number of authorized shares of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unless a separate vote of any such holders is required pursuant to the terms of any Preferred Stock Designation, irrespective of the provisions of Section 242(b)(2) of the DGCL.</w:t>
      </w:r>
    </w:p>
    <w:p>
      <w:pPr>
        <w:spacing w:after="0" w:line="72" w:lineRule="exact"/>
        <w:rPr>
          <w:sz w:val="20"/>
          <w:szCs w:val="20"/>
          <w:color w:val="auto"/>
        </w:rPr>
      </w:pPr>
    </w:p>
    <w:p>
      <w:pPr>
        <w:jc w:val="both"/>
        <w:ind w:left="300" w:right="499"/>
        <w:spacing w:after="0" w:line="253" w:lineRule="auto"/>
        <w:rPr>
          <w:sz w:val="20"/>
          <w:szCs w:val="20"/>
          <w:color w:val="auto"/>
        </w:rPr>
      </w:pPr>
      <w:r>
        <w:rPr>
          <w:rFonts w:ascii="Arial" w:cs="Arial" w:eastAsia="Arial" w:hAnsi="Arial"/>
          <w:sz w:val="18"/>
          <w:szCs w:val="18"/>
          <w:color w:val="FF0000"/>
          <w:strike w:val="1"/>
        </w:rPr>
        <w:t xml:space="preserve">Section 4.5 </w:t>
      </w:r>
      <w:r>
        <w:rPr>
          <w:rFonts w:ascii="Arial" w:cs="Arial" w:eastAsia="Arial" w:hAnsi="Arial"/>
          <w:sz w:val="18"/>
          <w:szCs w:val="18"/>
          <w:u w:val="single" w:color="auto"/>
          <w:color w:val="FF0000"/>
          <w:strike w:val="1"/>
        </w:rPr>
        <w:t>Class A Common Stock and Class B Common Stock</w:t>
      </w:r>
      <w:r>
        <w:rPr>
          <w:rFonts w:ascii="Arial" w:cs="Arial" w:eastAsia="Arial" w:hAnsi="Arial"/>
          <w:sz w:val="18"/>
          <w:szCs w:val="18"/>
          <w:color w:val="FF0000"/>
          <w:strike w:val="1"/>
        </w:rPr>
        <w:t>. Except as otherwise set forth herein, the powers, preferences and rights of the Class A Common Stock and the Class B Common Stock, and the qualifications, limitations or restrictions thereof shall be identical in all respects.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9" w:name="page270"/>
    <w:bookmarkEnd w:id="2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0000FF"/>
        </w:rPr>
        <w:t>Section 4.2 Class A Common Stock.</w:t>
      </w:r>
    </w:p>
    <w:p>
      <w:pPr>
        <w:spacing w:after="0" w:line="158" w:lineRule="exact"/>
        <w:rPr>
          <w:sz w:val="20"/>
          <w:szCs w:val="20"/>
          <w:color w:val="auto"/>
        </w:rPr>
      </w:pPr>
    </w:p>
    <w:p>
      <w:pPr>
        <w:ind w:left="920" w:hanging="268"/>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law,</w:t>
      </w:r>
    </w:p>
    <w:p>
      <w:pPr>
        <w:spacing w:after="0" w:line="103" w:lineRule="exact"/>
        <w:rPr>
          <w:rFonts w:ascii="Arial" w:cs="Arial" w:eastAsia="Arial" w:hAnsi="Arial"/>
          <w:sz w:val="18"/>
          <w:szCs w:val="18"/>
          <w:color w:val="auto"/>
        </w:rPr>
      </w:pPr>
    </w:p>
    <w:p>
      <w:pPr>
        <w:ind w:left="1020" w:right="319" w:hanging="8"/>
        <w:spacing w:after="0" w:line="247" w:lineRule="auto"/>
        <w:tabs>
          <w:tab w:leader="none" w:pos="123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65" w:lineRule="exact"/>
        <w:rPr>
          <w:rFonts w:ascii="Arial" w:cs="Arial" w:eastAsia="Arial" w:hAnsi="Arial"/>
          <w:sz w:val="18"/>
          <w:szCs w:val="18"/>
          <w:color w:val="auto"/>
        </w:rPr>
      </w:pPr>
    </w:p>
    <w:p>
      <w:pPr>
        <w:jc w:val="both"/>
        <w:ind w:left="1020" w:right="319" w:hanging="8"/>
        <w:spacing w:after="0" w:line="269" w:lineRule="auto"/>
        <w:tabs>
          <w:tab w:leader="none" w:pos="1270" w:val="left"/>
        </w:tabs>
        <w:numPr>
          <w:ilvl w:val="1"/>
          <w:numId w:val="89"/>
        </w:numPr>
        <w:rPr>
          <w:rFonts w:ascii="Arial" w:cs="Arial" w:eastAsia="Arial" w:hAnsi="Arial"/>
          <w:sz w:val="17"/>
          <w:szCs w:val="17"/>
          <w:color w:val="auto"/>
        </w:rPr>
      </w:pPr>
      <w:r>
        <w:rPr>
          <w:rFonts w:ascii="Arial" w:cs="Arial" w:eastAsia="Arial" w:hAnsi="Arial"/>
          <w:sz w:val="17"/>
          <w:szCs w:val="17"/>
          <w:color w:val="FF0000"/>
          <w:strike w:val="1"/>
        </w:rPr>
        <w:t>Each share</w:t>
      </w:r>
      <w:r>
        <w:rPr>
          <w:rFonts w:ascii="Arial" w:cs="Arial" w:eastAsia="Arial" w:hAnsi="Arial"/>
          <w:sz w:val="17"/>
          <w:szCs w:val="17"/>
          <w:b w:val="1"/>
          <w:bCs w:val="1"/>
          <w:u w:val="single" w:color="auto"/>
          <w:color w:val="0000FF"/>
        </w:rPr>
        <w:t>The holders of shares</w:t>
      </w:r>
      <w:r>
        <w:rPr>
          <w:rFonts w:ascii="Arial" w:cs="Arial" w:eastAsia="Arial" w:hAnsi="Arial"/>
          <w:sz w:val="17"/>
          <w:szCs w:val="17"/>
          <w:color w:val="FF0000"/>
        </w:rPr>
        <w:t xml:space="preserve"> </w:t>
      </w:r>
      <w:r>
        <w:rPr>
          <w:rFonts w:ascii="Arial" w:cs="Arial" w:eastAsia="Arial" w:hAnsi="Arial"/>
          <w:sz w:val="17"/>
          <w:szCs w:val="17"/>
          <w:color w:val="000000"/>
        </w:rPr>
        <w:t>of Class</w:t>
      </w:r>
      <w:r>
        <w:rPr>
          <w:rFonts w:ascii="Arial" w:cs="Arial" w:eastAsia="Arial" w:hAnsi="Arial"/>
          <w:sz w:val="17"/>
          <w:szCs w:val="17"/>
          <w:color w:val="FF0000"/>
        </w:rPr>
        <w:t xml:space="preserve"> </w:t>
      </w:r>
      <w:r>
        <w:rPr>
          <w:rFonts w:ascii="Arial" w:cs="Arial" w:eastAsia="Arial" w:hAnsi="Arial"/>
          <w:sz w:val="17"/>
          <w:szCs w:val="17"/>
          <w:color w:val="FF0000"/>
          <w:strike w:val="1"/>
        </w:rPr>
        <w:t>B</w:t>
      </w:r>
      <w:r>
        <w:rPr>
          <w:rFonts w:ascii="Arial" w:cs="Arial" w:eastAsia="Arial" w:hAnsi="Arial"/>
          <w:sz w:val="17"/>
          <w:szCs w:val="17"/>
          <w:b w:val="1"/>
          <w:bCs w:val="1"/>
          <w:u w:val="single" w:color="auto"/>
          <w:color w:val="0000FF"/>
        </w:rPr>
        <w:t>A</w:t>
      </w:r>
      <w:r>
        <w:rPr>
          <w:rFonts w:ascii="Arial" w:cs="Arial" w:eastAsia="Arial" w:hAnsi="Arial"/>
          <w:sz w:val="17"/>
          <w:szCs w:val="17"/>
          <w:color w:val="FF0000"/>
        </w:rPr>
        <w:t xml:space="preserve"> </w:t>
      </w:r>
      <w:r>
        <w:rPr>
          <w:rFonts w:ascii="Arial" w:cs="Arial" w:eastAsia="Arial" w:hAnsi="Arial"/>
          <w:sz w:val="17"/>
          <w:szCs w:val="17"/>
          <w:color w:val="000000"/>
        </w:rPr>
        <w:t>Common Stock shall</w:t>
      </w:r>
      <w:r>
        <w:rPr>
          <w:rFonts w:ascii="Arial" w:cs="Arial" w:eastAsia="Arial" w:hAnsi="Arial"/>
          <w:sz w:val="17"/>
          <w:szCs w:val="17"/>
          <w:color w:val="FF0000"/>
        </w:rPr>
        <w:t xml:space="preserve"> </w:t>
      </w:r>
      <w:r>
        <w:rPr>
          <w:rFonts w:ascii="Arial" w:cs="Arial" w:eastAsia="Arial" w:hAnsi="Arial"/>
          <w:sz w:val="17"/>
          <w:szCs w:val="17"/>
          <w:color w:val="FF0000"/>
          <w:strike w:val="1"/>
        </w:rPr>
        <w:t>entitle the record holder</w:t>
      </w:r>
      <w:r>
        <w:rPr>
          <w:rFonts w:ascii="Arial" w:cs="Arial" w:eastAsia="Arial" w:hAnsi="Arial"/>
          <w:sz w:val="17"/>
          <w:szCs w:val="17"/>
          <w:color w:val="FF0000"/>
        </w:rPr>
        <w:t xml:space="preserve"> </w:t>
      </w:r>
      <w:r>
        <w:rPr>
          <w:rFonts w:ascii="Arial" w:cs="Arial" w:eastAsia="Arial" w:hAnsi="Arial"/>
          <w:sz w:val="17"/>
          <w:szCs w:val="17"/>
          <w:color w:val="FF0000"/>
          <w:strike w:val="1"/>
        </w:rPr>
        <w:t>thereof as of the applicable record date to twenty (20) votes per share in person or by proxy</w:t>
      </w:r>
      <w:r>
        <w:rPr>
          <w:rFonts w:ascii="Arial" w:cs="Arial" w:eastAsia="Arial" w:hAnsi="Arial"/>
          <w:sz w:val="17"/>
          <w:szCs w:val="17"/>
          <w:b w:val="1"/>
          <w:bCs w:val="1"/>
          <w:u w:val="single" w:color="auto"/>
          <w:color w:val="0000FF"/>
          <w:strike w:val="1"/>
        </w:rPr>
        <w:t>vote</w:t>
      </w:r>
      <w:r>
        <w:rPr>
          <w:rFonts w:ascii="Arial" w:cs="Arial" w:eastAsia="Arial" w:hAnsi="Arial"/>
          <w:sz w:val="17"/>
          <w:szCs w:val="17"/>
          <w:color w:val="FF0000"/>
          <w:strike w:val="1"/>
        </w:rPr>
        <w:t xml:space="preserve"> </w:t>
      </w:r>
      <w:r>
        <w:rPr>
          <w:rFonts w:ascii="Arial" w:cs="Arial" w:eastAsia="Arial" w:hAnsi="Arial"/>
          <w:sz w:val="17"/>
          <w:szCs w:val="17"/>
          <w:b w:val="1"/>
          <w:bCs w:val="1"/>
          <w:u w:val="single" w:color="auto"/>
          <w:color w:val="0000FF"/>
          <w:strike w:val="1"/>
        </w:rPr>
        <w:t>together as a single class</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on all matters submitted to a vote of</w:t>
      </w:r>
      <w:r>
        <w:rPr>
          <w:rFonts w:ascii="Arial" w:cs="Arial" w:eastAsia="Arial" w:hAnsi="Arial"/>
          <w:sz w:val="17"/>
          <w:szCs w:val="17"/>
          <w:b w:val="1"/>
          <w:bCs w:val="1"/>
          <w:color w:val="0000FF"/>
          <w:strike w:val="1"/>
        </w:rPr>
        <w:t xml:space="preserve"> </w:t>
      </w:r>
      <w:r>
        <w:rPr>
          <w:rFonts w:ascii="Arial" w:cs="Arial" w:eastAsia="Arial" w:hAnsi="Arial"/>
          <w:sz w:val="17"/>
          <w:szCs w:val="17"/>
          <w:color w:val="FF0000"/>
          <w:strike w:val="1"/>
        </w:rPr>
        <w:t>the holders of Class B Common</w:t>
      </w:r>
      <w:r>
        <w:rPr>
          <w:rFonts w:ascii="Arial" w:cs="Arial" w:eastAsia="Arial" w:hAnsi="Arial"/>
          <w:sz w:val="17"/>
          <w:szCs w:val="17"/>
          <w:b w:val="1"/>
          <w:bCs w:val="1"/>
          <w:color w:val="0000FF"/>
          <w:strike w:val="1"/>
        </w:rPr>
        <w:t xml:space="preserve"> </w:t>
      </w:r>
      <w:r>
        <w:rPr>
          <w:rFonts w:ascii="Arial" w:cs="Arial" w:eastAsia="Arial" w:hAnsi="Arial"/>
          <w:sz w:val="17"/>
          <w:szCs w:val="17"/>
          <w:color w:val="FF0000"/>
          <w:strike w:val="1"/>
        </w:rPr>
        <w:t>Stock, whether voting separately as a class or otherwise</w:t>
      </w:r>
      <w:r>
        <w:rPr>
          <w:rFonts w:ascii="Arial" w:cs="Arial" w:eastAsia="Arial" w:hAnsi="Arial"/>
          <w:sz w:val="17"/>
          <w:szCs w:val="17"/>
          <w:b w:val="1"/>
          <w:bCs w:val="1"/>
          <w:u w:val="single" w:color="auto"/>
          <w:color w:val="0000FF"/>
          <w:strike w:val="1"/>
        </w:rPr>
        <w:t>stockholders of the Corporation</w:t>
      </w:r>
      <w:r>
        <w:rPr>
          <w:rFonts w:ascii="Arial" w:cs="Arial" w:eastAsia="Arial" w:hAnsi="Arial"/>
          <w:sz w:val="17"/>
          <w:szCs w:val="17"/>
          <w:color w:val="000000"/>
          <w:strike w:val="1"/>
        </w:rPr>
        <w:t>.</w:t>
      </w:r>
    </w:p>
    <w:p>
      <w:pPr>
        <w:spacing w:after="0" w:line="41" w:lineRule="exact"/>
        <w:rPr>
          <w:rFonts w:ascii="Arial" w:cs="Arial" w:eastAsia="Arial" w:hAnsi="Arial"/>
          <w:sz w:val="17"/>
          <w:szCs w:val="17"/>
          <w:color w:val="auto"/>
        </w:rPr>
      </w:pPr>
    </w:p>
    <w:p>
      <w:pPr>
        <w:ind w:left="1020" w:right="319" w:hanging="8"/>
        <w:spacing w:after="0"/>
        <w:tabs>
          <w:tab w:leader="none" w:pos="1310" w:val="left"/>
        </w:tabs>
        <w:numPr>
          <w:ilvl w:val="1"/>
          <w:numId w:val="89"/>
        </w:numPr>
        <w:rPr>
          <w:rFonts w:ascii="Arial" w:cs="Arial" w:eastAsia="Arial" w:hAnsi="Arial"/>
          <w:sz w:val="18"/>
          <w:szCs w:val="18"/>
          <w:color w:val="FF0000"/>
          <w:strike w:val="1"/>
        </w:rPr>
      </w:pPr>
      <w:r>
        <w:rPr>
          <w:rFonts w:ascii="Arial" w:cs="Arial" w:eastAsia="Arial" w:hAnsi="Arial"/>
          <w:sz w:val="18"/>
          <w:szCs w:val="18"/>
          <w:color w:val="FF0000"/>
          <w:strike w:val="1"/>
        </w:rPr>
        <w:t>Except as otherwise required in this Certificate of Incorporation as the same may be amended and/or restated from time to time, including by the filing of one or more Preferred Stock Designations or applicable law,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6" w:lineRule="exact"/>
        <w:rPr>
          <w:rFonts w:ascii="Arial" w:cs="Arial" w:eastAsia="Arial" w:hAnsi="Arial"/>
          <w:sz w:val="18"/>
          <w:szCs w:val="18"/>
          <w:color w:val="FF0000"/>
          <w:strike w:val="1"/>
        </w:rPr>
      </w:pPr>
    </w:p>
    <w:p>
      <w:pPr>
        <w:ind w:left="660" w:right="359" w:hanging="8"/>
        <w:spacing w:after="0" w:line="251" w:lineRule="auto"/>
        <w:tabs>
          <w:tab w:leader="none" w:pos="93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Subject to applicable law, </w:t>
      </w:r>
      <w:r>
        <w:rPr>
          <w:rFonts w:ascii="Arial" w:cs="Arial" w:eastAsia="Arial" w:hAnsi="Arial"/>
          <w:sz w:val="17"/>
          <w:szCs w:val="17"/>
          <w:color w:val="FF0000"/>
          <w:strike w:val="1"/>
        </w:rPr>
        <w:t>and the rights, if any, of the holders of any outstanding</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series of Preferred Stock or any class or series of stock having a preference over or the right to participate with the Class A Common Stock and Class B Common Stock with respect to the payment of dividends, </w:t>
      </w:r>
      <w:r>
        <w:rPr>
          <w:rFonts w:ascii="Arial" w:cs="Arial" w:eastAsia="Arial" w:hAnsi="Arial"/>
          <w:sz w:val="17"/>
          <w:szCs w:val="17"/>
          <w:color w:val="000000"/>
          <w:strike w:val="1"/>
        </w:rPr>
        <w:t>dividends may be declared and paid on the Class A</w:t>
      </w:r>
      <w:r>
        <w:rPr>
          <w:rFonts w:ascii="Arial" w:cs="Arial" w:eastAsia="Arial" w:hAnsi="Arial"/>
          <w:sz w:val="17"/>
          <w:szCs w:val="17"/>
          <w:color w:val="FF0000"/>
          <w:strike w:val="1"/>
        </w:rPr>
        <w:t xml:space="preserve"> Common Stock and Class B </w:t>
      </w:r>
      <w:r>
        <w:rPr>
          <w:rFonts w:ascii="Arial" w:cs="Arial" w:eastAsia="Arial" w:hAnsi="Arial"/>
          <w:sz w:val="17"/>
          <w:szCs w:val="17"/>
          <w:color w:val="000000"/>
          <w:strike w:val="1"/>
        </w:rPr>
        <w:t xml:space="preserve">Common Stock out of the assets or funds of the Corporation that are by law available therefor, at such times and in such amounts as the Board of Directors in its discretion shall determine. </w:t>
      </w:r>
      <w:r>
        <w:rPr>
          <w:rFonts w:ascii="Arial" w:cs="Arial" w:eastAsia="Arial" w:hAnsi="Arial"/>
          <w:sz w:val="17"/>
          <w:szCs w:val="17"/>
          <w:color w:val="FF0000"/>
          <w:strike w:val="1"/>
        </w:rPr>
        <w:t>Dividends</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 xml:space="preserve">may not be declared or paid (x) on the Class A Common Stock unless a dividend of the same amount per share and same type of cash or property (or combination thereof) per share is concurrently declared or paid on the Class B Common Stock or (y) on the Class B Common Stock unless a dividend of the same amount per share and same type of cash or property (or combination thereof) per share is concurrently declared or paid on the Class A Common Stock;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however</w:t>
      </w:r>
      <w:r>
        <w:rPr>
          <w:rFonts w:ascii="Arial" w:cs="Arial" w:eastAsia="Arial" w:hAnsi="Arial"/>
          <w:sz w:val="17"/>
          <w:szCs w:val="17"/>
          <w:color w:val="FF0000"/>
          <w:strike w:val="1"/>
        </w:rPr>
        <w:t>, in the event any dividend is declared or paid in-kind in shares of Class A Common Stock or shares of Class B Common Stock (or rights to acquire such shares, or other securities exercisable, exchangeable or convertible into such shares), as applicable, then the holders of Class A Common Stock will be entitled to receive such dividends only in the form of shares of Class A Common Stock (or rights to acquire such shares, or other securities exercisable, exchangeable or convertible into such shares) and the holders of Class B Common Stock will be entitled to receive such dividend only in the form of shares of Class B Common Stock (or rights to acquire such shares, or other securities exercisable, exchangeable or convertible into such shares) (provided, any such dividend shall be required to be declared and paid at the same rate on the outstanding shares of (i) Class A Common Stock as it is on the outstanding shares of Class B Common Stock and (ii) Class B Common Stock as it is on the outstanding shares of Class A Common Stock).</w:t>
      </w:r>
    </w:p>
    <w:p>
      <w:pPr>
        <w:spacing w:after="0" w:line="269" w:lineRule="exact"/>
        <w:rPr>
          <w:rFonts w:ascii="Arial" w:cs="Arial" w:eastAsia="Arial" w:hAnsi="Arial"/>
          <w:sz w:val="17"/>
          <w:szCs w:val="17"/>
          <w:color w:val="auto"/>
        </w:rPr>
      </w:pPr>
    </w:p>
    <w:p>
      <w:pPr>
        <w:ind w:left="660" w:right="299" w:hanging="8"/>
        <w:spacing w:after="0" w:line="239"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xml:space="preserve">. In the event of liquidation, dissolution or winding up of the affairs of the Corporation, whether voluntary or involuntary, after payment or provision for payment of the debts and other liabilities of the Corporation </w:t>
      </w:r>
      <w:r>
        <w:rPr>
          <w:rFonts w:ascii="Arial" w:cs="Arial" w:eastAsia="Arial" w:hAnsi="Arial"/>
          <w:sz w:val="18"/>
          <w:szCs w:val="18"/>
          <w:color w:val="FF0000"/>
        </w:rPr>
        <w:t>and after making provisions for preferential and other amounts,</w:t>
      </w:r>
      <w:r>
        <w:rPr>
          <w:rFonts w:ascii="Arial" w:cs="Arial" w:eastAsia="Arial" w:hAnsi="Arial"/>
          <w:sz w:val="18"/>
          <w:szCs w:val="18"/>
          <w:color w:val="auto"/>
        </w:rPr>
        <w:t xml:space="preserve"> </w:t>
      </w:r>
      <w:r>
        <w:rPr>
          <w:rFonts w:ascii="Arial" w:cs="Arial" w:eastAsia="Arial" w:hAnsi="Arial"/>
          <w:sz w:val="18"/>
          <w:szCs w:val="18"/>
          <w:color w:val="FF0000"/>
          <w:strike w:val="1"/>
        </w:rPr>
        <w:t>if any, to which the holders of Preferred Stock or any class or series of stock having a preference over or the right to participate with the Class A Common Stock and Class B Common Stock with respect to payments in liquidation shall be entitled</w:t>
      </w:r>
      <w:r>
        <w:rPr>
          <w:rFonts w:ascii="Arial" w:cs="Arial" w:eastAsia="Arial" w:hAnsi="Arial"/>
          <w:sz w:val="18"/>
          <w:szCs w:val="18"/>
          <w:color w:val="000000"/>
          <w:strike w:val="1"/>
        </w:rPr>
        <w:t>, the remaining assets and funds of the Corporation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available for distribution shall be divided among and paid ratably to the holders of all outstanding shares of </w:t>
      </w:r>
      <w:r>
        <w:rPr>
          <w:rFonts w:ascii="Arial" w:cs="Arial" w:eastAsia="Arial" w:hAnsi="Arial"/>
          <w:sz w:val="18"/>
          <w:szCs w:val="18"/>
          <w:b w:val="1"/>
          <w:bCs w:val="1"/>
          <w:u w:val="single" w:color="auto"/>
          <w:color w:val="0000FF"/>
          <w:strike w:val="1"/>
        </w:rPr>
        <w:t>Class A</w:t>
      </w:r>
      <w:r>
        <w:rPr>
          <w:rFonts w:ascii="Arial" w:cs="Arial" w:eastAsia="Arial" w:hAnsi="Arial"/>
          <w:sz w:val="18"/>
          <w:szCs w:val="18"/>
          <w:color w:val="000000"/>
          <w:strike w:val="1"/>
        </w:rPr>
        <w:t xml:space="preserve"> Common Stock in proportion to the number of shares held by each such stockholder. A consolidation, reorganization or merger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-2588260</wp:posOffset>
            </wp:positionV>
            <wp:extent cx="50869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08698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-848360</wp:posOffset>
            </wp:positionV>
            <wp:extent cx="32137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0" w:name="page271"/>
    <w:bookmarkEnd w:id="2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7" w:lineRule="auto"/>
        <w:rPr>
          <w:sz w:val="20"/>
          <w:szCs w:val="20"/>
          <w:color w:val="auto"/>
        </w:rPr>
      </w:pPr>
      <w:r>
        <w:rPr>
          <w:rFonts w:ascii="Arial" w:cs="Arial" w:eastAsia="Arial" w:hAnsi="Arial"/>
          <w:sz w:val="18"/>
          <w:szCs w:val="18"/>
          <w:color w:val="auto"/>
        </w:rPr>
        <w:t xml:space="preserve">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4.5</w:t>
      </w:r>
      <w:r>
        <w:rPr>
          <w:rFonts w:ascii="Arial" w:cs="Arial" w:eastAsia="Arial" w:hAnsi="Arial"/>
          <w:sz w:val="18"/>
          <w:szCs w:val="18"/>
          <w:b w:val="1"/>
          <w:bCs w:val="1"/>
          <w:u w:val="single" w:color="auto"/>
          <w:color w:val="0000FF"/>
        </w:rPr>
        <w:t>4.2</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05" w:lineRule="exact"/>
        <w:rPr>
          <w:sz w:val="20"/>
          <w:szCs w:val="20"/>
          <w:color w:val="auto"/>
        </w:rPr>
      </w:pPr>
    </w:p>
    <w:p>
      <w:pPr>
        <w:ind w:left="920" w:hanging="268"/>
        <w:spacing w:after="0"/>
        <w:tabs>
          <w:tab w:leader="none" w:pos="920" w:val="left"/>
        </w:tabs>
        <w:numPr>
          <w:ilvl w:val="0"/>
          <w:numId w:val="90"/>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Adjustments for Stock Splits or Combinations</w:t>
      </w:r>
      <w:r>
        <w:rPr>
          <w:rFonts w:ascii="Arial" w:cs="Arial" w:eastAsia="Arial" w:hAnsi="Arial"/>
          <w:sz w:val="18"/>
          <w:szCs w:val="18"/>
          <w:color w:val="FF0000"/>
          <w:strike w:val="1"/>
        </w:rPr>
        <w:t>.</w:t>
      </w:r>
    </w:p>
    <w:p>
      <w:pPr>
        <w:spacing w:after="0" w:line="103" w:lineRule="exact"/>
        <w:rPr>
          <w:rFonts w:ascii="Arial" w:cs="Arial" w:eastAsia="Arial" w:hAnsi="Arial"/>
          <w:sz w:val="18"/>
          <w:szCs w:val="18"/>
          <w:color w:val="FF0000"/>
          <w:strike w:val="1"/>
        </w:rPr>
      </w:pPr>
    </w:p>
    <w:p>
      <w:pPr>
        <w:ind w:left="1020" w:right="339" w:hanging="8"/>
        <w:spacing w:after="0" w:line="239" w:lineRule="auto"/>
        <w:tabs>
          <w:tab w:leader="none" w:pos="1230" w:val="left"/>
        </w:tabs>
        <w:numPr>
          <w:ilvl w:val="1"/>
          <w:numId w:val="90"/>
        </w:numPr>
        <w:rPr>
          <w:rFonts w:ascii="Arial" w:cs="Arial" w:eastAsia="Arial" w:hAnsi="Arial"/>
          <w:sz w:val="18"/>
          <w:szCs w:val="18"/>
          <w:color w:val="FF0000"/>
          <w:strike w:val="1"/>
        </w:rPr>
      </w:pPr>
      <w:r>
        <w:rPr>
          <w:rFonts w:ascii="Arial" w:cs="Arial" w:eastAsia="Arial" w:hAnsi="Arial"/>
          <w:sz w:val="18"/>
          <w:szCs w:val="18"/>
          <w:color w:val="FF0000"/>
          <w:strike w:val="1"/>
        </w:rPr>
        <w:t>If at any time or from time to time after the Effective Time, the Corporation effects a subdivision or split of the outstanding shares of the Class A Common Stock into a greater number of shares of Class A Common Stock, the Corporation shall simultaneously effect an equivalent subdivision or split of the outstanding shares of Class B Common Stock into a greater number of shares of Class B Common Stock. If at any time or from time to time after the Effective Time, the Corporation effects a subdivision or split of the outstanding shares of the Class B Common Stock into a greater number of shares of Class B Common Stock, the Corporation shall simultaneously effect an equivalent subdivision or split of the outstanding shares of Class A Common Stock into a greater number of shares of Class A Common Stock.</w:t>
      </w:r>
    </w:p>
    <w:p>
      <w:pPr>
        <w:spacing w:after="0" w:line="75" w:lineRule="exact"/>
        <w:rPr>
          <w:rFonts w:ascii="Arial" w:cs="Arial" w:eastAsia="Arial" w:hAnsi="Arial"/>
          <w:sz w:val="18"/>
          <w:szCs w:val="18"/>
          <w:color w:val="FF0000"/>
          <w:strike w:val="1"/>
        </w:rPr>
      </w:pPr>
    </w:p>
    <w:p>
      <w:pPr>
        <w:ind w:left="1020" w:right="319" w:hanging="8"/>
        <w:spacing w:after="0" w:line="239" w:lineRule="auto"/>
        <w:tabs>
          <w:tab w:leader="none" w:pos="1270" w:val="left"/>
        </w:tabs>
        <w:numPr>
          <w:ilvl w:val="1"/>
          <w:numId w:val="90"/>
        </w:numPr>
        <w:rPr>
          <w:rFonts w:ascii="Arial" w:cs="Arial" w:eastAsia="Arial" w:hAnsi="Arial"/>
          <w:sz w:val="18"/>
          <w:szCs w:val="18"/>
          <w:color w:val="FF0000"/>
          <w:strike w:val="1"/>
        </w:rPr>
      </w:pPr>
      <w:r>
        <w:rPr>
          <w:rFonts w:ascii="Arial" w:cs="Arial" w:eastAsia="Arial" w:hAnsi="Arial"/>
          <w:sz w:val="18"/>
          <w:szCs w:val="18"/>
          <w:color w:val="FF0000"/>
          <w:strike w:val="1"/>
        </w:rPr>
        <w:t>If at any time or from time to time after the Effective Time, the Corporation effects a combination of the outstanding shares of the Class A Common Stock into a smaller number of shares of Class A Common Stock, the Corporation shall simultaneously effect an equivalent combination of the outstanding shares of Class B Common Stock into a smaller number of shares of Class B Common Stock. If at any time or from time to time after the Effective Time, the Corporation effects a combination of the outstanding shares of the Class B Common Stock into a smaller number of shares of Class B Common Stock, the Corporation shall simultaneously effect an equivalent combination of the outstanding shares of Class A Common Stock into a smaller number of shares of Class A Common Stock.</w:t>
      </w:r>
    </w:p>
    <w:p>
      <w:pPr>
        <w:spacing w:after="0" w:line="75" w:lineRule="exact"/>
        <w:rPr>
          <w:rFonts w:ascii="Arial" w:cs="Arial" w:eastAsia="Arial" w:hAnsi="Arial"/>
          <w:sz w:val="18"/>
          <w:szCs w:val="18"/>
          <w:color w:val="FF0000"/>
          <w:strike w:val="1"/>
        </w:rPr>
      </w:pPr>
    </w:p>
    <w:p>
      <w:pPr>
        <w:jc w:val="both"/>
        <w:ind w:left="660" w:right="599" w:hanging="8"/>
        <w:spacing w:after="0" w:line="280" w:lineRule="auto"/>
        <w:tabs>
          <w:tab w:leader="none" w:pos="930" w:val="left"/>
        </w:tabs>
        <w:numPr>
          <w:ilvl w:val="0"/>
          <w:numId w:val="90"/>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Class B Common Stock</w:t>
      </w:r>
      <w:r>
        <w:rPr>
          <w:rFonts w:ascii="Arial" w:cs="Arial" w:eastAsia="Arial" w:hAnsi="Arial"/>
          <w:sz w:val="17"/>
          <w:szCs w:val="17"/>
          <w:color w:val="FF0000"/>
          <w:strike w:val="1"/>
        </w:rPr>
        <w:t>. From and after the Effective Time, shares of Class B Common Stock</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may be issued only to, and registered only in the name of any Key Holder and any Person in such Key Holder’s Permitted Ownership Group (any such Person, a “</w:t>
      </w:r>
      <w:r>
        <w:rPr>
          <w:rFonts w:ascii="Arial" w:cs="Arial" w:eastAsia="Arial" w:hAnsi="Arial"/>
          <w:sz w:val="17"/>
          <w:szCs w:val="17"/>
          <w:b w:val="1"/>
          <w:bCs w:val="1"/>
          <w:i w:val="1"/>
          <w:iCs w:val="1"/>
          <w:color w:val="FF0000"/>
          <w:strike w:val="1"/>
        </w:rPr>
        <w:t>Permitted Class B Holder</w:t>
      </w:r>
      <w:r>
        <w:rPr>
          <w:rFonts w:ascii="Arial" w:cs="Arial" w:eastAsia="Arial" w:hAnsi="Arial"/>
          <w:sz w:val="17"/>
          <w:szCs w:val="17"/>
          <w:color w:val="FF0000"/>
          <w:strike w:val="1"/>
        </w:rPr>
        <w:t>”).</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color w:val="FF0000"/>
          <w:strike w:val="1"/>
        </w:rPr>
        <w:t xml:space="preserve">Section 4.6 </w:t>
      </w:r>
      <w:r>
        <w:rPr>
          <w:rFonts w:ascii="Arial" w:cs="Arial" w:eastAsia="Arial" w:hAnsi="Arial"/>
          <w:sz w:val="18"/>
          <w:szCs w:val="18"/>
          <w:u w:val="single" w:color="auto"/>
          <w:color w:val="FF0000"/>
          <w:strike w:val="1"/>
        </w:rPr>
        <w:t>Transfers of Class B Common Stock</w:t>
      </w:r>
      <w:r>
        <w:rPr>
          <w:rFonts w:ascii="Arial" w:cs="Arial" w:eastAsia="Arial" w:hAnsi="Arial"/>
          <w:sz w:val="18"/>
          <w:szCs w:val="18"/>
          <w:color w:val="FF0000"/>
          <w:strike w:val="1"/>
        </w:rPr>
        <w:t>.</w:t>
      </w:r>
    </w:p>
    <w:p>
      <w:pPr>
        <w:spacing w:after="0" w:line="104" w:lineRule="exact"/>
        <w:rPr>
          <w:sz w:val="20"/>
          <w:szCs w:val="20"/>
          <w:color w:val="auto"/>
        </w:rPr>
      </w:pPr>
    </w:p>
    <w:p>
      <w:pPr>
        <w:ind w:left="660" w:right="459" w:hanging="8"/>
        <w:spacing w:after="0" w:line="244" w:lineRule="auto"/>
        <w:tabs>
          <w:tab w:leader="none" w:pos="930" w:val="left"/>
        </w:tabs>
        <w:numPr>
          <w:ilvl w:val="0"/>
          <w:numId w:val="91"/>
        </w:numPr>
        <w:rPr>
          <w:rFonts w:ascii="Arial" w:cs="Arial" w:eastAsia="Arial" w:hAnsi="Arial"/>
          <w:sz w:val="18"/>
          <w:szCs w:val="18"/>
          <w:color w:val="FF0000"/>
          <w:strike w:val="1"/>
        </w:rPr>
      </w:pPr>
      <w:r>
        <w:rPr>
          <w:rFonts w:ascii="Arial" w:cs="Arial" w:eastAsia="Arial" w:hAnsi="Arial"/>
          <w:sz w:val="18"/>
          <w:szCs w:val="18"/>
          <w:color w:val="FF0000"/>
          <w:strike w:val="1"/>
        </w:rPr>
        <w:t>A Permitted Class B Holder may surrender and transfer shares of such Class B Common Stock, as applicable, to the Corporation for cancellation for no consideration at any time. Following the surrender and transfer, or other acquisition, of any shares of Class B Common Stock to or by the Corporation, the Corporation shall take all actions necessary to cancel and retire such shares and such shares shall not be re-issued by the Corporation.</w:t>
      </w:r>
    </w:p>
    <w:p>
      <w:pPr>
        <w:spacing w:after="0" w:line="68" w:lineRule="exact"/>
        <w:rPr>
          <w:rFonts w:ascii="Arial" w:cs="Arial" w:eastAsia="Arial" w:hAnsi="Arial"/>
          <w:sz w:val="18"/>
          <w:szCs w:val="18"/>
          <w:color w:val="FF0000"/>
          <w:strike w:val="1"/>
        </w:rPr>
      </w:pPr>
    </w:p>
    <w:p>
      <w:pPr>
        <w:ind w:left="660" w:right="499" w:hanging="8"/>
        <w:spacing w:after="0"/>
        <w:tabs>
          <w:tab w:leader="none" w:pos="930" w:val="left"/>
        </w:tabs>
        <w:numPr>
          <w:ilvl w:val="0"/>
          <w:numId w:val="91"/>
        </w:numPr>
        <w:rPr>
          <w:rFonts w:ascii="Arial" w:cs="Arial" w:eastAsia="Arial" w:hAnsi="Arial"/>
          <w:sz w:val="18"/>
          <w:szCs w:val="18"/>
          <w:color w:val="FF0000"/>
          <w:strike w:val="1"/>
        </w:rPr>
      </w:pPr>
      <w:r>
        <w:rPr>
          <w:rFonts w:ascii="Arial" w:cs="Arial" w:eastAsia="Arial" w:hAnsi="Arial"/>
          <w:sz w:val="18"/>
          <w:szCs w:val="18"/>
          <w:color w:val="FF0000"/>
          <w:strike w:val="1"/>
        </w:rPr>
        <w:t>If a Permitted Class B Holder Transfers shares of Class B Common Stock to any Person in the same Permitted Ownership Group as such Permitted Class B Holder, such shares shall remain shares of Class B Common Stock upon consummation of such Transfer. If a Permitted Class B Holder Transfers shares of Class B Common Stock to any Person that is not in the same Permitted Ownership Group as such Permitted Class B Holder, such shares shall automatically, without any further action by the Corporation or the holder of any such share, convert into shares of Class A Common Stock, on a one-for-one basis, upon consummation of such Transfer.</w:t>
      </w:r>
    </w:p>
    <w:p>
      <w:pPr>
        <w:spacing w:after="0" w:line="76" w:lineRule="exact"/>
        <w:rPr>
          <w:rFonts w:ascii="Arial" w:cs="Arial" w:eastAsia="Arial" w:hAnsi="Arial"/>
          <w:sz w:val="18"/>
          <w:szCs w:val="18"/>
          <w:color w:val="FF0000"/>
          <w:strike w:val="1"/>
        </w:rPr>
      </w:pPr>
    </w:p>
    <w:p>
      <w:pPr>
        <w:ind w:left="660" w:right="299" w:hanging="8"/>
        <w:spacing w:after="0" w:line="238" w:lineRule="auto"/>
        <w:tabs>
          <w:tab w:leader="none" w:pos="920" w:val="left"/>
        </w:tabs>
        <w:numPr>
          <w:ilvl w:val="0"/>
          <w:numId w:val="91"/>
        </w:numPr>
        <w:rPr>
          <w:rFonts w:ascii="Arial" w:cs="Arial" w:eastAsia="Arial" w:hAnsi="Arial"/>
          <w:sz w:val="18"/>
          <w:szCs w:val="18"/>
          <w:color w:val="FF0000"/>
          <w:strike w:val="1"/>
        </w:rPr>
      </w:pPr>
      <w:r>
        <w:rPr>
          <w:rFonts w:ascii="Arial" w:cs="Arial" w:eastAsia="Arial" w:hAnsi="Arial"/>
          <w:sz w:val="18"/>
          <w:szCs w:val="18"/>
          <w:color w:val="FF0000"/>
          <w:strike w:val="1"/>
        </w:rPr>
        <w:t>If a Permitted Class B Holder, voluntarily or involuntarily (including by way of a foreclosure), purportedly Transfers, or attempts to Transfer, any such shares of Class B Common Stock to any Person that is not in the same Permitted Ownership Group as such Permitted Class B Holder, upon consummation of such Transfer, such shares of Class B Common Stock shall be automatically, without any further action by the Corporation or the holder of any such share, converted into an equal number of shares of Class A Common Stock and the purported transferee of such shares of Class B Common Stock shall not obtain any rights in, to or with respect to such shares of Class B Common Stock (the “</w:t>
      </w:r>
      <w:r>
        <w:rPr>
          <w:rFonts w:ascii="Arial" w:cs="Arial" w:eastAsia="Arial" w:hAnsi="Arial"/>
          <w:sz w:val="18"/>
          <w:szCs w:val="18"/>
          <w:b w:val="1"/>
          <w:bCs w:val="1"/>
          <w:i w:val="1"/>
          <w:iCs w:val="1"/>
          <w:color w:val="FF0000"/>
          <w:strike w:val="1"/>
        </w:rPr>
        <w:t>Class B Restricted Shares</w:t>
      </w:r>
      <w:r>
        <w:rPr>
          <w:rFonts w:ascii="Arial" w:cs="Arial" w:eastAsia="Arial" w:hAnsi="Arial"/>
          <w:sz w:val="18"/>
          <w:szCs w:val="18"/>
          <w:color w:val="FF0000"/>
          <w:strike w:val="1"/>
        </w:rPr>
        <w:t>”) (other than rights in, to or with respect to the shares of Class A Common Stock into which such Class B Restricted Shares are converted), and the purported Transfer of such Class B Restricted Shares shall not be recognized by the Corporation, the transfer agent or the Secretary of the Corporation (other than to the extent necessary to recognize the ownership by the transferee of the shares of Class A Common Stock into which such Class B Restricted Shares are converted).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1" w:name="page272"/>
    <w:bookmarkEnd w:id="2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hanging="8"/>
        <w:spacing w:after="0" w:line="239" w:lineRule="auto"/>
        <w:tabs>
          <w:tab w:leader="none" w:pos="930" w:val="left"/>
        </w:tabs>
        <w:numPr>
          <w:ilvl w:val="0"/>
          <w:numId w:val="92"/>
        </w:numPr>
        <w:rPr>
          <w:rFonts w:ascii="Arial" w:cs="Arial" w:eastAsia="Arial" w:hAnsi="Arial"/>
          <w:sz w:val="18"/>
          <w:szCs w:val="18"/>
          <w:color w:val="FF0000"/>
          <w:strike w:val="1"/>
        </w:rPr>
      </w:pPr>
      <w:r>
        <w:rPr>
          <w:rFonts w:ascii="Arial" w:cs="Arial" w:eastAsia="Arial" w:hAnsi="Arial"/>
          <w:sz w:val="18"/>
          <w:szCs w:val="18"/>
          <w:color w:val="FF0000"/>
          <w:strike w:val="1"/>
        </w:rPr>
        <w:t>Upon a determination by the Corporation that a Permitted Class B Holder has attempted or may attempt to Transfer shares of Class B Common Stock to a Person that is not in the same Permitted Ownership Group as such Permitted Class B Holder, the Corporation may take such action as it deems necessary or advisable to refuse to give effect to such Transfer or acquisition on the books and records of the Corporation, including without limitation to cause the transfer agent or the Secretary of the Corporation, as applicable, to not record the purported transferee as the record owner of the Class B Restricted Shares, and to institute proceedings to enjoin or rescind any such Transfer or acquisition (in each case, other than to the extent necessary to recognize the ownership by the transferee of the shares of Class A Common Stock into which such Class B Restricted Shares are converted).</w:t>
      </w:r>
    </w:p>
    <w:p>
      <w:pPr>
        <w:spacing w:after="0" w:line="71" w:lineRule="exact"/>
        <w:rPr>
          <w:rFonts w:ascii="Arial" w:cs="Arial" w:eastAsia="Arial" w:hAnsi="Arial"/>
          <w:sz w:val="18"/>
          <w:szCs w:val="18"/>
          <w:color w:val="FF0000"/>
          <w:strike w:val="1"/>
        </w:rPr>
      </w:pPr>
    </w:p>
    <w:p>
      <w:pPr>
        <w:ind w:left="660" w:right="319" w:hanging="8"/>
        <w:spacing w:after="0"/>
        <w:tabs>
          <w:tab w:leader="none" w:pos="930" w:val="left"/>
        </w:tabs>
        <w:numPr>
          <w:ilvl w:val="0"/>
          <w:numId w:val="92"/>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Board of Directors may, to the extent permitted by law, from time to time establish, modify, amend or rescind, by bylaw or otherwise, regulations and procedures not inconsistent with the provisions of this </w:t>
      </w:r>
      <w:r>
        <w:rPr>
          <w:rFonts w:ascii="Arial" w:cs="Arial" w:eastAsia="Arial" w:hAnsi="Arial"/>
          <w:sz w:val="18"/>
          <w:szCs w:val="18"/>
          <w:u w:val="single" w:color="auto"/>
          <w:color w:val="FF0000"/>
          <w:strike w:val="1"/>
        </w:rPr>
        <w:t>Section 4.6</w:t>
      </w:r>
      <w:r>
        <w:rPr>
          <w:rFonts w:ascii="Arial" w:cs="Arial" w:eastAsia="Arial" w:hAnsi="Arial"/>
          <w:sz w:val="18"/>
          <w:szCs w:val="18"/>
          <w:color w:val="FF0000"/>
          <w:strike w:val="1"/>
        </w:rPr>
        <w:t xml:space="preserve"> for determining whether any Transfer or acquisition of shares of Class B Common Stock is being made to a Person that is not in the same Permitted Ownership Group as the transferor, and for the orderly application, administration and implementation of the provisions of this </w:t>
      </w:r>
      <w:r>
        <w:rPr>
          <w:rFonts w:ascii="Arial" w:cs="Arial" w:eastAsia="Arial" w:hAnsi="Arial"/>
          <w:sz w:val="18"/>
          <w:szCs w:val="18"/>
          <w:u w:val="single" w:color="auto"/>
          <w:color w:val="FF0000"/>
          <w:strike w:val="1"/>
        </w:rPr>
        <w:t>Section 4.6</w:t>
      </w:r>
      <w:r>
        <w:rPr>
          <w:rFonts w:ascii="Arial" w:cs="Arial" w:eastAsia="Arial" w:hAnsi="Arial"/>
          <w:sz w:val="18"/>
          <w:szCs w:val="18"/>
          <w:color w:val="FF0000"/>
          <w:strike w:val="1"/>
        </w:rPr>
        <w:t>. Any such procedures and regulations shall be kept on file with the Secretary of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Corporation and with the transfer agent and shall be made available for inspection by and, upon written request shall be mailed to, any requesting holders of shares of Class B Common Stock.</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FF0000"/>
          <w:strike w:val="1"/>
        </w:rPr>
        <w:t xml:space="preserve">Section 4.7 </w:t>
      </w:r>
      <w:r>
        <w:rPr>
          <w:rFonts w:ascii="Arial" w:cs="Arial" w:eastAsia="Arial" w:hAnsi="Arial"/>
          <w:sz w:val="18"/>
          <w:szCs w:val="18"/>
          <w:u w:val="single" w:color="auto"/>
          <w:color w:val="FF0000"/>
          <w:strike w:val="1"/>
        </w:rPr>
        <w:t>Other Conversions of Class B Common Stock</w:t>
      </w:r>
      <w:r>
        <w:rPr>
          <w:rFonts w:ascii="Arial" w:cs="Arial" w:eastAsia="Arial" w:hAnsi="Arial"/>
          <w:sz w:val="18"/>
          <w:szCs w:val="18"/>
          <w:color w:val="FF0000"/>
          <w:strike w:val="1"/>
        </w:rPr>
        <w:t>.</w:t>
      </w:r>
    </w:p>
    <w:p>
      <w:pPr>
        <w:spacing w:after="0" w:line="104" w:lineRule="exact"/>
        <w:rPr>
          <w:sz w:val="20"/>
          <w:szCs w:val="20"/>
          <w:color w:val="auto"/>
        </w:rPr>
      </w:pPr>
    </w:p>
    <w:p>
      <w:pPr>
        <w:ind w:left="660" w:right="339" w:hanging="8"/>
        <w:spacing w:after="0" w:line="236" w:lineRule="auto"/>
        <w:tabs>
          <w:tab w:leader="none" w:pos="930" w:val="left"/>
        </w:tabs>
        <w:numPr>
          <w:ilvl w:val="0"/>
          <w:numId w:val="93"/>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Voluntary Conversion</w:t>
      </w:r>
      <w:r>
        <w:rPr>
          <w:rFonts w:ascii="Arial" w:cs="Arial" w:eastAsia="Arial" w:hAnsi="Arial"/>
          <w:sz w:val="18"/>
          <w:szCs w:val="18"/>
          <w:color w:val="FF0000"/>
          <w:strike w:val="1"/>
        </w:rPr>
        <w:t>. Each share of Class B Common Stock shall be convertible, at the option of</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the holder thereof, at any time after the Effective Time at the office of Corporation or any transfer agent for such stock, into one (1) fully paid and nonassessable share of Class A Common Stock. Before any holder of Class B Common Stock shall be entitled to voluntarily convert the same into shares of Class A Common Stock, he, she or it shall (i) if such holder’s shares are certificated, surrender the certificate or certificates therefor (or, if such holder alleges that such certificate(s) has been lost, stolen or destroyed, a lost certificate affidavit and agreement reasonably acceptable to the Corporation to indemnify the Corporation against any claim that may be made against the Corporation on account of the alleged loss, theft or destruction of such certificate), duly endorsed, at the office of the Corporation or of any transfer agent for the Common Stock, and (ii) give written notice to the Corporation at its principal corporate office, of the election to convert the same and, if applicable, any event on which such conversion is contingent. Such notice shall state such holder’s name or the names of the nominees (i) in which such holder wishes the certificate or certificates for shares of Class A Common Stock to be issued (if such shares of Class A Common Stock are to be certificated) or (ii) in which such shares of Class A Common Stock are to be registered in book entry (if such shares of Class A Common Stock are uncertificated). If required by the Corporation, such holder shall furnish, in a form satisfactory to the Corporation, a written instrument or instruments of transfer, duly executed by the holder or his, her or its attorney duly authorized in writing. As soon as practicable after the conversion of such shares, there shall be issued and delivered to such holder, or to his, her or its nominees, a certificate or certificates (if such shares are to be certificated) or a book entry or book entries (if such shares are to be uncertificated) for the number of shares of Class A Common Stock into which the shares of Class B Common Stock so surrendered were converted and a certificate (if such shares are to be certificated) or a book entry or book entries (if such shares are to be uncertificated) for the number (if any) of the shares of Class B Common Stock represented by the surrendered certificate or a book entry or book entries that were not converted into Class A Common Stock.</w:t>
      </w:r>
    </w:p>
    <w:p>
      <w:pPr>
        <w:spacing w:after="0" w:line="81" w:lineRule="exact"/>
        <w:rPr>
          <w:rFonts w:ascii="Arial" w:cs="Arial" w:eastAsia="Arial" w:hAnsi="Arial"/>
          <w:sz w:val="18"/>
          <w:szCs w:val="18"/>
          <w:color w:val="FF0000"/>
          <w:strike w:val="1"/>
        </w:rPr>
      </w:pPr>
    </w:p>
    <w:p>
      <w:pPr>
        <w:ind w:left="660" w:right="359" w:hanging="8"/>
        <w:spacing w:after="0" w:line="242" w:lineRule="auto"/>
        <w:tabs>
          <w:tab w:leader="none" w:pos="930" w:val="left"/>
        </w:tabs>
        <w:numPr>
          <w:ilvl w:val="0"/>
          <w:numId w:val="93"/>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Mandatory Conversion</w:t>
      </w:r>
      <w:r>
        <w:rPr>
          <w:rFonts w:ascii="Arial" w:cs="Arial" w:eastAsia="Arial" w:hAnsi="Arial"/>
          <w:sz w:val="18"/>
          <w:szCs w:val="18"/>
          <w:color w:val="FF0000"/>
          <w:strike w:val="1"/>
        </w:rPr>
        <w:t>. Each share of Class B Common Stock held by any Permitted Class B</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Holder shall convert into one (1) fully paid and nonassessable share of Class A Common Stock upon the earlier of (i) the Transfer of such share to a Person that is not in the same Permitted Ownership Group as such Permitted Class B Holder, as contemplated by </w:t>
      </w:r>
      <w:r>
        <w:rPr>
          <w:rFonts w:ascii="Arial" w:cs="Arial" w:eastAsia="Arial" w:hAnsi="Arial"/>
          <w:sz w:val="18"/>
          <w:szCs w:val="18"/>
          <w:u w:val="single" w:color="auto"/>
          <w:color w:val="FF0000"/>
          <w:strike w:val="1"/>
        </w:rPr>
        <w:t>Section 4.6</w:t>
      </w:r>
      <w:r>
        <w:rPr>
          <w:rFonts w:ascii="Arial" w:cs="Arial" w:eastAsia="Arial" w:hAnsi="Arial"/>
          <w:sz w:val="18"/>
          <w:szCs w:val="18"/>
          <w:color w:val="FF0000"/>
          <w:strike w:val="1"/>
        </w:rPr>
        <w:t xml:space="preserve"> hereof, (ii) November 1, 2028, or (iii) with respect to any shares held by any Person in a Key Holder’s Permitted Ownership Group, (A) such time as a Key Holder is removed or resigns from the Board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2" w:name="page273"/>
    <w:bookmarkEnd w:id="2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FF0000"/>
          <w:strike w:val="1"/>
        </w:rPr>
        <w:t>of Directors, or otherwise ceases to serve as a Director on the Board of Directors, (B) such time as a Key Holder ceases to be either an employee, officer or consultant of the Corporation or any of its subsidiaries, or (C) the date that is 12 months after the death or Disability of a Key Holder.</w:t>
      </w:r>
    </w:p>
    <w:p>
      <w:pPr>
        <w:spacing w:after="0" w:line="61" w:lineRule="exact"/>
        <w:rPr>
          <w:sz w:val="20"/>
          <w:szCs w:val="20"/>
          <w:color w:val="auto"/>
        </w:rPr>
      </w:pPr>
    </w:p>
    <w:p>
      <w:pPr>
        <w:ind w:left="660" w:right="319" w:hanging="8"/>
        <w:spacing w:after="0" w:line="237" w:lineRule="auto"/>
        <w:tabs>
          <w:tab w:leader="none" w:pos="920" w:val="left"/>
        </w:tabs>
        <w:numPr>
          <w:ilvl w:val="0"/>
          <w:numId w:val="94"/>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Record Holders</w:t>
      </w:r>
      <w:r>
        <w:rPr>
          <w:rFonts w:ascii="Arial" w:cs="Arial" w:eastAsia="Arial" w:hAnsi="Arial"/>
          <w:sz w:val="18"/>
          <w:szCs w:val="18"/>
          <w:color w:val="FF0000"/>
          <w:strike w:val="1"/>
        </w:rPr>
        <w:t>. The Persons entitled to shares of Class A Common Stock upon conversion of</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Class B Common Stock shall be treated for all purposes as the record holders of such shares of Class A Common Stock as of the date of conversion. Notwithstanding anything to the contrary in this Certificate of Incorporation, if the date on which any share of Class B Common Stock is converted into Class A Common Stock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(or other securities exercisable, exchangeable or convertible into such shares), such dividend or distribution shall be deemed to have been declared, and shall be payable in, shares of Class A Common Stock (or other securities exercisable, exchangeable or convertible into such shares) and no shares of Class B Common Stock (or other securities exercisable, exchangeable or convertible into such shares) shall be issued in payment thereof.</w:t>
      </w:r>
    </w:p>
    <w:p>
      <w:pPr>
        <w:spacing w:after="0" w:line="79" w:lineRule="exact"/>
        <w:rPr>
          <w:rFonts w:ascii="Arial" w:cs="Arial" w:eastAsia="Arial" w:hAnsi="Arial"/>
          <w:sz w:val="18"/>
          <w:szCs w:val="18"/>
          <w:color w:val="FF0000"/>
          <w:strike w:val="1"/>
        </w:rPr>
      </w:pPr>
    </w:p>
    <w:p>
      <w:pPr>
        <w:ind w:left="660" w:right="379" w:hanging="8"/>
        <w:spacing w:after="0" w:line="238" w:lineRule="auto"/>
        <w:tabs>
          <w:tab w:leader="none" w:pos="930" w:val="left"/>
        </w:tabs>
        <w:numPr>
          <w:ilvl w:val="0"/>
          <w:numId w:val="94"/>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Reservation of Stock Issuable Upon Conversion</w:t>
      </w:r>
      <w:r>
        <w:rPr>
          <w:rFonts w:ascii="Arial" w:cs="Arial" w:eastAsia="Arial" w:hAnsi="Arial"/>
          <w:sz w:val="18"/>
          <w:szCs w:val="18"/>
          <w:color w:val="FF0000"/>
          <w:strike w:val="1"/>
        </w:rPr>
        <w:t>. The Corporation shall at all times reserve and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in addition to such other remedies as shall be available to the holders of Class B Common Stock, the Corporation shall take such corporate action as may, in the opinion of its counsel, be necessary to increase its authorized but unissued shares of Class A Common Stock to such number of shares as shall be sufficient for such purposes, including, without limitation, engaging in commercially reasonable efforts to obtain the requisite stockholder approval of any necessary amendment to this Certificate of Incorporation.</w:t>
      </w:r>
    </w:p>
    <w:p>
      <w:pPr>
        <w:spacing w:after="0" w:line="74" w:lineRule="exact"/>
        <w:rPr>
          <w:rFonts w:ascii="Arial" w:cs="Arial" w:eastAsia="Arial" w:hAnsi="Arial"/>
          <w:sz w:val="18"/>
          <w:szCs w:val="18"/>
          <w:color w:val="FF0000"/>
          <w:strike w:val="1"/>
        </w:rPr>
      </w:pPr>
    </w:p>
    <w:p>
      <w:pPr>
        <w:jc w:val="both"/>
        <w:ind w:left="660" w:right="319" w:hanging="8"/>
        <w:spacing w:after="0" w:line="247" w:lineRule="auto"/>
        <w:tabs>
          <w:tab w:leader="none" w:pos="930" w:val="left"/>
        </w:tabs>
        <w:numPr>
          <w:ilvl w:val="0"/>
          <w:numId w:val="94"/>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Status of Converted Stock</w:t>
      </w:r>
      <w:r>
        <w:rPr>
          <w:rFonts w:ascii="Arial" w:cs="Arial" w:eastAsia="Arial" w:hAnsi="Arial"/>
          <w:sz w:val="18"/>
          <w:szCs w:val="18"/>
          <w:color w:val="FF0000"/>
          <w:strike w:val="1"/>
        </w:rPr>
        <w:t>. In the event any shares of Class B Common Stock shall be converted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pursuant to the terms of this Certificate of Incorporation or otherwise acquired by the Corporation, the shares so converted shall be cancelled and shall not be reissued by the Corporation and the Corporation shall take all actions necessary to cancel and retire such shares.</w:t>
      </w:r>
    </w:p>
    <w:p>
      <w:pPr>
        <w:spacing w:after="0" w:line="65" w:lineRule="exact"/>
        <w:rPr>
          <w:rFonts w:ascii="Arial" w:cs="Arial" w:eastAsia="Arial" w:hAnsi="Arial"/>
          <w:sz w:val="18"/>
          <w:szCs w:val="18"/>
          <w:color w:val="FF0000"/>
          <w:strike w:val="1"/>
        </w:rPr>
      </w:pPr>
    </w:p>
    <w:p>
      <w:pPr>
        <w:ind w:left="660" w:right="339" w:hanging="8"/>
        <w:spacing w:after="0" w:line="259" w:lineRule="auto"/>
        <w:tabs>
          <w:tab w:leader="none" w:pos="880" w:val="left"/>
        </w:tabs>
        <w:numPr>
          <w:ilvl w:val="0"/>
          <w:numId w:val="94"/>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Taxes Payable</w:t>
      </w:r>
      <w:r>
        <w:rPr>
          <w:rFonts w:ascii="Arial" w:cs="Arial" w:eastAsia="Arial" w:hAnsi="Arial"/>
          <w:sz w:val="17"/>
          <w:szCs w:val="17"/>
          <w:color w:val="FF0000"/>
          <w:strike w:val="1"/>
        </w:rPr>
        <w:t>. The Corporation shall not be required to pay any tax which may be payable in</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respect of any Transfer involved in the issuance and delivery of shares of Class A Common Stock in a name other than that in which the shares of Class B Common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or is not otherwise payable.</w:t>
      </w:r>
    </w:p>
    <w:p>
      <w:pPr>
        <w:spacing w:after="0" w:line="57" w:lineRule="exact"/>
        <w:rPr>
          <w:sz w:val="20"/>
          <w:szCs w:val="20"/>
          <w:color w:val="auto"/>
        </w:rPr>
      </w:pPr>
    </w:p>
    <w:p>
      <w:pPr>
        <w:ind w:left="300" w:right="519"/>
        <w:spacing w:after="0" w:line="253" w:lineRule="auto"/>
        <w:rPr>
          <w:sz w:val="20"/>
          <w:szCs w:val="20"/>
          <w:color w:val="auto"/>
        </w:rPr>
      </w:pPr>
      <w:r>
        <w:rPr>
          <w:rFonts w:ascii="Arial" w:cs="Arial" w:eastAsia="Arial" w:hAnsi="Arial"/>
          <w:sz w:val="18"/>
          <w:szCs w:val="18"/>
          <w:color w:val="FF0000"/>
          <w:strike w:val="1"/>
        </w:rPr>
        <w:t xml:space="preserve">Section 4.8 </w:t>
      </w:r>
      <w:r>
        <w:rPr>
          <w:rFonts w:ascii="Arial" w:cs="Arial" w:eastAsia="Arial" w:hAnsi="Arial"/>
          <w:sz w:val="18"/>
          <w:szCs w:val="18"/>
          <w:u w:val="single" w:color="auto"/>
          <w:color w:val="FF0000"/>
          <w:strike w:val="1"/>
        </w:rPr>
        <w:t>Certificates; Notice</w:t>
      </w:r>
      <w:r>
        <w:rPr>
          <w:rFonts w:ascii="Arial" w:cs="Arial" w:eastAsia="Arial" w:hAnsi="Arial"/>
          <w:sz w:val="18"/>
          <w:szCs w:val="18"/>
          <w:color w:val="FF0000"/>
          <w:strike w:val="1"/>
        </w:rPr>
        <w:t>. All certificates or book entries representing shares of Class B Common Stock shall bear a legend substantially in the following form (or in such other form as the Board of Directors may determine):</w:t>
      </w:r>
    </w:p>
    <w:p>
      <w:pPr>
        <w:spacing w:after="0" w:line="61" w:lineRule="exact"/>
        <w:rPr>
          <w:sz w:val="20"/>
          <w:szCs w:val="20"/>
          <w:color w:val="auto"/>
        </w:rPr>
      </w:pPr>
    </w:p>
    <w:p>
      <w:pPr>
        <w:ind w:left="660" w:right="559"/>
        <w:spacing w:after="0" w:line="242" w:lineRule="auto"/>
        <w:rPr>
          <w:sz w:val="20"/>
          <w:szCs w:val="20"/>
          <w:color w:val="auto"/>
        </w:rPr>
      </w:pPr>
      <w:r>
        <w:rPr>
          <w:rFonts w:ascii="Arial" w:cs="Arial" w:eastAsia="Arial" w:hAnsi="Arial"/>
          <w:sz w:val="18"/>
          <w:szCs w:val="18"/>
          <w:color w:val="FF0000"/>
          <w:strike w:val="1"/>
        </w:rPr>
        <w:t>THE SECURITIES REPRESENTED BY THIS [CERTIFICATE][BOOK ENTRY] ARE SUBJECT TO THE RESTRICTIONS (INCLUDING RESTRICTIONS ON TRANSFER) SET FORTH IN THE CERTIFICATE OF INCORPORATION OF THE CORPORATION, AS IT MAY BE AMENDED AND/OR RESTATED, (A COPY OF WHICH IS ON FILE WITH THE SECRETARY OF THE CORPORATION AND SHALL BE PROVIDED FREE OF CHARGE TO ANY STOCKHOLDER MAKING A REQUEST THEREFOR).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3" w:name="page274"/>
    <w:bookmarkEnd w:id="2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39"/>
        <w:spacing w:after="0" w:line="242" w:lineRule="auto"/>
        <w:rPr>
          <w:sz w:val="20"/>
          <w:szCs w:val="20"/>
          <w:color w:val="auto"/>
        </w:rPr>
      </w:pPr>
      <w:r>
        <w:rPr>
          <w:rFonts w:ascii="Arial" w:cs="Arial" w:eastAsia="Arial" w:hAnsi="Arial"/>
          <w:sz w:val="18"/>
          <w:szCs w:val="18"/>
          <w:color w:val="FF0000"/>
          <w:strike w:val="1"/>
        </w:rPr>
        <w:t>All holders of uncertificated shares of Class B Common Stock shall be given notice within a reasonable time after the issuance or transfer of uncertificated shares of such stock, in writing or by electronic transmission, that the Class B Common Stock represented by book entry or book entries are subject to the restrictions (including restrictions on transfer) set forth in this Certificate of Incorporation (a copy of which is on file with the Secretary of the Corporation and shall be provided free of charge to any stockholder making a request therefor)</w:t>
      </w:r>
    </w:p>
    <w:p>
      <w:pPr>
        <w:spacing w:after="0" w:line="71" w:lineRule="exact"/>
        <w:rPr>
          <w:sz w:val="20"/>
          <w:szCs w:val="20"/>
          <w:color w:val="auto"/>
        </w:rPr>
      </w:pPr>
    </w:p>
    <w:p>
      <w:pPr>
        <w:ind w:left="300" w:right="439"/>
        <w:spacing w:after="0" w:line="244" w:lineRule="auto"/>
        <w:rPr>
          <w:sz w:val="20"/>
          <w:szCs w:val="20"/>
          <w:color w:val="auto"/>
        </w:rPr>
      </w:pPr>
      <w:r>
        <w:rPr>
          <w:rFonts w:ascii="Arial" w:cs="Arial" w:eastAsia="Arial" w:hAnsi="Arial"/>
          <w:sz w:val="18"/>
          <w:szCs w:val="18"/>
          <w:color w:val="FF0000"/>
          <w:strike w:val="1"/>
        </w:rPr>
        <w:t xml:space="preserve">Section 4.9 </w:t>
      </w:r>
      <w:r>
        <w:rPr>
          <w:rFonts w:ascii="Arial" w:cs="Arial" w:eastAsia="Arial" w:hAnsi="Arial"/>
          <w:sz w:val="18"/>
          <w:szCs w:val="18"/>
          <w:u w:val="single" w:color="auto"/>
          <w:color w:val="FF0000"/>
          <w:strike w:val="1"/>
        </w:rPr>
        <w:t>Fractions</w:t>
      </w:r>
      <w:r>
        <w:rPr>
          <w:rFonts w:ascii="Arial" w:cs="Arial" w:eastAsia="Arial" w:hAnsi="Arial"/>
          <w:sz w:val="18"/>
          <w:szCs w:val="18"/>
          <w:color w:val="FF0000"/>
          <w:strike w:val="1"/>
        </w:rPr>
        <w:t xml:space="preserve">. No fractional shares of Class A Common Stock shall be deliverable upon any conversion contemplated by this </w:t>
      </w:r>
      <w:r>
        <w:rPr>
          <w:rFonts w:ascii="Arial" w:cs="Arial" w:eastAsia="Arial" w:hAnsi="Arial"/>
          <w:sz w:val="18"/>
          <w:szCs w:val="18"/>
          <w:u w:val="single" w:color="auto"/>
          <w:color w:val="FF0000"/>
          <w:strike w:val="1"/>
        </w:rPr>
        <w:t>Section 4</w:t>
      </w:r>
      <w:r>
        <w:rPr>
          <w:rFonts w:ascii="Arial" w:cs="Arial" w:eastAsia="Arial" w:hAnsi="Arial"/>
          <w:sz w:val="18"/>
          <w:szCs w:val="18"/>
          <w:color w:val="FF0000"/>
          <w:strike w:val="1"/>
        </w:rPr>
        <w:t xml:space="preserve">. Stockholders who otherwise would have been entitled to receive any fractional share of Class A Common Stock pursuant to a conversion contemplated by this </w:t>
      </w:r>
      <w:r>
        <w:rPr>
          <w:rFonts w:ascii="Arial" w:cs="Arial" w:eastAsia="Arial" w:hAnsi="Arial"/>
          <w:sz w:val="18"/>
          <w:szCs w:val="18"/>
          <w:u w:val="single" w:color="auto"/>
          <w:color w:val="FF0000"/>
          <w:strike w:val="1"/>
        </w:rPr>
        <w:t>Section 4</w:t>
      </w:r>
      <w:r>
        <w:rPr>
          <w:rFonts w:ascii="Arial" w:cs="Arial" w:eastAsia="Arial" w:hAnsi="Arial"/>
          <w:sz w:val="18"/>
          <w:szCs w:val="18"/>
          <w:color w:val="FF0000"/>
          <w:strike w:val="1"/>
        </w:rPr>
        <w:t>, in lieu of receipt of such fractional interest, shall be entitled to receive from the Corporation an</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amount in cash equal to the fair value of such fractional share as of the time of conversion.</w:t>
      </w:r>
    </w:p>
    <w:p>
      <w:pPr>
        <w:spacing w:after="0" w:line="68"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FF0000"/>
          <w:strike w:val="1"/>
        </w:rPr>
        <w:t xml:space="preserve">Section 4.10 </w:t>
      </w:r>
      <w:r>
        <w:rPr>
          <w:rFonts w:ascii="Arial" w:cs="Arial" w:eastAsia="Arial" w:hAnsi="Arial"/>
          <w:sz w:val="18"/>
          <w:szCs w:val="18"/>
          <w:u w:val="single" w:color="auto"/>
          <w:color w:val="FF0000"/>
          <w:strike w:val="1"/>
        </w:rPr>
        <w:t>Amendment</w:t>
      </w:r>
      <w:r>
        <w:rPr>
          <w:rFonts w:ascii="Arial" w:cs="Arial" w:eastAsia="Arial" w:hAnsi="Arial"/>
          <w:sz w:val="18"/>
          <w:szCs w:val="18"/>
          <w:color w:val="FF0000"/>
          <w:strike w:val="1"/>
        </w:rPr>
        <w:t>. 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71" w:lineRule="exact"/>
        <w:rPr>
          <w:sz w:val="20"/>
          <w:szCs w:val="20"/>
          <w:color w:val="auto"/>
        </w:rPr>
      </w:pPr>
    </w:p>
    <w:p>
      <w:pPr>
        <w:ind w:left="300" w:right="379"/>
        <w:spacing w:after="0" w:line="237" w:lineRule="auto"/>
        <w:rPr>
          <w:sz w:val="20"/>
          <w:szCs w:val="20"/>
          <w:color w:val="auto"/>
        </w:rPr>
      </w:pPr>
      <w:r>
        <w:rPr>
          <w:rFonts w:ascii="Arial" w:cs="Arial" w:eastAsia="Arial" w:hAnsi="Arial"/>
          <w:sz w:val="18"/>
          <w:szCs w:val="18"/>
          <w:color w:val="FF0000"/>
          <w:strike w:val="1"/>
        </w:rPr>
        <w:t xml:space="preserve">Section 4.11 </w:t>
      </w:r>
      <w:r>
        <w:rPr>
          <w:rFonts w:ascii="Arial" w:cs="Arial" w:eastAsia="Arial" w:hAnsi="Arial"/>
          <w:sz w:val="18"/>
          <w:szCs w:val="18"/>
          <w:u w:val="single" w:color="auto"/>
          <w:color w:val="FF0000"/>
          <w:strike w:val="1"/>
        </w:rPr>
        <w:t>Equal Treatment in a Change of Control Transaction</w:t>
      </w:r>
      <w:r>
        <w:rPr>
          <w:rFonts w:ascii="Arial" w:cs="Arial" w:eastAsia="Arial" w:hAnsi="Arial"/>
          <w:sz w:val="18"/>
          <w:szCs w:val="18"/>
          <w:color w:val="FF0000"/>
          <w:strike w:val="1"/>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0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xml:space="preserve">”). The affirmative vote of at least a majority of the Whole Board of Directors shall be required in order for the Board of Directors to adopt, repeal, alter, amend or rescind the Bylaws. </w:t>
      </w:r>
      <w:r>
        <w:rPr>
          <w:rFonts w:ascii="Arial" w:cs="Arial" w:eastAsia="Arial" w:hAnsi="Arial"/>
          <w:sz w:val="18"/>
          <w:szCs w:val="18"/>
          <w:b w:val="1"/>
          <w:bCs w:val="1"/>
          <w:u w:val="single" w:color="auto"/>
          <w:color w:val="0000FF"/>
        </w:rPr>
        <w:t>For purposes of this Certificate of Incorporation, the term “</w:t>
      </w:r>
      <w:r>
        <w:rPr>
          <w:rFonts w:ascii="Arial" w:cs="Arial" w:eastAsia="Arial" w:hAnsi="Arial"/>
          <w:sz w:val="18"/>
          <w:szCs w:val="18"/>
          <w:b w:val="1"/>
          <w:bCs w:val="1"/>
          <w:i w:val="1"/>
          <w:iCs w:val="1"/>
          <w:u w:val="single" w:color="auto"/>
          <w:color w:val="0000FF"/>
        </w:rPr>
        <w:t>Whole Board of Directors</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shall mean the total number of authorized directors (from time to time) whether or not there exist any vacancies in previously authorized directorships or newly created directorships.</w:t>
      </w:r>
      <w:r>
        <w:rPr>
          <w:rFonts w:ascii="Arial" w:cs="Arial" w:eastAsia="Arial" w:hAnsi="Arial"/>
          <w:sz w:val="18"/>
          <w:szCs w:val="18"/>
          <w:b w:val="1"/>
          <w:bCs w:val="1"/>
          <w:color w:val="0000FF"/>
        </w:rPr>
        <w:t xml:space="preserve"> </w:t>
      </w:r>
      <w:r>
        <w:rPr>
          <w:rFonts w:ascii="Arial" w:cs="Arial" w:eastAsia="Arial" w:hAnsi="Arial"/>
          <w:sz w:val="18"/>
          <w:szCs w:val="18"/>
          <w:color w:val="000000"/>
        </w:rPr>
        <w:t>The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stockholders shall also have power to adopt, repeal, alter, amend or rescind the Bylaws. In addition to any other vote of the holders of any class or series of stock of the Corporation required by applicable law or by this Certificate of Incorporation, </w:t>
      </w:r>
      <w:r>
        <w:rPr>
          <w:rFonts w:ascii="Arial" w:cs="Arial" w:eastAsia="Arial" w:hAnsi="Arial"/>
          <w:sz w:val="18"/>
          <w:szCs w:val="18"/>
          <w:color w:val="FF0000"/>
          <w:strike w:val="1"/>
        </w:rPr>
        <w:t>such</w:t>
      </w:r>
      <w:r>
        <w:rPr>
          <w:rFonts w:ascii="Arial" w:cs="Arial" w:eastAsia="Arial" w:hAnsi="Arial"/>
          <w:sz w:val="18"/>
          <w:szCs w:val="18"/>
          <w:b w:val="1"/>
          <w:bCs w:val="1"/>
          <w:u w:val="single" w:color="auto"/>
          <w:color w:val="0000FF"/>
        </w:rPr>
        <w:t>any</w:t>
      </w:r>
      <w:r>
        <w:rPr>
          <w:rFonts w:ascii="Arial" w:cs="Arial" w:eastAsia="Arial" w:hAnsi="Arial"/>
          <w:sz w:val="18"/>
          <w:szCs w:val="18"/>
          <w:color w:val="000000"/>
        </w:rPr>
        <w:t xml:space="preserve"> adoption, repeal, alteration, amendment or rescission of the Bylaws by the stockholders shall require the affirmative vote of the holders of </w:t>
      </w:r>
      <w:r>
        <w:rPr>
          <w:rFonts w:ascii="Arial" w:cs="Arial" w:eastAsia="Arial" w:hAnsi="Arial"/>
          <w:sz w:val="18"/>
          <w:szCs w:val="18"/>
          <w:color w:val="FF0000"/>
          <w:strike w:val="1"/>
        </w:rPr>
        <w:t>at least 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000000"/>
        </w:rPr>
        <w:t xml:space="preserve"> of the voting power of all of the then outstanding shares of capital stock of the Corporation entitled to vote generally in the election of directors, voting together as a single class.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4" w:name="page275"/>
    <w:bookmarkEnd w:id="2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04"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Ballot</w:t>
      </w:r>
      <w:r>
        <w:rPr>
          <w:rFonts w:ascii="Arial" w:cs="Arial" w:eastAsia="Arial" w:hAnsi="Arial"/>
          <w:sz w:val="18"/>
          <w:szCs w:val="18"/>
          <w:color w:val="auto"/>
        </w:rPr>
        <w:t>. Elections of directors (each such director, in such capacity,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need not be by written ballot unless the Bylaws shall so provide.</w:t>
      </w:r>
    </w:p>
    <w:p>
      <w:pPr>
        <w:spacing w:after="0" w:line="46"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Classification of the Board of Directors</w:t>
      </w:r>
      <w:r>
        <w:rPr>
          <w:rFonts w:ascii="Arial" w:cs="Arial" w:eastAsia="Arial" w:hAnsi="Arial"/>
          <w:sz w:val="18"/>
          <w:szCs w:val="18"/>
          <w:color w:val="auto"/>
        </w:rPr>
        <w:t xml:space="preserve">. Except as </w:t>
      </w:r>
      <w:r>
        <w:rPr>
          <w:rFonts w:ascii="Arial" w:cs="Arial" w:eastAsia="Arial" w:hAnsi="Arial"/>
          <w:sz w:val="18"/>
          <w:szCs w:val="18"/>
          <w:color w:val="FF0000"/>
          <w:strike w:val="1"/>
        </w:rPr>
        <w:t>may be provided in a resolution or</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resolutions of the Board of Directors providing for any series of Preferred Stock with respect to any directors elected (or to be elected) by the holders of such series and except as </w:t>
      </w:r>
      <w:r>
        <w:rPr>
          <w:rFonts w:ascii="Arial" w:cs="Arial" w:eastAsia="Arial" w:hAnsi="Arial"/>
          <w:sz w:val="18"/>
          <w:szCs w:val="18"/>
          <w:color w:val="000000"/>
          <w:strike w:val="1"/>
        </w:rPr>
        <w:t>otherwise required by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applicable law, the Directors shall be divided into three classes, designated as Class I, Class II and Class III, as nearly equal in number as possible. Directors already in office shall be assigned to each class at the time such classification becomes effective, in accordance with a resolution or resolutions adopted by the Board of Directors. </w:t>
      </w:r>
      <w:r>
        <w:rPr>
          <w:rFonts w:ascii="Arial" w:cs="Arial" w:eastAsia="Arial" w:hAnsi="Arial"/>
          <w:sz w:val="18"/>
          <w:szCs w:val="18"/>
          <w:color w:val="FF0000"/>
          <w:strike w:val="1"/>
        </w:rPr>
        <w:t>Class I Directors shall initially serve for a term expiring at the first annual meeting</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of stockholders following the time at which the initial classification of the Board of Directors becomes effective, Class II Directors shall initially serve for a term expiring at the second annual meeting of stockholders following the time at which the initial classification of the Board of Directors becomes effective and Class III Directors shall initially serve for a term expiring at the third annual meeting of stockholders following the time at which the initial classification of the Board of Directors becomes effective. </w:t>
      </w:r>
      <w:r>
        <w:rPr>
          <w:rFonts w:ascii="Arial" w:cs="Arial" w:eastAsia="Arial" w:hAnsi="Arial"/>
          <w:sz w:val="18"/>
          <w:szCs w:val="18"/>
          <w:color w:val="000000"/>
          <w:strike w:val="1"/>
        </w:rPr>
        <w:t>At each annual meeting of stockholders</w:t>
      </w:r>
      <w:r>
        <w:rPr>
          <w:rFonts w:ascii="Arial" w:cs="Arial" w:eastAsia="Arial" w:hAnsi="Arial"/>
          <w:sz w:val="18"/>
          <w:szCs w:val="18"/>
          <w:color w:val="FF0000"/>
          <w:strike w:val="1"/>
        </w:rPr>
        <w:t xml:space="preserve"> commencing with the first annual meeting of stockholders following the time at which the initial classification of the Board of Directors becomes effective</w:t>
      </w:r>
      <w:r>
        <w:rPr>
          <w:rFonts w:ascii="Arial" w:cs="Arial" w:eastAsia="Arial" w:hAnsi="Arial"/>
          <w:sz w:val="18"/>
          <w:szCs w:val="18"/>
          <w:color w:val="000000"/>
          <w:strike w:val="1"/>
        </w:rPr>
        <w:t>, the Directors of the class to be elected at each annual meeting of stockholders shall be elected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Arial" w:cs="Arial" w:eastAsia="Arial" w:hAnsi="Arial"/>
          <w:sz w:val="18"/>
          <w:szCs w:val="18"/>
          <w:u w:val="single" w:color="auto"/>
          <w:color w:val="000000"/>
          <w:strike w:val="1"/>
        </w:rPr>
        <w:t>Section 6.4</w:t>
      </w:r>
      <w:r>
        <w:rPr>
          <w:rFonts w:ascii="Arial" w:cs="Arial" w:eastAsia="Arial" w:hAnsi="Arial"/>
          <w:sz w:val="18"/>
          <w:szCs w:val="18"/>
          <w:color w:val="000000"/>
          <w:strike w:val="1"/>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Arial" w:cs="Arial" w:eastAsia="Arial" w:hAnsi="Arial"/>
          <w:sz w:val="18"/>
          <w:szCs w:val="18"/>
          <w:u w:val="single" w:color="auto"/>
          <w:color w:val="000000"/>
          <w:strike w:val="1"/>
        </w:rPr>
        <w:t>Section 6.2</w:t>
      </w:r>
      <w:r>
        <w:rPr>
          <w:rFonts w:ascii="Arial" w:cs="Arial" w:eastAsia="Arial" w:hAnsi="Arial"/>
          <w:sz w:val="18"/>
          <w:szCs w:val="18"/>
          <w:color w:val="000000"/>
          <w:strike w:val="1"/>
        </w:rPr>
        <w:t xml:space="preserve">, each Director shall serve until his or her successor is duly elected and qualified or until his or her death, resignation, disqualification, retirement, or removal. </w:t>
      </w:r>
      <w:r>
        <w:rPr>
          <w:rFonts w:ascii="Arial" w:cs="Arial" w:eastAsia="Arial" w:hAnsi="Arial"/>
          <w:sz w:val="18"/>
          <w:szCs w:val="18"/>
          <w:color w:val="FF0000"/>
          <w:strike w:val="1"/>
        </w:rPr>
        <w:t>Subject to the rights of the holders of</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any series of Preferred Stock then outstanding in respect of Preferred Directors, each</w:t>
      </w:r>
      <w:r>
        <w:rPr>
          <w:rFonts w:ascii="Arial" w:cs="Arial" w:eastAsia="Arial" w:hAnsi="Arial"/>
          <w:sz w:val="18"/>
          <w:szCs w:val="18"/>
          <w:b w:val="1"/>
          <w:bCs w:val="1"/>
          <w:u w:val="single" w:color="auto"/>
          <w:color w:val="0000FF"/>
          <w:strike w:val="1"/>
        </w:rPr>
        <w:t>Each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director shall</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80"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FF0000"/>
          <w:strike w:val="1"/>
        </w:rPr>
        <w:t xml:space="preserve">Section 6.3 </w:t>
      </w:r>
      <w:r>
        <w:rPr>
          <w:rFonts w:ascii="Arial" w:cs="Arial" w:eastAsia="Arial" w:hAnsi="Arial"/>
          <w:sz w:val="18"/>
          <w:szCs w:val="18"/>
          <w:u w:val="single" w:color="auto"/>
          <w:color w:val="FF0000"/>
          <w:strike w:val="1"/>
        </w:rPr>
        <w:t>Number and Terms of the Board of Directors</w:t>
      </w:r>
      <w:r>
        <w:rPr>
          <w:rFonts w:ascii="Arial" w:cs="Arial" w:eastAsia="Arial" w:hAnsi="Arial"/>
          <w:sz w:val="18"/>
          <w:szCs w:val="18"/>
          <w:color w:val="FF0000"/>
          <w:strike w:val="1"/>
        </w:rPr>
        <w:t>. Subject to the rights of the holders of any series of Preferred Stock to elect directors under specified circumstances (such directors, “</w:t>
      </w:r>
      <w:r>
        <w:rPr>
          <w:rFonts w:ascii="Arial" w:cs="Arial" w:eastAsia="Arial" w:hAnsi="Arial"/>
          <w:sz w:val="18"/>
          <w:szCs w:val="18"/>
          <w:b w:val="1"/>
          <w:bCs w:val="1"/>
          <w:i w:val="1"/>
          <w:iCs w:val="1"/>
          <w:color w:val="FF0000"/>
          <w:strike w:val="1"/>
        </w:rPr>
        <w:t>Preferred Stock</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Directors</w:t>
      </w:r>
      <w:r>
        <w:rPr>
          <w:rFonts w:ascii="Arial" w:cs="Arial" w:eastAsia="Arial" w:hAnsi="Arial"/>
          <w:sz w:val="18"/>
          <w:szCs w:val="18"/>
          <w:color w:val="FF0000"/>
          <w:strike w:val="1"/>
        </w:rPr>
        <w:t>”), the number of Directors shall be fixed from time to time exclusively by a majority of the</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Whole Board of Directors. For purposes of this Certificate of Incorporation, the term “</w:t>
      </w:r>
      <w:r>
        <w:rPr>
          <w:rFonts w:ascii="Arial" w:cs="Arial" w:eastAsia="Arial" w:hAnsi="Arial"/>
          <w:sz w:val="18"/>
          <w:szCs w:val="18"/>
          <w:b w:val="1"/>
          <w:bCs w:val="1"/>
          <w:i w:val="1"/>
          <w:iCs w:val="1"/>
          <w:color w:val="FF0000"/>
          <w:strike w:val="1"/>
        </w:rPr>
        <w:t>Whole Board of</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Directors</w:t>
      </w:r>
      <w:r>
        <w:rPr>
          <w:rFonts w:ascii="Arial" w:cs="Arial" w:eastAsia="Arial" w:hAnsi="Arial"/>
          <w:sz w:val="18"/>
          <w:szCs w:val="18"/>
          <w:color w:val="FF0000"/>
          <w:strike w:val="1"/>
        </w:rPr>
        <w:t>” shall mean the total number of authorized directors (from time to time) whether or not there</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exist any vacancies in previously authorized directorships or newly created directorships.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0000FF"/>
        </w:rPr>
        <w:t>Section 6.3 Number and Terms of the Board of Directors.</w:t>
      </w:r>
    </w:p>
    <w:p>
      <w:pPr>
        <w:spacing w:after="0" w:line="104" w:lineRule="exact"/>
        <w:rPr>
          <w:sz w:val="20"/>
          <w:szCs w:val="20"/>
          <w:color w:val="auto"/>
        </w:rPr>
      </w:pPr>
    </w:p>
    <w:p>
      <w:pPr>
        <w:ind w:left="660" w:right="739"/>
        <w:spacing w:after="0" w:line="281" w:lineRule="auto"/>
        <w:rPr>
          <w:sz w:val="20"/>
          <w:szCs w:val="20"/>
          <w:color w:val="auto"/>
        </w:rPr>
      </w:pPr>
      <w:r>
        <w:rPr>
          <w:rFonts w:ascii="Arial" w:cs="Arial" w:eastAsia="Arial" w:hAnsi="Arial"/>
          <w:sz w:val="18"/>
          <w:szCs w:val="18"/>
          <w:b w:val="1"/>
          <w:bCs w:val="1"/>
          <w:color w:val="0000FF"/>
        </w:rPr>
        <w:t> </w:t>
      </w:r>
      <w:r>
        <w:rPr>
          <w:rFonts w:ascii="Arial" w:cs="Arial" w:eastAsia="Arial" w:hAnsi="Arial"/>
          <w:sz w:val="18"/>
          <w:szCs w:val="18"/>
          <w:b w:val="1"/>
          <w:bCs w:val="1"/>
          <w:u w:val="single" w:color="auto"/>
          <w:color w:val="0000FF"/>
        </w:rPr>
        <w:t>(a) The number of Directors shall be fixed from time to time in the manner provided in the</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Bylaws.</w:t>
      </w:r>
    </w:p>
    <w:p>
      <w:pPr>
        <w:spacing w:after="0" w:line="28"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b w:val="1"/>
          <w:bCs w:val="1"/>
          <w:color w:val="0000FF"/>
        </w:rPr>
        <w:t> </w:t>
      </w:r>
      <w:r>
        <w:rPr>
          <w:rFonts w:ascii="Arial" w:cs="Arial" w:eastAsia="Arial" w:hAnsi="Arial"/>
          <w:sz w:val="18"/>
          <w:szCs w:val="18"/>
          <w:b w:val="1"/>
          <w:bCs w:val="1"/>
          <w:u w:val="single" w:color="auto"/>
          <w:color w:val="0000FF"/>
        </w:rPr>
        <w:t>(b) Notwithstanding anything in this Certificate of Incorporation to the contrary, (i) in the event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that Nexus, Story3 or JYH, as applicable, no longer has the right to designate a Director for appointment by the Board of Directors pursuant to the Investor Rights Agreement (each such occurrence, a “</w:t>
      </w:r>
      <w:r>
        <w:rPr>
          <w:rFonts w:ascii="Arial" w:cs="Arial" w:eastAsia="Arial" w:hAnsi="Arial"/>
          <w:sz w:val="18"/>
          <w:szCs w:val="18"/>
          <w:b w:val="1"/>
          <w:bCs w:val="1"/>
          <w:i w:val="1"/>
          <w:iCs w:val="1"/>
          <w:u w:val="single" w:color="auto"/>
          <w:color w:val="0000FF"/>
        </w:rPr>
        <w:t>Loss of Designation Rights</w:t>
      </w:r>
      <w:r>
        <w:rPr>
          <w:rFonts w:ascii="Arial" w:cs="Arial" w:eastAsia="Arial" w:hAnsi="Arial"/>
          <w:sz w:val="18"/>
          <w:szCs w:val="18"/>
          <w:b w:val="1"/>
          <w:bCs w:val="1"/>
          <w:u w:val="single" w:color="auto"/>
          <w:color w:val="0000FF"/>
        </w:rPr>
        <w:t>”), then (unless a majority of Directors (with the affected party’s Board of Directors designees abstaining) agree in writing that such Director’s term shall not expire as a result of a Loss of Designation Rights) the term of such Director designated for appointment by Nexus, Story3 or JYH, as applicable, shall expire upon such Loss of Designation Rights, and (ii) JYH’s term as a Director shall expire if JYH ceases to serve as the Chief Executive Officer of the Corporation, unless the Board of Directors, by unanimous approval, votes in favor of or agrees in writing that JYH’s term shall not expire as a result of JYH ceasing to serve as Chief Executive Officer of the Corporation.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5" w:name="page276"/>
    <w:bookmarkEnd w:id="2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Except as otherwise required by law and </w:t>
      </w:r>
      <w:r>
        <w:rPr>
          <w:rFonts w:ascii="Arial" w:cs="Arial" w:eastAsia="Arial" w:hAnsi="Arial"/>
          <w:sz w:val="18"/>
          <w:szCs w:val="18"/>
          <w:color w:val="FF0000"/>
          <w:strike w:val="1"/>
        </w:rPr>
        <w:t>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FF0000"/>
          <w:strike w:val="1"/>
        </w:rPr>
        <w:t>separate rights of the holders of any series of Preferred Stock then outstanding in respect of Preferred</w:t>
      </w:r>
    </w:p>
    <w:p>
      <w:pPr>
        <w:ind w:left="300"/>
        <w:spacing w:after="0" w:line="234" w:lineRule="auto"/>
        <w:rPr>
          <w:sz w:val="20"/>
          <w:szCs w:val="20"/>
          <w:color w:val="auto"/>
        </w:rPr>
      </w:pPr>
      <w:r>
        <w:rPr>
          <w:rFonts w:ascii="Arial" w:cs="Arial" w:eastAsia="Arial" w:hAnsi="Arial"/>
          <w:sz w:val="18"/>
          <w:szCs w:val="18"/>
          <w:color w:val="FF0000"/>
          <w:strike w:val="1"/>
        </w:rPr>
        <w:t>Stock Directors</w:t>
      </w:r>
      <w:r>
        <w:rPr>
          <w:rFonts w:ascii="Arial" w:cs="Arial" w:eastAsia="Arial" w:hAnsi="Arial"/>
          <w:sz w:val="18"/>
          <w:szCs w:val="18"/>
          <w:b w:val="1"/>
          <w:bCs w:val="1"/>
          <w:u w:val="single" w:color="auto"/>
          <w:color w:val="0000FF"/>
        </w:rPr>
        <w:t>this Certificate of Incorporation</w:t>
      </w:r>
      <w:r>
        <w:rPr>
          <w:rFonts w:ascii="Arial" w:cs="Arial" w:eastAsia="Arial" w:hAnsi="Arial"/>
          <w:sz w:val="18"/>
          <w:szCs w:val="18"/>
          <w:color w:val="000000"/>
        </w:rPr>
        <w:t>, unless the Board of Directors otherwise determines,</w:t>
      </w:r>
    </w:p>
    <w:p>
      <w:pPr>
        <w:ind w:left="300"/>
        <w:spacing w:after="0" w:line="235" w:lineRule="auto"/>
        <w:rPr>
          <w:sz w:val="20"/>
          <w:szCs w:val="20"/>
          <w:color w:val="auto"/>
        </w:rPr>
      </w:pPr>
      <w:r>
        <w:rPr>
          <w:rFonts w:ascii="Arial" w:cs="Arial" w:eastAsia="Arial" w:hAnsi="Arial"/>
          <w:sz w:val="18"/>
          <w:szCs w:val="18"/>
          <w:color w:val="auto"/>
        </w:rPr>
        <w:t>newly created directorships resulting from any increase in the authorized number of directors or any</w:t>
      </w:r>
    </w:p>
    <w:p>
      <w:pPr>
        <w:ind w:left="300"/>
        <w:spacing w:after="0" w:line="235" w:lineRule="auto"/>
        <w:rPr>
          <w:sz w:val="20"/>
          <w:szCs w:val="20"/>
          <w:color w:val="auto"/>
        </w:rPr>
      </w:pPr>
      <w:r>
        <w:rPr>
          <w:rFonts w:ascii="Arial" w:cs="Arial" w:eastAsia="Arial" w:hAnsi="Arial"/>
          <w:sz w:val="18"/>
          <w:szCs w:val="18"/>
          <w:color w:val="auto"/>
        </w:rPr>
        <w:t>vacancies on the Board of Directors resulting from the death, resignation, disqualification, removal from</w:t>
      </w:r>
    </w:p>
    <w:p>
      <w:pPr>
        <w:ind w:left="300"/>
        <w:spacing w:after="0" w:line="235" w:lineRule="auto"/>
        <w:rPr>
          <w:sz w:val="20"/>
          <w:szCs w:val="20"/>
          <w:color w:val="auto"/>
        </w:rPr>
      </w:pPr>
      <w:r>
        <w:rPr>
          <w:rFonts w:ascii="Arial" w:cs="Arial" w:eastAsia="Arial" w:hAnsi="Arial"/>
          <w:sz w:val="18"/>
          <w:szCs w:val="18"/>
          <w:color w:val="auto"/>
        </w:rPr>
        <w:t>office or other cause shall be filled only by a majority of the Directors then in office, though less than a</w:t>
      </w:r>
    </w:p>
    <w:p>
      <w:pPr>
        <w:ind w:left="300"/>
        <w:spacing w:after="0" w:line="235" w:lineRule="auto"/>
        <w:rPr>
          <w:sz w:val="20"/>
          <w:szCs w:val="20"/>
          <w:color w:val="auto"/>
        </w:rPr>
      </w:pPr>
      <w:r>
        <w:rPr>
          <w:rFonts w:ascii="Arial" w:cs="Arial" w:eastAsia="Arial" w:hAnsi="Arial"/>
          <w:sz w:val="18"/>
          <w:szCs w:val="18"/>
          <w:color w:val="auto"/>
        </w:rPr>
        <w:t>quorum, or by a sole remaining Director, and shall not be filled by the stockholders unless the Board of</w:t>
      </w:r>
    </w:p>
    <w:p>
      <w:pPr>
        <w:ind w:left="300"/>
        <w:spacing w:after="0" w:line="234" w:lineRule="auto"/>
        <w:rPr>
          <w:sz w:val="20"/>
          <w:szCs w:val="20"/>
          <w:color w:val="auto"/>
        </w:rPr>
      </w:pPr>
      <w:r>
        <w:rPr>
          <w:rFonts w:ascii="Arial" w:cs="Arial" w:eastAsia="Arial" w:hAnsi="Arial"/>
          <w:sz w:val="18"/>
          <w:szCs w:val="18"/>
          <w:color w:val="auto"/>
        </w:rPr>
        <w:t>Directors determines by resolution that any such vacancy or newly created directorship shall be filled by</w:t>
      </w:r>
    </w:p>
    <w:p>
      <w:pPr>
        <w:ind w:left="300"/>
        <w:spacing w:after="0" w:line="235" w:lineRule="auto"/>
        <w:rPr>
          <w:sz w:val="20"/>
          <w:szCs w:val="20"/>
          <w:color w:val="auto"/>
        </w:rPr>
      </w:pPr>
      <w:r>
        <w:rPr>
          <w:rFonts w:ascii="Arial" w:cs="Arial" w:eastAsia="Arial" w:hAnsi="Arial"/>
          <w:sz w:val="18"/>
          <w:szCs w:val="18"/>
          <w:color w:val="auto"/>
        </w:rPr>
        <w:t>the stockholders</w:t>
      </w:r>
      <w:r>
        <w:rPr>
          <w:rFonts w:ascii="Arial" w:cs="Arial" w:eastAsia="Arial" w:hAnsi="Arial"/>
          <w:sz w:val="18"/>
          <w:szCs w:val="18"/>
          <w:color w:val="FF0000"/>
          <w:strike w:val="1"/>
        </w:rPr>
        <w:t>. Any director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that, in the event of a vacancy on the Board of Directors</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resulting from the death, resignation, disqualification, removal from office or other cause with</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respect to a Director designated for appointment in accordance with the Investor Rights</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Agreement, the Person or Persons entitled to designate such Director in accordance with the</w:t>
      </w:r>
    </w:p>
    <w:p>
      <w:pPr>
        <w:ind w:left="300"/>
        <w:spacing w:after="0" w:line="234" w:lineRule="auto"/>
        <w:rPr>
          <w:sz w:val="20"/>
          <w:szCs w:val="20"/>
          <w:color w:val="auto"/>
        </w:rPr>
      </w:pPr>
      <w:r>
        <w:rPr>
          <w:rFonts w:ascii="Arial" w:cs="Arial" w:eastAsia="Arial" w:hAnsi="Arial"/>
          <w:sz w:val="18"/>
          <w:szCs w:val="18"/>
          <w:b w:val="1"/>
          <w:bCs w:val="1"/>
          <w:u w:val="single" w:color="auto"/>
          <w:color w:val="0000FF"/>
        </w:rPr>
        <w:t>Investor Rights Agreement shall have the exclusive right to identify a replacement Director for</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appointment by the Board of Directors to fill such vacancy. Any Director</w:t>
      </w:r>
      <w:r>
        <w:rPr>
          <w:rFonts w:ascii="Arial" w:cs="Arial" w:eastAsia="Arial" w:hAnsi="Arial"/>
          <w:sz w:val="18"/>
          <w:szCs w:val="18"/>
          <w:b w:val="1"/>
          <w:bCs w:val="1"/>
          <w:color w:val="0000FF"/>
        </w:rPr>
        <w:t xml:space="preserve"> </w:t>
      </w:r>
      <w:r>
        <w:rPr>
          <w:rFonts w:ascii="Arial" w:cs="Arial" w:eastAsia="Arial" w:hAnsi="Arial"/>
          <w:sz w:val="18"/>
          <w:szCs w:val="18"/>
          <w:color w:val="000000"/>
        </w:rPr>
        <w:t>elected to fill a newly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-15875</wp:posOffset>
            </wp:positionV>
            <wp:extent cx="317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color w:val="auto"/>
        </w:rPr>
        <w:t>created directorship or vacancy in accordance with the preceding sentence shall hold office until the next</w:t>
      </w:r>
    </w:p>
    <w:p>
      <w:pPr>
        <w:ind w:left="300"/>
        <w:spacing w:after="0" w:line="235" w:lineRule="auto"/>
        <w:rPr>
          <w:sz w:val="20"/>
          <w:szCs w:val="20"/>
          <w:color w:val="auto"/>
        </w:rPr>
      </w:pPr>
      <w:r>
        <w:rPr>
          <w:rFonts w:ascii="Arial" w:cs="Arial" w:eastAsia="Arial" w:hAnsi="Arial"/>
          <w:sz w:val="18"/>
          <w:szCs w:val="18"/>
          <w:color w:val="auto"/>
        </w:rPr>
        <w:t xml:space="preserve">annual meeting of stockholders held to elect the class of </w:t>
      </w:r>
      <w:r>
        <w:rPr>
          <w:rFonts w:ascii="Arial" w:cs="Arial" w:eastAsia="Arial" w:hAnsi="Arial"/>
          <w:sz w:val="18"/>
          <w:szCs w:val="18"/>
          <w:color w:val="FF0000"/>
          <w:strike w:val="1"/>
        </w:rPr>
        <w:t>directors</w:t>
      </w:r>
      <w:r>
        <w:rPr>
          <w:rFonts w:ascii="Arial" w:cs="Arial" w:eastAsia="Arial" w:hAnsi="Arial"/>
          <w:sz w:val="18"/>
          <w:szCs w:val="18"/>
          <w:b w:val="1"/>
          <w:bCs w:val="1"/>
          <w:u w:val="single" w:color="auto"/>
          <w:color w:val="0000FF"/>
        </w:rPr>
        <w:t>Directors</w:t>
      </w:r>
      <w:r>
        <w:rPr>
          <w:rFonts w:ascii="Arial" w:cs="Arial" w:eastAsia="Arial" w:hAnsi="Arial"/>
          <w:sz w:val="18"/>
          <w:szCs w:val="18"/>
          <w:color w:val="auto"/>
        </w:rPr>
        <w:t xml:space="preserve"> to which such</w:t>
      </w:r>
    </w:p>
    <w:p>
      <w:pPr>
        <w:ind w:left="300"/>
        <w:spacing w:after="0" w:line="235" w:lineRule="auto"/>
        <w:rPr>
          <w:sz w:val="20"/>
          <w:szCs w:val="20"/>
          <w:color w:val="auto"/>
        </w:rPr>
      </w:pPr>
      <w:r>
        <w:rPr>
          <w:rFonts w:ascii="Arial" w:cs="Arial" w:eastAsia="Arial" w:hAnsi="Arial"/>
          <w:sz w:val="18"/>
          <w:szCs w:val="18"/>
          <w:color w:val="FF0000"/>
          <w:strike w:val="1"/>
        </w:rPr>
        <w:t>director</w:t>
      </w:r>
      <w:r>
        <w:rPr>
          <w:rFonts w:ascii="Arial" w:cs="Arial" w:eastAsia="Arial" w:hAnsi="Arial"/>
          <w:sz w:val="18"/>
          <w:szCs w:val="18"/>
          <w:b w:val="1"/>
          <w:bCs w:val="1"/>
          <w:u w:val="single" w:color="auto"/>
          <w:color w:val="0000FF"/>
        </w:rPr>
        <w:t>Director</w:t>
      </w:r>
      <w:r>
        <w:rPr>
          <w:rFonts w:ascii="Arial" w:cs="Arial" w:eastAsia="Arial" w:hAnsi="Arial"/>
          <w:sz w:val="18"/>
          <w:szCs w:val="18"/>
          <w:color w:val="FF0000"/>
        </w:rPr>
        <w:t xml:space="preserve"> </w:t>
      </w:r>
      <w:r>
        <w:rPr>
          <w:rFonts w:ascii="Arial" w:cs="Arial" w:eastAsia="Arial" w:hAnsi="Arial"/>
          <w:sz w:val="18"/>
          <w:szCs w:val="18"/>
          <w:color w:val="000000"/>
        </w:rPr>
        <w:t>is elected and until his or her successor is duly elected and qualified or until his or her</w:t>
      </w:r>
    </w:p>
    <w:p>
      <w:pPr>
        <w:ind w:left="300"/>
        <w:spacing w:after="0" w:line="234" w:lineRule="auto"/>
        <w:rPr>
          <w:sz w:val="20"/>
          <w:szCs w:val="20"/>
          <w:color w:val="auto"/>
        </w:rPr>
      </w:pPr>
      <w:r>
        <w:rPr>
          <w:rFonts w:ascii="Arial" w:cs="Arial" w:eastAsia="Arial" w:hAnsi="Arial"/>
          <w:sz w:val="18"/>
          <w:szCs w:val="18"/>
          <w:color w:val="auto"/>
        </w:rPr>
        <w:t xml:space="preserve">earlier death, resignation, retirement, disqualification, or removal. </w:t>
      </w:r>
      <w:r>
        <w:rPr>
          <w:rFonts w:ascii="Arial" w:cs="Arial" w:eastAsia="Arial" w:hAnsi="Arial"/>
          <w:sz w:val="18"/>
          <w:szCs w:val="18"/>
          <w:b w:val="1"/>
          <w:bCs w:val="1"/>
          <w:color w:val="0000FF"/>
        </w:rPr>
        <w:t>The Secretary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-15240</wp:posOffset>
            </wp:positionV>
            <wp:extent cx="18154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shall maintain a copy of the Investor Rights Agreement at the principal executive offices of the</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Corporation and a copy thereof shall be provided free of charge to any stockholder who makes a</w:t>
      </w:r>
    </w:p>
    <w:p>
      <w:pPr>
        <w:ind w:left="300"/>
        <w:spacing w:after="0"/>
        <w:rPr>
          <w:sz w:val="20"/>
          <w:szCs w:val="20"/>
          <w:color w:val="auto"/>
        </w:rPr>
      </w:pPr>
      <w:r>
        <w:rPr>
          <w:rFonts w:ascii="Arial" w:cs="Arial" w:eastAsia="Arial" w:hAnsi="Arial"/>
          <w:sz w:val="18"/>
          <w:szCs w:val="18"/>
          <w:b w:val="1"/>
          <w:bCs w:val="1"/>
          <w:u w:val="single" w:color="auto"/>
          <w:color w:val="0000FF"/>
        </w:rPr>
        <w:t>request therefor.</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0000FF"/>
        </w:rPr>
        <w:t>Section 6.5 Quorum; Vote Required.</w:t>
      </w:r>
    </w:p>
    <w:p>
      <w:pPr>
        <w:spacing w:after="0" w:line="104" w:lineRule="exact"/>
        <w:rPr>
          <w:sz w:val="20"/>
          <w:szCs w:val="20"/>
          <w:color w:val="auto"/>
        </w:rPr>
      </w:pPr>
    </w:p>
    <w:p>
      <w:pPr>
        <w:ind w:left="660" w:right="399" w:hanging="8"/>
        <w:spacing w:after="0" w:line="241" w:lineRule="auto"/>
        <w:tabs>
          <w:tab w:leader="none" w:pos="930" w:val="left"/>
        </w:tabs>
        <w:numPr>
          <w:ilvl w:val="0"/>
          <w:numId w:val="95"/>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Subject to Section 6.5(b),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65" w:lineRule="exact"/>
        <w:rPr>
          <w:rFonts w:ascii="Arial" w:cs="Arial" w:eastAsia="Arial" w:hAnsi="Arial"/>
          <w:sz w:val="18"/>
          <w:szCs w:val="18"/>
          <w:b w:val="1"/>
          <w:bCs w:val="1"/>
          <w:u w:val="single" w:color="auto"/>
          <w:color w:val="0000FF"/>
        </w:rPr>
      </w:pPr>
    </w:p>
    <w:p>
      <w:pPr>
        <w:ind w:left="660" w:right="339" w:hanging="8"/>
        <w:spacing w:after="0" w:line="237" w:lineRule="auto"/>
        <w:tabs>
          <w:tab w:leader="none" w:pos="940" w:val="left"/>
        </w:tabs>
        <w:numPr>
          <w:ilvl w:val="0"/>
          <w:numId w:val="95"/>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(ii) so long as Story3 has the right to appoint the Story3 Director in accordance with the Investor Rights Agreement, the Story3 Director must be present (in person or by means of conference telephone or other communications equipment by means of which all Persons participating in the meeting can hear each other) at any meeting of the Board of Directors for a quorum to exist, and (iii) so long as JYH is the Chief Executive Officer of the Corporation, JYH must be present (in person or by means of conference telephone or other communications equipment by means of which all Persons participating in the meeting can hear each other) at any meeting of the Board of Directors for a quorum to exist;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i w:val="1"/>
          <w:iCs w:val="1"/>
          <w:u w:val="single" w:color="auto"/>
          <w:color w:val="0000FF"/>
        </w:rPr>
        <w:t>however</w:t>
      </w:r>
      <w:r>
        <w:rPr>
          <w:rFonts w:ascii="Arial" w:cs="Arial" w:eastAsia="Arial" w:hAnsi="Arial"/>
          <w:sz w:val="18"/>
          <w:szCs w:val="18"/>
          <w:b w:val="1"/>
          <w:bCs w:val="1"/>
          <w:u w:val="single" w:color="auto"/>
          <w:color w:val="0000FF"/>
        </w:rPr>
        <w:t>, that if the Nexus Director, the Story3 Director or JYH, as applicable, fails to attend</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Section 6.5 are present.</w:t>
      </w:r>
    </w:p>
    <w:p>
      <w:pPr>
        <w:spacing w:after="0" w:line="70" w:lineRule="exact"/>
        <w:rPr>
          <w:sz w:val="20"/>
          <w:szCs w:val="20"/>
          <w:color w:val="auto"/>
        </w:rPr>
      </w:pPr>
    </w:p>
    <w:p>
      <w:pPr>
        <w:ind w:left="300" w:right="999"/>
        <w:spacing w:after="0" w:line="311" w:lineRule="auto"/>
        <w:rPr>
          <w:sz w:val="20"/>
          <w:szCs w:val="20"/>
          <w:color w:val="auto"/>
        </w:rPr>
      </w:pPr>
      <w:r>
        <w:rPr>
          <w:rFonts w:ascii="Arial" w:cs="Arial" w:eastAsia="Arial" w:hAnsi="Arial"/>
          <w:sz w:val="17"/>
          <w:szCs w:val="17"/>
          <w:color w:val="auto"/>
        </w:rPr>
        <w:t xml:space="preserve">Section </w:t>
      </w:r>
      <w:r>
        <w:rPr>
          <w:rFonts w:ascii="Arial" w:cs="Arial" w:eastAsia="Arial" w:hAnsi="Arial"/>
          <w:sz w:val="17"/>
          <w:szCs w:val="17"/>
          <w:color w:val="FF0000"/>
          <w:strike w:val="1"/>
        </w:rPr>
        <w:t>6.5</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Removal</w:t>
      </w:r>
      <w:r>
        <w:rPr>
          <w:rFonts w:ascii="Arial" w:cs="Arial" w:eastAsia="Arial" w:hAnsi="Arial"/>
          <w:sz w:val="17"/>
          <w:szCs w:val="17"/>
          <w:color w:val="FF0000"/>
          <w:strike w:val="1"/>
        </w:rPr>
        <w:t>. Subject to the rights of the holders of any series of Preferred Stock then</w:t>
      </w:r>
      <w:r>
        <w:rPr>
          <w:rFonts w:ascii="Arial" w:cs="Arial" w:eastAsia="Arial" w:hAnsi="Arial"/>
          <w:sz w:val="17"/>
          <w:szCs w:val="17"/>
          <w:color w:val="auto"/>
        </w:rPr>
        <w:t xml:space="preserve"> </w:t>
      </w:r>
      <w:r>
        <w:rPr>
          <w:rFonts w:ascii="Arial" w:cs="Arial" w:eastAsia="Arial" w:hAnsi="Arial"/>
          <w:sz w:val="17"/>
          <w:szCs w:val="17"/>
          <w:color w:val="FF0000"/>
          <w:strike w:val="1"/>
        </w:rPr>
        <w:t>outstanding in respect of Preferred Stock</w:t>
      </w:r>
      <w:r>
        <w:rPr>
          <w:rFonts w:ascii="Arial" w:cs="Arial" w:eastAsia="Arial" w:hAnsi="Arial"/>
          <w:sz w:val="17"/>
          <w:szCs w:val="17"/>
          <w:b w:val="1"/>
          <w:bCs w:val="1"/>
          <w:u w:val="single" w:color="auto"/>
          <w:color w:val="0000FF"/>
        </w:rPr>
        <w:t>6.6 Removal. For so long as the Board of</w:t>
      </w:r>
      <w:r>
        <w:rPr>
          <w:rFonts w:ascii="Arial" w:cs="Arial" w:eastAsia="Arial" w:hAnsi="Arial"/>
          <w:sz w:val="17"/>
          <w:szCs w:val="17"/>
          <w:color w:val="FF0000"/>
        </w:rPr>
        <w:t xml:space="preserve"> </w:t>
      </w:r>
      <w:r>
        <w:rPr>
          <w:rFonts w:ascii="Arial" w:cs="Arial" w:eastAsia="Arial" w:hAnsi="Arial"/>
          <w:sz w:val="17"/>
          <w:szCs w:val="17"/>
          <w:color w:val="000000"/>
        </w:rPr>
        <w:t>Directors</w:t>
      </w:r>
      <w:r>
        <w:rPr>
          <w:rFonts w:ascii="Arial" w:cs="Arial" w:eastAsia="Arial" w:hAnsi="Arial"/>
          <w:sz w:val="17"/>
          <w:szCs w:val="17"/>
          <w:color w:val="FF0000"/>
        </w:rPr>
        <w:t xml:space="preserve"> </w:t>
      </w:r>
      <w:r>
        <w:rPr>
          <w:rFonts w:ascii="Arial" w:cs="Arial" w:eastAsia="Arial" w:hAnsi="Arial"/>
          <w:sz w:val="17"/>
          <w:szCs w:val="17"/>
          <w:b w:val="1"/>
          <w:bCs w:val="1"/>
          <w:color w:val="0000FF"/>
        </w:rPr>
        <w: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-69215</wp:posOffset>
            </wp:positionV>
            <wp:extent cx="1270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6" w:name="page277"/>
    <w:bookmarkEnd w:id="2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559"/>
        <w:spacing w:after="0" w:line="280" w:lineRule="auto"/>
        <w:rPr>
          <w:sz w:val="20"/>
          <w:szCs w:val="20"/>
          <w:color w:val="auto"/>
        </w:rPr>
      </w:pPr>
      <w:r>
        <w:rPr>
          <w:rFonts w:ascii="Arial" w:cs="Arial" w:eastAsia="Arial" w:hAnsi="Arial"/>
          <w:sz w:val="17"/>
          <w:szCs w:val="17"/>
          <w:b w:val="1"/>
          <w:bCs w:val="1"/>
          <w:u w:val="single" w:color="auto"/>
          <w:color w:val="0000FF"/>
        </w:rPr>
        <w:t>classified</w:t>
      </w:r>
      <w:r>
        <w:rPr>
          <w:rFonts w:ascii="Arial" w:cs="Arial" w:eastAsia="Arial" w:hAnsi="Arial"/>
          <w:sz w:val="17"/>
          <w:szCs w:val="17"/>
          <w:color w:val="000000"/>
        </w:rPr>
        <w:t>, any Director may be removed for cause only by an affirmative vote of the holders of</w:t>
      </w:r>
      <w:r>
        <w:rPr>
          <w:rFonts w:ascii="Arial" w:cs="Arial" w:eastAsia="Arial" w:hAnsi="Arial"/>
          <w:sz w:val="17"/>
          <w:szCs w:val="17"/>
          <w:b w:val="1"/>
          <w:bCs w:val="1"/>
          <w:color w:val="0000FF"/>
        </w:rPr>
        <w:t xml:space="preserve"> </w:t>
      </w:r>
      <w:r>
        <w:rPr>
          <w:rFonts w:ascii="Arial" w:cs="Arial" w:eastAsia="Arial" w:hAnsi="Arial"/>
          <w:sz w:val="17"/>
          <w:szCs w:val="17"/>
          <w:color w:val="FF0000"/>
          <w:strike w:val="1"/>
        </w:rPr>
        <w:t>at least</w:t>
      </w:r>
      <w:r>
        <w:rPr>
          <w:rFonts w:ascii="Arial" w:cs="Arial" w:eastAsia="Arial" w:hAnsi="Arial"/>
          <w:sz w:val="17"/>
          <w:szCs w:val="17"/>
          <w:b w:val="1"/>
          <w:bCs w:val="1"/>
          <w:color w:val="0000FF"/>
        </w:rPr>
        <w:t xml:space="preserve"> </w:t>
      </w:r>
      <w:r>
        <w:rPr>
          <w:rFonts w:ascii="Arial" w:cs="Arial" w:eastAsia="Arial" w:hAnsi="Arial"/>
          <w:sz w:val="17"/>
          <w:szCs w:val="17"/>
          <w:color w:val="FF0000"/>
          <w:strike w:val="1"/>
        </w:rPr>
        <w:t>two-thirds</w:t>
      </w:r>
      <w:r>
        <w:rPr>
          <w:rFonts w:ascii="Arial" w:cs="Arial" w:eastAsia="Arial" w:hAnsi="Arial"/>
          <w:sz w:val="17"/>
          <w:szCs w:val="17"/>
          <w:b w:val="1"/>
          <w:bCs w:val="1"/>
          <w:u w:val="single" w:color="auto"/>
          <w:color w:val="0000FF"/>
        </w:rPr>
        <w:t>a majority</w:t>
      </w:r>
      <w:r>
        <w:rPr>
          <w:rFonts w:ascii="Arial" w:cs="Arial" w:eastAsia="Arial" w:hAnsi="Arial"/>
          <w:sz w:val="17"/>
          <w:szCs w:val="17"/>
          <w:color w:val="FF0000"/>
        </w:rPr>
        <w:t xml:space="preserve"> </w:t>
      </w:r>
      <w:r>
        <w:rPr>
          <w:rFonts w:ascii="Arial" w:cs="Arial" w:eastAsia="Arial" w:hAnsi="Arial"/>
          <w:sz w:val="17"/>
          <w:szCs w:val="17"/>
          <w:color w:val="000000"/>
        </w:rPr>
        <w:t>of the voting power of all of the then outstanding shares of capital stock entitled to</w:t>
      </w:r>
      <w:r>
        <w:rPr>
          <w:rFonts w:ascii="Arial" w:cs="Arial" w:eastAsia="Arial" w:hAnsi="Arial"/>
          <w:sz w:val="17"/>
          <w:szCs w:val="17"/>
          <w:color w:val="FF0000"/>
        </w:rPr>
        <w:t xml:space="preserve"> </w:t>
      </w:r>
      <w:r>
        <w:rPr>
          <w:rFonts w:ascii="Arial" w:cs="Arial" w:eastAsia="Arial" w:hAnsi="Arial"/>
          <w:sz w:val="17"/>
          <w:szCs w:val="17"/>
          <w:color w:val="000000"/>
        </w:rPr>
        <w:t xml:space="preserve">vote generally in the election of </w:t>
      </w:r>
      <w:r>
        <w:rPr>
          <w:rFonts w:ascii="Arial" w:cs="Arial" w:eastAsia="Arial" w:hAnsi="Arial"/>
          <w:sz w:val="17"/>
          <w:szCs w:val="17"/>
          <w:color w:val="FF0000"/>
          <w:strike w:val="1"/>
        </w:rPr>
        <w:t>directors</w:t>
      </w:r>
      <w:r>
        <w:rPr>
          <w:rFonts w:ascii="Arial" w:cs="Arial" w:eastAsia="Arial" w:hAnsi="Arial"/>
          <w:sz w:val="17"/>
          <w:szCs w:val="17"/>
          <w:b w:val="1"/>
          <w:bCs w:val="1"/>
          <w:u w:val="single" w:color="auto"/>
          <w:color w:val="0000FF"/>
        </w:rPr>
        <w:t>Directors</w:t>
      </w:r>
      <w:r>
        <w:rPr>
          <w:rFonts w:ascii="Arial" w:cs="Arial" w:eastAsia="Arial" w:hAnsi="Arial"/>
          <w:sz w:val="17"/>
          <w:szCs w:val="17"/>
          <w:color w:val="000000"/>
        </w:rPr>
        <w:t>, at a meeting duly called for that purpose.</w:t>
      </w:r>
    </w:p>
    <w:p>
      <w:pPr>
        <w:spacing w:after="0" w:line="31" w:lineRule="exact"/>
        <w:rPr>
          <w:sz w:val="20"/>
          <w:szCs w:val="20"/>
          <w:color w:val="auto"/>
        </w:rPr>
      </w:pPr>
    </w:p>
    <w:p>
      <w:pPr>
        <w:ind w:left="300" w:right="639"/>
        <w:spacing w:after="0" w:line="253"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FF0000"/>
          <w:strike w:val="1"/>
        </w:rPr>
        <w:t>6.6</w:t>
      </w:r>
      <w:r>
        <w:rPr>
          <w:rFonts w:ascii="Arial" w:cs="Arial" w:eastAsia="Arial" w:hAnsi="Arial"/>
          <w:sz w:val="18"/>
          <w:szCs w:val="18"/>
          <w:b w:val="1"/>
          <w:bCs w:val="1"/>
          <w:u w:val="single" w:color="auto"/>
          <w:color w:val="0000FF"/>
        </w:rPr>
        <w:t>6.7</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61"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b w:val="1"/>
          <w:bCs w:val="1"/>
          <w:u w:val="single" w:color="auto"/>
          <w:color w:val="0000FF"/>
        </w:rPr>
        <w:t>Section 6.8 Special Meetings of Stockholders.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spacing w:after="0" w:line="60"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FF0000"/>
          <w:strike w:val="1"/>
        </w:rPr>
        <w:t xml:space="preserve">Section 6.7 </w:t>
      </w:r>
      <w:r>
        <w:rPr>
          <w:rFonts w:ascii="Arial" w:cs="Arial" w:eastAsia="Arial" w:hAnsi="Arial"/>
          <w:sz w:val="18"/>
          <w:szCs w:val="18"/>
          <w:u w:val="single" w:color="auto"/>
          <w:color w:val="FF0000"/>
          <w:strike w:val="1"/>
        </w:rPr>
        <w:t>Preferred Directors</w:t>
      </w:r>
      <w:r>
        <w:rPr>
          <w:rFonts w:ascii="Arial" w:cs="Arial" w:eastAsia="Arial" w:hAnsi="Arial"/>
          <w:sz w:val="18"/>
          <w:szCs w:val="18"/>
          <w:color w:val="FF0000"/>
          <w:strike w:val="1"/>
        </w:rPr>
        <w:t>.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Preferred Stock Designation) applicable thereto. The number of directors that may be elected by the holders of any such series of Preferred Stock shall be in addition to the number fixed pursuant to Section 6.3 hereof, and the total number of directors constituting the Whole Board of Directors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FF0000"/>
          <w:strike w:val="1"/>
        </w:rPr>
        <w:t>No</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action required or permitted to be taken at any</w:t>
      </w:r>
      <w:r>
        <w:rPr>
          <w:rFonts w:ascii="Arial" w:cs="Arial" w:eastAsia="Arial" w:hAnsi="Arial"/>
          <w:sz w:val="18"/>
          <w:szCs w:val="18"/>
          <w:color w:val="FF0000"/>
        </w:rPr>
        <w:t xml:space="preserve"> </w:t>
      </w:r>
      <w:r>
        <w:rPr>
          <w:rFonts w:ascii="Arial" w:cs="Arial" w:eastAsia="Arial" w:hAnsi="Arial"/>
          <w:sz w:val="18"/>
          <w:szCs w:val="18"/>
          <w:color w:val="FF0000"/>
          <w:strike w:val="1"/>
        </w:rPr>
        <w:t>annual or special</w:t>
      </w:r>
      <w:r>
        <w:rPr>
          <w:rFonts w:ascii="Arial" w:cs="Arial" w:eastAsia="Arial" w:hAnsi="Arial"/>
          <w:sz w:val="18"/>
          <w:szCs w:val="18"/>
          <w:color w:val="FF0000"/>
        </w:rPr>
        <w:t xml:space="preserve"> </w:t>
      </w:r>
      <w:r>
        <w:rPr>
          <w:rFonts w:ascii="Arial" w:cs="Arial" w:eastAsia="Arial" w:hAnsi="Arial"/>
          <w:sz w:val="18"/>
          <w:szCs w:val="18"/>
          <w:color w:val="000000"/>
        </w:rPr>
        <w:t>meeting of</w:t>
      </w:r>
      <w:r>
        <w:rPr>
          <w:rFonts w:ascii="Arial" w:cs="Arial" w:eastAsia="Arial" w:hAnsi="Arial"/>
          <w:sz w:val="18"/>
          <w:szCs w:val="18"/>
          <w:color w:val="FF0000"/>
        </w:rPr>
        <w:t xml:space="preserve"> </w:t>
      </w:r>
      <w:r>
        <w:rPr>
          <w:rFonts w:ascii="Arial" w:cs="Arial" w:eastAsia="Arial" w:hAnsi="Arial"/>
          <w:sz w:val="18"/>
          <w:szCs w:val="18"/>
          <w:color w:val="FF0000"/>
          <w:strike w:val="1"/>
        </w:rPr>
        <w:t>stockholders</w:t>
      </w:r>
      <w:r>
        <w:rPr>
          <w:rFonts w:ascii="Arial" w:cs="Arial" w:eastAsia="Arial" w:hAnsi="Arial"/>
          <w:sz w:val="18"/>
          <w:szCs w:val="18"/>
          <w:color w:val="FF0000"/>
        </w:rPr>
        <w:t xml:space="preserve"> </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rPr>
        <w:t>holders of Class A Common Stock</w:t>
      </w:r>
      <w:r>
        <w:rPr>
          <w:rFonts w:ascii="Arial" w:cs="Arial" w:eastAsia="Arial" w:hAnsi="Arial"/>
          <w:sz w:val="18"/>
          <w:szCs w:val="18"/>
          <w:b w:val="1"/>
          <w:bCs w:val="1"/>
          <w:color w:val="0000FF"/>
        </w:rPr>
        <w:t xml:space="preserve"> </w:t>
      </w:r>
      <w:r>
        <w:rPr>
          <w:rFonts w:ascii="Arial" w:cs="Arial" w:eastAsia="Arial" w:hAnsi="Arial"/>
          <w:sz w:val="18"/>
          <w:szCs w:val="18"/>
          <w:color w:val="000000"/>
        </w:rPr>
        <w:t>may be taken without a meeting</w:t>
      </w:r>
      <w:r>
        <w:rPr>
          <w:rFonts w:ascii="Arial" w:cs="Arial" w:eastAsia="Arial" w:hAnsi="Arial"/>
          <w:sz w:val="18"/>
          <w:szCs w:val="18"/>
          <w:color w:val="FF0000"/>
          <w:strike w:val="1"/>
        </w:rPr>
        <w:t>. No action shall be taken by the</w:t>
      </w:r>
      <w:r>
        <w:rPr>
          <w:rFonts w:ascii="Arial" w:cs="Arial" w:eastAsia="Arial" w:hAnsi="Arial"/>
          <w:sz w:val="18"/>
          <w:szCs w:val="18"/>
          <w:b w:val="1"/>
          <w:bCs w:val="1"/>
          <w:color w:val="0000FF"/>
        </w:rPr>
        <w:t xml:space="preserve"> </w:t>
      </w:r>
      <w:r>
        <w:rPr>
          <w:rFonts w:ascii="Arial" w:cs="Arial" w:eastAsia="Arial" w:hAnsi="Arial"/>
          <w:sz w:val="18"/>
          <w:szCs w:val="18"/>
          <w:color w:val="FF0000"/>
          <w:strike w:val="1"/>
        </w:rPr>
        <w:t>stockholders of the Corporation by consent.</w:t>
      </w:r>
      <w:r>
        <w:rPr>
          <w:rFonts w:ascii="Arial" w:cs="Arial" w:eastAsia="Arial" w:hAnsi="Arial"/>
          <w:sz w:val="18"/>
          <w:szCs w:val="18"/>
          <w:b w:val="1"/>
          <w:bCs w:val="1"/>
          <w:u w:val="single" w:color="auto"/>
          <w:color w:val="0000FF"/>
          <w:strike w:val="1"/>
        </w:rPr>
        <w:t>, without prior notice and without a vote, if a written</w:t>
      </w:r>
      <w:r>
        <w:rPr>
          <w:rFonts w:ascii="Arial" w:cs="Arial" w:eastAsia="Arial" w:hAnsi="Arial"/>
          <w:sz w:val="18"/>
          <w:szCs w:val="18"/>
          <w:color w:val="FF0000"/>
          <w:strike w:val="1"/>
        </w:rPr>
        <w:t xml:space="preserve"> </w:t>
      </w:r>
      <w:r>
        <w:rPr>
          <w:rFonts w:ascii="Arial" w:cs="Arial" w:eastAsia="Arial" w:hAnsi="Arial"/>
          <w:sz w:val="18"/>
          <w:szCs w:val="18"/>
          <w:b w:val="1"/>
          <w:bCs w:val="1"/>
          <w:u w:val="single" w:color="auto"/>
          <w:color w:val="0000FF"/>
          <w:strike w:val="1"/>
        </w:rPr>
        <w:t>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04"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 xml:space="preserve">Except with respect to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 addition to any vote of the holders of shares of any class or series of capital stock of the Corporation required by applicable law or by this Certificate of Incorporation </w:t>
      </w:r>
      <w:r>
        <w:rPr>
          <w:rFonts w:ascii="Arial" w:cs="Arial" w:eastAsia="Arial" w:hAnsi="Arial"/>
          <w:sz w:val="18"/>
          <w:szCs w:val="18"/>
          <w:color w:val="FF0000"/>
          <w:strike w:val="1"/>
        </w:rPr>
        <w:t>(including any Certificate of Designation in respect of one or more series of Preferred Stock)</w:t>
      </w:r>
      <w:r>
        <w:rPr>
          <w:rFonts w:ascii="Arial" w:cs="Arial" w:eastAsia="Arial" w:hAnsi="Arial"/>
          <w:sz w:val="18"/>
          <w:szCs w:val="18"/>
          <w:color w:val="000000"/>
        </w:rPr>
        <w:t>, the</w:t>
      </w:r>
      <w:r>
        <w:rPr>
          <w:rFonts w:ascii="Arial" w:cs="Arial" w:eastAsia="Arial" w:hAnsi="Arial"/>
          <w:sz w:val="18"/>
          <w:szCs w:val="18"/>
          <w:color w:val="FF0000"/>
        </w:rPr>
        <w:t xml:space="preserve"> </w:t>
      </w:r>
      <w:r>
        <w:rPr>
          <w:rFonts w:ascii="Arial" w:cs="Arial" w:eastAsia="Arial" w:hAnsi="Arial"/>
          <w:sz w:val="18"/>
          <w:szCs w:val="18"/>
          <w:color w:val="000000"/>
        </w:rPr>
        <w:t xml:space="preserve">adoption, amendment or repeal of the Certificate of Incorporation shall require the affirmative vote of the holders of </w:t>
      </w:r>
      <w:r>
        <w:rPr>
          <w:rFonts w:ascii="Arial" w:cs="Arial" w:eastAsia="Arial" w:hAnsi="Arial"/>
          <w:sz w:val="18"/>
          <w:szCs w:val="18"/>
          <w:color w:val="FF0000"/>
          <w:strike w:val="1"/>
        </w:rPr>
        <w:t>at least 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000000"/>
        </w:rPr>
        <w:t xml:space="preserve"> of the voting power of all of the then outstanding shares of voting stock of the Corporation entitled to vote thereon. If any provision or provisions of this Certificate of Incorporation shall be held to be invalid, illegal or unenforceable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7" w:name="page278"/>
    <w:bookmarkEnd w:id="2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w:t>
      </w:r>
      <w:r>
        <w:rPr>
          <w:rFonts w:ascii="Arial" w:cs="Arial" w:eastAsia="Arial" w:hAnsi="Arial"/>
          <w:sz w:val="18"/>
          <w:szCs w:val="18"/>
          <w:b w:val="1"/>
          <w:bCs w:val="1"/>
          <w:u w:val="single" w:color="auto"/>
          <w:color w:val="0000FF"/>
        </w:rPr>
        <w:t>or officer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the Corporation</w:t>
      </w:r>
      <w:r>
        <w:rPr>
          <w:rFonts w:ascii="Arial" w:cs="Arial" w:eastAsia="Arial" w:hAnsi="Arial"/>
          <w:sz w:val="18"/>
          <w:szCs w:val="18"/>
          <w:b w:val="1"/>
          <w:bCs w:val="1"/>
          <w:color w:val="0000FF"/>
        </w:rPr>
        <w:t xml:space="preserve"> </w:t>
      </w:r>
      <w:r>
        <w:rPr>
          <w:rFonts w:ascii="Arial" w:cs="Arial" w:eastAsia="Arial" w:hAnsi="Arial"/>
          <w:sz w:val="18"/>
          <w:szCs w:val="18"/>
          <w:color w:val="000000"/>
        </w:rPr>
        <w:t>shall be personally liable to the Corporation or its stockholders for monetary damages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for any breach of his or her fiduciary duties as a </w:t>
      </w:r>
      <w:r>
        <w:rPr>
          <w:rFonts w:ascii="Arial" w:cs="Arial" w:eastAsia="Arial" w:hAnsi="Arial"/>
          <w:sz w:val="18"/>
          <w:szCs w:val="18"/>
          <w:color w:val="FF0000"/>
          <w:strike w:val="1"/>
        </w:rPr>
        <w:t>director</w:t>
      </w:r>
      <w:r>
        <w:rPr>
          <w:rFonts w:ascii="Arial" w:cs="Arial" w:eastAsia="Arial" w:hAnsi="Arial"/>
          <w:sz w:val="18"/>
          <w:szCs w:val="18"/>
          <w:b w:val="1"/>
          <w:bCs w:val="1"/>
          <w:u w:val="single" w:color="auto"/>
          <w:color w:val="0000FF"/>
        </w:rPr>
        <w:t>Director or officer of the Corporation;</w:t>
      </w:r>
      <w:r>
        <w:rPr>
          <w:rFonts w:ascii="Arial" w:cs="Arial" w:eastAsia="Arial" w:hAnsi="Arial"/>
          <w:sz w:val="18"/>
          <w:szCs w:val="18"/>
          <w:color w:val="000000"/>
        </w:rPr>
        <w:t xml:space="preserve"> </w:t>
      </w:r>
      <w:r>
        <w:rPr>
          <w:rFonts w:ascii="Arial" w:cs="Arial" w:eastAsia="Arial" w:hAnsi="Arial"/>
          <w:sz w:val="18"/>
          <w:szCs w:val="18"/>
          <w:b w:val="1"/>
          <w:bCs w:val="1"/>
          <w:i w:val="1"/>
          <w:iCs w:val="1"/>
          <w:u w:val="single" w:color="auto"/>
          <w:color w:val="0000FF"/>
        </w:rPr>
        <w:t xml:space="preserve">provided </w:t>
      </w:r>
      <w:r>
        <w:rPr>
          <w:rFonts w:ascii="Arial" w:cs="Arial" w:eastAsia="Arial" w:hAnsi="Arial"/>
          <w:sz w:val="18"/>
          <w:szCs w:val="18"/>
          <w:b w:val="1"/>
          <w:bCs w:val="1"/>
          <w:u w:val="single" w:color="auto"/>
          <w:color w:val="0000FF"/>
        </w:rPr>
        <w:t>that the foregoing clause shall not eliminate or limit the liability of any officer of the</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Corporation in any action by or in the right of the Corporation</w:t>
      </w:r>
      <w:r>
        <w:rPr>
          <w:rFonts w:ascii="Arial" w:cs="Arial" w:eastAsia="Arial" w:hAnsi="Arial"/>
          <w:sz w:val="18"/>
          <w:szCs w:val="18"/>
          <w:color w:val="000000"/>
        </w:rPr>
        <w:t>. No amendment to, or modification or</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repeal of, this </w:t>
      </w:r>
      <w:r>
        <w:rPr>
          <w:rFonts w:ascii="Arial" w:cs="Arial" w:eastAsia="Arial" w:hAnsi="Arial"/>
          <w:sz w:val="18"/>
          <w:szCs w:val="18"/>
          <w:u w:val="single" w:color="auto"/>
          <w:color w:val="000000"/>
        </w:rPr>
        <w:t>Article IX</w:t>
      </w:r>
      <w:r>
        <w:rPr>
          <w:rFonts w:ascii="Arial" w:cs="Arial" w:eastAsia="Arial" w:hAnsi="Arial"/>
          <w:sz w:val="18"/>
          <w:szCs w:val="18"/>
          <w:color w:val="000000"/>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Corporate Opportunity</w:t>
      </w:r>
      <w:r>
        <w:rPr>
          <w:rFonts w:ascii="Arial" w:cs="Arial" w:eastAsia="Arial" w:hAnsi="Arial"/>
          <w:sz w:val="18"/>
          <w:szCs w:val="18"/>
          <w:color w:val="auto"/>
        </w:rPr>
        <w:t>.</w:t>
      </w:r>
    </w:p>
    <w:p>
      <w:pPr>
        <w:spacing w:after="0" w:line="104" w:lineRule="exact"/>
        <w:rPr>
          <w:sz w:val="20"/>
          <w:szCs w:val="20"/>
          <w:color w:val="auto"/>
        </w:rPr>
      </w:pPr>
    </w:p>
    <w:p>
      <w:pPr>
        <w:ind w:left="660" w:right="339" w:hanging="8"/>
        <w:spacing w:after="0" w:line="237" w:lineRule="auto"/>
        <w:tabs>
          <w:tab w:leader="none" w:pos="9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w:t>
      </w:r>
      <w:r>
        <w:rPr>
          <w:rFonts w:ascii="Arial" w:cs="Arial" w:eastAsia="Arial" w:hAnsi="Arial"/>
          <w:sz w:val="18"/>
          <w:szCs w:val="18"/>
          <w:color w:val="FF0000"/>
          <w:strike w:val="1"/>
        </w:rPr>
        <w:t>any</w:t>
      </w:r>
      <w:r>
        <w:rPr>
          <w:rFonts w:ascii="Arial" w:cs="Arial" w:eastAsia="Arial" w:hAnsi="Arial"/>
          <w:sz w:val="18"/>
          <w:szCs w:val="18"/>
          <w:b w:val="1"/>
          <w:bCs w:val="1"/>
          <w:u w:val="single" w:color="auto"/>
          <w:color w:val="0000FF"/>
        </w:rPr>
        <w:t>the Story 3 Director or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Nexus</w:t>
      </w:r>
      <w:r>
        <w:rPr>
          <w:rFonts w:ascii="Arial" w:cs="Arial" w:eastAsia="Arial" w:hAnsi="Arial"/>
          <w:sz w:val="18"/>
          <w:szCs w:val="18"/>
          <w:b w:val="1"/>
          <w:bCs w:val="1"/>
          <w:color w:val="0000FF"/>
        </w:rPr>
        <w:t xml:space="preserve"> </w:t>
      </w:r>
      <w:r>
        <w:rPr>
          <w:rFonts w:ascii="Arial" w:cs="Arial" w:eastAsia="Arial" w:hAnsi="Arial"/>
          <w:sz w:val="18"/>
          <w:szCs w:val="18"/>
          <w:color w:val="000000"/>
        </w:rPr>
        <w:t>Director (or his or her respective affiliates) who is not employed by the Corporation or its</w:t>
      </w:r>
      <w:r>
        <w:rPr>
          <w:rFonts w:ascii="Arial" w:cs="Arial" w:eastAsia="Arial" w:hAnsi="Arial"/>
          <w:sz w:val="18"/>
          <w:szCs w:val="18"/>
          <w:b w:val="1"/>
          <w:bCs w:val="1"/>
          <w:color w:val="0000FF"/>
        </w:rPr>
        <w:t xml:space="preserve"> </w:t>
      </w:r>
      <w:r>
        <w:rPr>
          <w:rFonts w:ascii="Arial" w:cs="Arial" w:eastAsia="Arial" w:hAnsi="Arial"/>
          <w:sz w:val="18"/>
          <w:szCs w:val="18"/>
          <w:color w:val="000000"/>
        </w:rPr>
        <w:t>subsidiaries (each such Person, an “</w:t>
      </w:r>
      <w:r>
        <w:rPr>
          <w:rFonts w:ascii="Arial" w:cs="Arial" w:eastAsia="Arial" w:hAnsi="Arial"/>
          <w:sz w:val="18"/>
          <w:szCs w:val="18"/>
          <w:b w:val="1"/>
          <w:bCs w:val="1"/>
          <w:i w:val="1"/>
          <w:iCs w:val="1"/>
          <w:color w:val="000000"/>
        </w:rPr>
        <w:t>Exempt Person</w:t>
      </w:r>
      <w:r>
        <w:rPr>
          <w:rFonts w:ascii="Arial" w:cs="Arial" w:eastAsia="Arial" w:hAnsi="Arial"/>
          <w:sz w:val="18"/>
          <w:szCs w:val="18"/>
          <w:color w:val="000000"/>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8"/>
          <w:szCs w:val="18"/>
          <w:u w:val="single" w:color="auto"/>
          <w:color w:val="000000"/>
        </w:rPr>
        <w:t>Section 10.1(a)</w:t>
      </w:r>
      <w:r>
        <w:rPr>
          <w:rFonts w:ascii="Arial" w:cs="Arial" w:eastAsia="Arial" w:hAnsi="Arial"/>
          <w:sz w:val="18"/>
          <w:szCs w:val="18"/>
          <w:color w:val="000000"/>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71" w:lineRule="exact"/>
        <w:rPr>
          <w:rFonts w:ascii="Arial" w:cs="Arial" w:eastAsia="Arial" w:hAnsi="Arial"/>
          <w:sz w:val="18"/>
          <w:szCs w:val="18"/>
          <w:color w:val="auto"/>
        </w:rPr>
      </w:pPr>
    </w:p>
    <w:p>
      <w:pPr>
        <w:ind w:left="660" w:right="379" w:hanging="8"/>
        <w:spacing w:after="0" w:line="239" w:lineRule="auto"/>
        <w:tabs>
          <w:tab w:leader="none" w:pos="9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8" w:name="page279"/>
    <w:bookmarkEnd w:id="2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FF0000"/>
          <w:strike w:val="1"/>
        </w:rPr>
        <w:t xml:space="preserve">Section 10.2 </w:t>
      </w:r>
      <w:r>
        <w:rPr>
          <w:rFonts w:ascii="Arial" w:cs="Arial" w:eastAsia="Arial" w:hAnsi="Arial"/>
          <w:sz w:val="18"/>
          <w:szCs w:val="18"/>
          <w:u w:val="single" w:color="auto"/>
          <w:color w:val="FF0000"/>
          <w:strike w:val="1"/>
        </w:rPr>
        <w:t>Liability</w:t>
      </w:r>
      <w:r>
        <w:rPr>
          <w:rFonts w:ascii="Arial" w:cs="Arial" w:eastAsia="Arial" w:hAnsi="Arial"/>
          <w:sz w:val="18"/>
          <w:szCs w:val="18"/>
          <w:color w:val="FF0000"/>
          <w:strike w:val="1"/>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8"/>
          <w:szCs w:val="18"/>
          <w:u w:val="single" w:color="auto"/>
          <w:color w:val="FF0000"/>
          <w:strike w:val="1"/>
        </w:rPr>
        <w:t>Article X</w:t>
      </w:r>
      <w:r>
        <w:rPr>
          <w:rFonts w:ascii="Arial" w:cs="Arial" w:eastAsia="Arial" w:hAnsi="Arial"/>
          <w:sz w:val="18"/>
          <w:szCs w:val="18"/>
          <w:color w:val="FF0000"/>
          <w:strike w:val="1"/>
        </w:rPr>
        <w:t xml:space="preserve">, except to the extent such actions or omissions are in breach of this </w:t>
      </w:r>
      <w:r>
        <w:rPr>
          <w:rFonts w:ascii="Arial" w:cs="Arial" w:eastAsia="Arial" w:hAnsi="Arial"/>
          <w:sz w:val="18"/>
          <w:szCs w:val="18"/>
          <w:u w:val="single" w:color="auto"/>
          <w:color w:val="FF0000"/>
          <w:strike w:val="1"/>
        </w:rPr>
        <w:t>Article X</w:t>
      </w:r>
      <w:r>
        <w:rPr>
          <w:rFonts w:ascii="Arial" w:cs="Arial" w:eastAsia="Arial" w:hAnsi="Arial"/>
          <w:sz w:val="18"/>
          <w:szCs w:val="18"/>
          <w:color w:val="FF0000"/>
          <w:strike w:val="1"/>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the Corporation consents in writing to the selection of an alternative forum, (a) (i) any derivative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action, suit or proceeding brought on behalf of the Corporation, (ii) any action, suit or proceeding</w:t>
      </w:r>
    </w:p>
    <w:p>
      <w:pPr>
        <w:ind w:left="300"/>
        <w:spacing w:after="0" w:line="234" w:lineRule="auto"/>
        <w:rPr>
          <w:sz w:val="20"/>
          <w:szCs w:val="20"/>
          <w:color w:val="auto"/>
        </w:rPr>
      </w:pPr>
      <w:r>
        <w:rPr>
          <w:rFonts w:ascii="Arial" w:cs="Arial" w:eastAsia="Arial" w:hAnsi="Arial"/>
          <w:sz w:val="18"/>
          <w:szCs w:val="18"/>
          <w:color w:val="auto"/>
        </w:rPr>
        <w:t>asserting a claim of breach of a fiduciary duty owed by any current or former Director, officer or other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employee or stockholder of the Corporation to the Corporation or the Corporation’s stockholders, creditors</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 other constituents, (iii) any action, suit or proceeding asserting a claim arising pursuant to any provision</w:t>
      </w:r>
    </w:p>
    <w:p>
      <w:pPr>
        <w:ind w:left="300"/>
        <w:spacing w:after="0" w:line="234" w:lineRule="auto"/>
        <w:rPr>
          <w:sz w:val="20"/>
          <w:szCs w:val="20"/>
          <w:color w:val="auto"/>
        </w:rPr>
      </w:pPr>
      <w:r>
        <w:rPr>
          <w:rFonts w:ascii="Arial" w:cs="Arial" w:eastAsia="Arial" w:hAnsi="Arial"/>
          <w:sz w:val="18"/>
          <w:szCs w:val="18"/>
          <w:color w:val="auto"/>
        </w:rPr>
        <w:t>of the DGCL, this Certificate of Incorporation or the Bylaws (as either may be amended or restated) or as</w:t>
      </w:r>
    </w:p>
    <w:p>
      <w:pPr>
        <w:ind w:left="300"/>
        <w:spacing w:after="0" w:line="235" w:lineRule="auto"/>
        <w:rPr>
          <w:sz w:val="20"/>
          <w:szCs w:val="20"/>
          <w:color w:val="auto"/>
        </w:rPr>
      </w:pPr>
      <w:r>
        <w:rPr>
          <w:rFonts w:ascii="Arial" w:cs="Arial" w:eastAsia="Arial" w:hAnsi="Arial"/>
          <w:sz w:val="18"/>
          <w:szCs w:val="18"/>
          <w:color w:val="auto"/>
        </w:rPr>
        <w:t>to which the DGCL confers exclusive jurisdiction on the Court of Chancery of the State of Delaware (the</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Court of Chancery</w:t>
      </w:r>
      <w:r>
        <w:rPr>
          <w:rFonts w:ascii="Arial" w:cs="Arial" w:eastAsia="Arial" w:hAnsi="Arial"/>
          <w:sz w:val="18"/>
          <w:szCs w:val="18"/>
          <w:color w:val="auto"/>
        </w:rPr>
        <w:t>”), or (iv) any action, suit or proceeding asserting a claim governed by the internal</w:t>
      </w:r>
    </w:p>
    <w:p>
      <w:pPr>
        <w:ind w:left="300"/>
        <w:spacing w:after="0" w:line="235" w:lineRule="auto"/>
        <w:rPr>
          <w:sz w:val="20"/>
          <w:szCs w:val="20"/>
          <w:color w:val="auto"/>
        </w:rPr>
      </w:pPr>
      <w:r>
        <w:rPr>
          <w:rFonts w:ascii="Arial" w:cs="Arial" w:eastAsia="Arial" w:hAnsi="Arial"/>
          <w:sz w:val="18"/>
          <w:szCs w:val="18"/>
          <w:color w:val="auto"/>
        </w:rPr>
        <w:t>affairs doctrine, shall be exclusively brought in the Court of Chancery or, if such court does not have</w:t>
      </w:r>
    </w:p>
    <w:p>
      <w:pPr>
        <w:ind w:left="300"/>
        <w:spacing w:after="0" w:line="235" w:lineRule="auto"/>
        <w:rPr>
          <w:sz w:val="20"/>
          <w:szCs w:val="20"/>
          <w:color w:val="auto"/>
        </w:rPr>
      </w:pPr>
      <w:r>
        <w:rPr>
          <w:rFonts w:ascii="Arial" w:cs="Arial" w:eastAsia="Arial" w:hAnsi="Arial"/>
          <w:sz w:val="18"/>
          <w:szCs w:val="18"/>
          <w:color w:val="auto"/>
        </w:rPr>
        <w:t>subject matter jurisdiction thereof, the federal district court of the District of Delaware or other state courts</w:t>
      </w:r>
    </w:p>
    <w:p>
      <w:pPr>
        <w:ind w:left="300"/>
        <w:spacing w:after="0" w:line="234" w:lineRule="auto"/>
        <w:rPr>
          <w:sz w:val="20"/>
          <w:szCs w:val="20"/>
          <w:color w:val="auto"/>
        </w:rPr>
      </w:pPr>
      <w:r>
        <w:rPr>
          <w:rFonts w:ascii="Arial" w:cs="Arial" w:eastAsia="Arial" w:hAnsi="Arial"/>
          <w:sz w:val="18"/>
          <w:szCs w:val="18"/>
          <w:color w:val="auto"/>
        </w:rPr>
        <w:t>of the State of Delaware; and (b) the federal district courts of the United States of America (the “</w:t>
      </w:r>
      <w:r>
        <w:rPr>
          <w:rFonts w:ascii="Arial" w:cs="Arial" w:eastAsia="Arial" w:hAnsi="Arial"/>
          <w:sz w:val="18"/>
          <w:szCs w:val="18"/>
          <w:b w:val="1"/>
          <w:bCs w:val="1"/>
          <w:i w:val="1"/>
          <w:iCs w:val="1"/>
          <w:color w:val="auto"/>
        </w:rPr>
        <w:t>Federal</w:t>
      </w:r>
    </w:p>
    <w:p>
      <w:pPr>
        <w:ind w:left="300"/>
        <w:spacing w:after="0" w:line="235" w:lineRule="auto"/>
        <w:rPr>
          <w:sz w:val="20"/>
          <w:szCs w:val="20"/>
          <w:color w:val="auto"/>
        </w:rPr>
      </w:pPr>
      <w:r>
        <w:rPr>
          <w:rFonts w:ascii="Arial" w:cs="Arial" w:eastAsia="Arial" w:hAnsi="Arial"/>
          <w:sz w:val="18"/>
          <w:szCs w:val="18"/>
          <w:b w:val="1"/>
          <w:bCs w:val="1"/>
          <w:i w:val="1"/>
          <w:iCs w:val="1"/>
          <w:color w:val="auto"/>
        </w:rPr>
        <w:t>Courts</w:t>
      </w:r>
      <w:r>
        <w:rPr>
          <w:rFonts w:ascii="Arial" w:cs="Arial" w:eastAsia="Arial" w:hAnsi="Arial"/>
          <w:sz w:val="18"/>
          <w:szCs w:val="18"/>
          <w:color w:val="auto"/>
        </w:rPr>
        <w:t>”) shall be the exclusive forum for the resolution of any complaint asserting a cause of action</w:t>
      </w:r>
    </w:p>
    <w:p>
      <w:pPr>
        <w:ind w:left="300"/>
        <w:spacing w:after="0" w:line="235" w:lineRule="auto"/>
        <w:rPr>
          <w:sz w:val="20"/>
          <w:szCs w:val="20"/>
          <w:color w:val="auto"/>
        </w:rPr>
      </w:pPr>
      <w:r>
        <w:rPr>
          <w:rFonts w:ascii="Arial" w:cs="Arial" w:eastAsia="Arial" w:hAnsi="Arial"/>
          <w:sz w:val="18"/>
          <w:szCs w:val="18"/>
          <w:color w:val="auto"/>
        </w:rPr>
        <w:t xml:space="preserve">arising under the Securities Act. If any provision or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be held to be invalid,</w:t>
      </w:r>
    </w:p>
    <w:p>
      <w:pPr>
        <w:ind w:left="300"/>
        <w:spacing w:after="0" w:line="235" w:lineRule="auto"/>
        <w:rPr>
          <w:sz w:val="20"/>
          <w:szCs w:val="20"/>
          <w:color w:val="auto"/>
        </w:rPr>
      </w:pPr>
      <w:r>
        <w:rPr>
          <w:rFonts w:ascii="Arial" w:cs="Arial" w:eastAsia="Arial" w:hAnsi="Arial"/>
          <w:sz w:val="18"/>
          <w:szCs w:val="18"/>
          <w:color w:val="auto"/>
        </w:rPr>
        <w:t xml:space="preserve">illegal or unenforceable as applied to any </w:t>
      </w:r>
      <w:r>
        <w:rPr>
          <w:rFonts w:ascii="Arial" w:cs="Arial" w:eastAsia="Arial" w:hAnsi="Arial"/>
          <w:sz w:val="18"/>
          <w:szCs w:val="18"/>
          <w:color w:val="FF0000"/>
          <w:strike w:val="1"/>
        </w:rPr>
        <w:t>person or entity</w:t>
      </w:r>
      <w:r>
        <w:rPr>
          <w:rFonts w:ascii="Arial" w:cs="Arial" w:eastAsia="Arial" w:hAnsi="Arial"/>
          <w:sz w:val="18"/>
          <w:szCs w:val="18"/>
          <w:b w:val="1"/>
          <w:bCs w:val="1"/>
          <w:u w:val="single" w:color="auto"/>
          <w:color w:val="0000FF"/>
        </w:rPr>
        <w:t>Person</w:t>
      </w:r>
      <w:r>
        <w:rPr>
          <w:rFonts w:ascii="Arial" w:cs="Arial" w:eastAsia="Arial" w:hAnsi="Arial"/>
          <w:sz w:val="18"/>
          <w:szCs w:val="18"/>
          <w:color w:val="auto"/>
        </w:rPr>
        <w:t xml:space="preserve"> or circumstance for any reason</w:t>
      </w:r>
    </w:p>
    <w:p>
      <w:pPr>
        <w:ind w:left="300"/>
        <w:spacing w:after="0" w:line="235" w:lineRule="auto"/>
        <w:rPr>
          <w:sz w:val="20"/>
          <w:szCs w:val="20"/>
          <w:color w:val="auto"/>
        </w:rPr>
      </w:pPr>
      <w:r>
        <w:rPr>
          <w:rFonts w:ascii="Arial" w:cs="Arial" w:eastAsia="Arial" w:hAnsi="Arial"/>
          <w:sz w:val="18"/>
          <w:szCs w:val="18"/>
          <w:color w:val="auto"/>
        </w:rPr>
        <w:t>whatsoever, then, to the fullest extent permitted by law, the validity, legality and enforceability of such</w:t>
      </w:r>
    </w:p>
    <w:p>
      <w:pPr>
        <w:ind w:left="300"/>
        <w:spacing w:after="0" w:line="234" w:lineRule="auto"/>
        <w:rPr>
          <w:sz w:val="20"/>
          <w:szCs w:val="20"/>
          <w:color w:val="auto"/>
        </w:rPr>
      </w:pPr>
      <w:r>
        <w:rPr>
          <w:rFonts w:ascii="Arial" w:cs="Arial" w:eastAsia="Arial" w:hAnsi="Arial"/>
          <w:sz w:val="18"/>
          <w:szCs w:val="18"/>
          <w:color w:val="auto"/>
        </w:rPr>
        <w:t xml:space="preserve">provisions in any other circumstance and of the remaining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without</w:t>
      </w:r>
    </w:p>
    <w:p>
      <w:pPr>
        <w:ind w:left="300"/>
        <w:spacing w:after="0" w:line="235" w:lineRule="auto"/>
        <w:rPr>
          <w:sz w:val="20"/>
          <w:szCs w:val="20"/>
          <w:color w:val="auto"/>
        </w:rPr>
      </w:pPr>
      <w:r>
        <w:rPr>
          <w:rFonts w:ascii="Arial" w:cs="Arial" w:eastAsia="Arial" w:hAnsi="Arial"/>
          <w:sz w:val="18"/>
          <w:szCs w:val="18"/>
          <w:color w:val="auto"/>
        </w:rPr>
        <w:t xml:space="preserve">limitation, each portion of any sentence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containing any such provision held to be invalid,</w:t>
      </w:r>
    </w:p>
    <w:p>
      <w:pPr>
        <w:ind w:left="300"/>
        <w:spacing w:after="0" w:line="235" w:lineRule="auto"/>
        <w:rPr>
          <w:sz w:val="20"/>
          <w:szCs w:val="20"/>
          <w:color w:val="auto"/>
        </w:rPr>
      </w:pPr>
      <w:r>
        <w:rPr>
          <w:rFonts w:ascii="Arial" w:cs="Arial" w:eastAsia="Arial" w:hAnsi="Arial"/>
          <w:sz w:val="18"/>
          <w:szCs w:val="18"/>
          <w:color w:val="auto"/>
        </w:rPr>
        <w:t>illegal or unenforceable that is not itself held to be invalid, illegal or unenforceable) and the application of</w:t>
      </w:r>
    </w:p>
    <w:p>
      <w:pPr>
        <w:ind w:left="300"/>
        <w:spacing w:after="0" w:line="235" w:lineRule="auto"/>
        <w:rPr>
          <w:sz w:val="20"/>
          <w:szCs w:val="20"/>
          <w:color w:val="auto"/>
        </w:rPr>
      </w:pPr>
      <w:r>
        <w:rPr>
          <w:rFonts w:ascii="Arial" w:cs="Arial" w:eastAsia="Arial" w:hAnsi="Arial"/>
          <w:sz w:val="18"/>
          <w:szCs w:val="18"/>
          <w:color w:val="auto"/>
        </w:rPr>
        <w:t xml:space="preserve">such provision to other </w:t>
      </w:r>
      <w:r>
        <w:rPr>
          <w:rFonts w:ascii="Arial" w:cs="Arial" w:eastAsia="Arial" w:hAnsi="Arial"/>
          <w:sz w:val="18"/>
          <w:szCs w:val="18"/>
          <w:color w:val="FF0000"/>
          <w:strike w:val="1"/>
        </w:rPr>
        <w:t>persons or entities</w:t>
      </w:r>
      <w:r>
        <w:rPr>
          <w:rFonts w:ascii="Arial" w:cs="Arial" w:eastAsia="Arial" w:hAnsi="Arial"/>
          <w:sz w:val="18"/>
          <w:szCs w:val="18"/>
          <w:b w:val="1"/>
          <w:bCs w:val="1"/>
          <w:u w:val="single" w:color="auto"/>
          <w:color w:val="0000FF"/>
        </w:rPr>
        <w:t>Persons</w:t>
      </w:r>
      <w:r>
        <w:rPr>
          <w:rFonts w:ascii="Arial" w:cs="Arial" w:eastAsia="Arial" w:hAnsi="Arial"/>
          <w:sz w:val="18"/>
          <w:szCs w:val="18"/>
          <w:color w:val="auto"/>
        </w:rPr>
        <w:t xml:space="preserve"> and circumstances shall not in any way be affected or</w:t>
      </w:r>
    </w:p>
    <w:p>
      <w:pPr>
        <w:ind w:left="300"/>
        <w:spacing w:after="0" w:line="235" w:lineRule="auto"/>
        <w:rPr>
          <w:sz w:val="20"/>
          <w:szCs w:val="20"/>
          <w:color w:val="auto"/>
        </w:rPr>
      </w:pPr>
      <w:r>
        <w:rPr>
          <w:rFonts w:ascii="Arial" w:cs="Arial" w:eastAsia="Arial" w:hAnsi="Arial"/>
          <w:sz w:val="18"/>
          <w:szCs w:val="18"/>
          <w:color w:val="auto"/>
        </w:rPr>
        <w:t>impaired thereby. If any action, the subject matter of which is within the scope of the first sentence of this</w:t>
      </w:r>
    </w:p>
    <w:p>
      <w:pPr>
        <w:ind w:left="300"/>
        <w:spacing w:after="0" w:line="234" w:lineRule="auto"/>
        <w:rPr>
          <w:sz w:val="20"/>
          <w:szCs w:val="20"/>
          <w:color w:val="auto"/>
        </w:rPr>
      </w:pPr>
      <w:r>
        <w:rPr>
          <w:rFonts w:ascii="Arial" w:cs="Arial" w:eastAsia="Arial" w:hAnsi="Arial"/>
          <w:sz w:val="18"/>
          <w:szCs w:val="18"/>
          <w:u w:val="single" w:color="auto"/>
          <w:color w:val="auto"/>
        </w:rPr>
        <w:t>Article XI</w:t>
      </w:r>
      <w:r>
        <w:rPr>
          <w:rFonts w:ascii="Arial" w:cs="Arial" w:eastAsia="Arial" w:hAnsi="Arial"/>
          <w:sz w:val="18"/>
          <w:szCs w:val="18"/>
          <w:color w:val="auto"/>
        </w:rPr>
        <w:t>, is filed in a court other than the Court of Chancery or the Federal Courts, as applicable, (a</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Action</w:t>
      </w:r>
      <w:r>
        <w:rPr>
          <w:rFonts w:ascii="Arial" w:cs="Arial" w:eastAsia="Arial" w:hAnsi="Arial"/>
          <w:sz w:val="18"/>
          <w:szCs w:val="18"/>
          <w:color w:val="auto"/>
        </w:rPr>
        <w:t>”) in the name of any stockholder, such stockholder shall be deemed to have consented</w:t>
      </w:r>
    </w:p>
    <w:p>
      <w:pPr>
        <w:ind w:left="300"/>
        <w:spacing w:after="0" w:line="235" w:lineRule="auto"/>
        <w:rPr>
          <w:sz w:val="20"/>
          <w:szCs w:val="20"/>
          <w:color w:val="auto"/>
        </w:rPr>
      </w:pPr>
      <w:r>
        <w:rPr>
          <w:rFonts w:ascii="Arial" w:cs="Arial" w:eastAsia="Arial" w:hAnsi="Arial"/>
          <w:sz w:val="18"/>
          <w:szCs w:val="18"/>
          <w:color w:val="auto"/>
        </w:rPr>
        <w:t>to (i) the personal jurisdiction of the Court of Chancery and the other state and federal courts in the State</w:t>
      </w:r>
    </w:p>
    <w:p>
      <w:pPr>
        <w:ind w:left="300"/>
        <w:spacing w:after="0" w:line="235" w:lineRule="auto"/>
        <w:rPr>
          <w:sz w:val="20"/>
          <w:szCs w:val="20"/>
          <w:color w:val="auto"/>
        </w:rPr>
      </w:pPr>
      <w:r>
        <w:rPr>
          <w:rFonts w:ascii="Arial" w:cs="Arial" w:eastAsia="Arial" w:hAnsi="Arial"/>
          <w:sz w:val="18"/>
          <w:szCs w:val="18"/>
          <w:color w:val="auto"/>
        </w:rPr>
        <w:t>of Delaware or the Federal Courts, as applicable, in connection with any action brought in any such court</w:t>
      </w:r>
    </w:p>
    <w:p>
      <w:pPr>
        <w:ind w:left="300"/>
        <w:spacing w:after="0" w:line="235" w:lineRule="auto"/>
        <w:rPr>
          <w:sz w:val="20"/>
          <w:szCs w:val="20"/>
          <w:color w:val="auto"/>
        </w:rPr>
      </w:pPr>
      <w:r>
        <w:rPr>
          <w:rFonts w:ascii="Arial" w:cs="Arial" w:eastAsia="Arial" w:hAnsi="Arial"/>
          <w:sz w:val="18"/>
          <w:szCs w:val="18"/>
          <w:color w:val="auto"/>
        </w:rPr>
        <w:t xml:space="preserve">to enforce the first sentence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(ii) having service of process made upon such</w:t>
      </w:r>
    </w:p>
    <w:p>
      <w:pPr>
        <w:ind w:left="300"/>
        <w:spacing w:after="0" w:line="234" w:lineRule="auto"/>
        <w:rPr>
          <w:sz w:val="20"/>
          <w:szCs w:val="20"/>
          <w:color w:val="auto"/>
        </w:rPr>
      </w:pPr>
      <w:r>
        <w:rPr>
          <w:rFonts w:ascii="Arial" w:cs="Arial" w:eastAsia="Arial" w:hAnsi="Arial"/>
          <w:sz w:val="18"/>
          <w:szCs w:val="18"/>
          <w:color w:val="auto"/>
        </w:rPr>
        <w:t>stockholder in any such action by service upon such stockholder’s counsel in the Foreign Action as agent</w:t>
      </w:r>
    </w:p>
    <w:p>
      <w:pPr>
        <w:ind w:left="300"/>
        <w:spacing w:after="0" w:line="235" w:lineRule="auto"/>
        <w:rPr>
          <w:sz w:val="20"/>
          <w:szCs w:val="20"/>
          <w:color w:val="auto"/>
        </w:rPr>
      </w:pPr>
      <w:r>
        <w:rPr>
          <w:rFonts w:ascii="Arial" w:cs="Arial" w:eastAsia="Arial" w:hAnsi="Arial"/>
          <w:sz w:val="18"/>
          <w:szCs w:val="18"/>
          <w:color w:val="auto"/>
        </w:rPr>
        <w:t xml:space="preserve">for such stockholder. To the fullest extent permitted by law, any </w:t>
      </w:r>
      <w:r>
        <w:rPr>
          <w:rFonts w:ascii="Arial" w:cs="Arial" w:eastAsia="Arial" w:hAnsi="Arial"/>
          <w:sz w:val="18"/>
          <w:szCs w:val="18"/>
          <w:color w:val="FF0000"/>
          <w:strike w:val="1"/>
        </w:rPr>
        <w:t>person or entity</w:t>
      </w:r>
      <w:r>
        <w:rPr>
          <w:rFonts w:ascii="Arial" w:cs="Arial" w:eastAsia="Arial" w:hAnsi="Arial"/>
          <w:sz w:val="18"/>
          <w:szCs w:val="18"/>
          <w:b w:val="1"/>
          <w:bCs w:val="1"/>
          <w:u w:val="single" w:color="auto"/>
          <w:color w:val="0000FF"/>
        </w:rPr>
        <w:t>Person</w:t>
      </w:r>
      <w:r>
        <w:rPr>
          <w:rFonts w:ascii="Arial" w:cs="Arial" w:eastAsia="Arial" w:hAnsi="Arial"/>
          <w:sz w:val="18"/>
          <w:szCs w:val="18"/>
          <w:color w:val="auto"/>
        </w:rPr>
        <w:t xml:space="preserve"> purchasing or</w:t>
      </w:r>
    </w:p>
    <w:p>
      <w:pPr>
        <w:ind w:left="300"/>
        <w:spacing w:after="0" w:line="235" w:lineRule="auto"/>
        <w:rPr>
          <w:sz w:val="20"/>
          <w:szCs w:val="20"/>
          <w:color w:val="auto"/>
        </w:rPr>
      </w:pPr>
      <w:r>
        <w:rPr>
          <w:rFonts w:ascii="Arial" w:cs="Arial" w:eastAsia="Arial" w:hAnsi="Arial"/>
          <w:sz w:val="18"/>
          <w:szCs w:val="18"/>
          <w:color w:val="auto"/>
        </w:rPr>
        <w:t>otherwise acquiring or holding any interest in shares of capital stock of the Corporation shall be deemed</w:t>
      </w:r>
    </w:p>
    <w:p>
      <w:pPr>
        <w:ind w:left="300"/>
        <w:spacing w:after="0" w:line="235" w:lineRule="auto"/>
        <w:rPr>
          <w:sz w:val="20"/>
          <w:szCs w:val="20"/>
          <w:color w:val="auto"/>
        </w:rPr>
      </w:pPr>
      <w:r>
        <w:rPr>
          <w:rFonts w:ascii="Arial" w:cs="Arial" w:eastAsia="Arial" w:hAnsi="Arial"/>
          <w:sz w:val="18"/>
          <w:szCs w:val="18"/>
          <w:color w:val="auto"/>
        </w:rPr>
        <w:t xml:space="preserve">to have notice of and consented to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w:t>
      </w:r>
    </w:p>
    <w:p>
      <w:pPr>
        <w:ind w:left="300"/>
        <w:spacing w:after="0" w:line="235" w:lineRule="auto"/>
        <w:rPr>
          <w:sz w:val="20"/>
          <w:szCs w:val="20"/>
          <w:color w:val="auto"/>
        </w:rPr>
      </w:pPr>
      <w:r>
        <w:rPr>
          <w:rFonts w:ascii="Arial" w:cs="Arial" w:eastAsia="Arial" w:hAnsi="Arial"/>
          <w:sz w:val="18"/>
          <w:szCs w:val="18"/>
          <w:color w:val="auto"/>
        </w:rPr>
        <w:t>not apply to suits brought to enforce any liability or duty created by the Exchange Act or any other claim</w:t>
      </w:r>
    </w:p>
    <w:p>
      <w:pPr>
        <w:ind w:left="300"/>
        <w:spacing w:after="0"/>
        <w:rPr>
          <w:sz w:val="20"/>
          <w:szCs w:val="20"/>
          <w:color w:val="auto"/>
        </w:rPr>
      </w:pPr>
      <w:r>
        <w:rPr>
          <w:rFonts w:ascii="Arial" w:cs="Arial" w:eastAsia="Arial" w:hAnsi="Arial"/>
          <w:sz w:val="18"/>
          <w:szCs w:val="18"/>
          <w:color w:val="auto"/>
        </w:rPr>
        <w:t>for which the federal courts of the United States have exclusive jurisdiction.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104"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FF0000"/>
          <w:strike w:val="1"/>
        </w:rPr>
        <w:t>Section 12.1</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203 of the DGCL</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The Corporation expressly elects not to be governed by Section</w:t>
      </w:r>
      <w:r>
        <w:rPr>
          <w:rFonts w:ascii="Arial" w:cs="Arial" w:eastAsia="Arial" w:hAnsi="Arial"/>
          <w:sz w:val="18"/>
          <w:szCs w:val="18"/>
          <w:color w:val="FF0000"/>
        </w:rPr>
        <w:t xml:space="preserve"> </w:t>
      </w:r>
      <w:r>
        <w:rPr>
          <w:rFonts w:ascii="Arial" w:cs="Arial" w:eastAsia="Arial" w:hAnsi="Arial"/>
          <w:sz w:val="18"/>
          <w:szCs w:val="18"/>
          <w:color w:val="000000"/>
        </w:rPr>
        <w:t>203 of the DGCL and the restrictions and limitations set forth therein.</w:t>
      </w:r>
    </w:p>
    <w:p>
      <w:pPr>
        <w:spacing w:after="0" w:line="46" w:lineRule="exact"/>
        <w:rPr>
          <w:sz w:val="20"/>
          <w:szCs w:val="20"/>
          <w:color w:val="auto"/>
        </w:rPr>
      </w:pPr>
    </w:p>
    <w:p>
      <w:pPr>
        <w:ind w:left="300" w:right="399"/>
        <w:spacing w:after="0"/>
        <w:rPr>
          <w:sz w:val="20"/>
          <w:szCs w:val="20"/>
          <w:color w:val="auto"/>
        </w:rPr>
      </w:pPr>
      <w:r>
        <w:rPr>
          <w:rFonts w:ascii="Arial" w:cs="Arial" w:eastAsia="Arial" w:hAnsi="Arial"/>
          <w:sz w:val="18"/>
          <w:szCs w:val="18"/>
          <w:color w:val="FF0000"/>
          <w:strike w:val="1"/>
        </w:rPr>
        <w:t xml:space="preserve">Section </w:t>
      </w:r>
      <w:r>
        <w:rPr>
          <w:rFonts w:ascii="Arial" w:cs="Arial" w:eastAsia="Arial" w:hAnsi="Arial"/>
          <w:sz w:val="18"/>
          <w:szCs w:val="18"/>
          <w:u w:val="single" w:color="auto"/>
          <w:color w:val="FF0000"/>
          <w:strike w:val="1"/>
        </w:rPr>
        <w:t>12.2 Business Combinations with Interested Stockholders. Notwithstanding anything to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 xml:space="preserve">contrary set forth in this Certificate of Incorporation, at any point in time at which the Class A Common Stock or Class B Common Stock is listed on a national </w:t>
      </w:r>
      <w:r>
        <w:rPr>
          <w:rFonts w:ascii="Arial" w:cs="Arial" w:eastAsia="Arial" w:hAnsi="Arial"/>
          <w:sz w:val="18"/>
          <w:szCs w:val="18"/>
          <w:color w:val="FF0000"/>
          <w:strike w:val="1"/>
        </w:rPr>
        <w:t>securities exchange registered under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Exchange Act or if the Corporation’s Class A Common Stock or Class B Common stock was so listed but is no longer so listed as a result of action taken directly or indirectly by the Interested Stockholder (as defined below), the Corporation shall not engage in a Business Combination (as defined below) with any Interested Stockholder for a period of three (3) years following the time that such stockholder became an Interested Stockholder, unless:</w:t>
      </w:r>
    </w:p>
    <w:p>
      <w:pPr>
        <w:spacing w:after="0" w:line="72" w:lineRule="exact"/>
        <w:rPr>
          <w:sz w:val="20"/>
          <w:szCs w:val="20"/>
          <w:color w:val="auto"/>
        </w:rPr>
      </w:pPr>
    </w:p>
    <w:p>
      <w:pPr>
        <w:ind w:left="660" w:right="339" w:hanging="8"/>
        <w:spacing w:after="0" w:line="253" w:lineRule="auto"/>
        <w:tabs>
          <w:tab w:leader="none" w:pos="930" w:val="left"/>
        </w:tabs>
        <w:numPr>
          <w:ilvl w:val="0"/>
          <w:numId w:val="97"/>
        </w:numPr>
        <w:rPr>
          <w:rFonts w:ascii="Arial" w:cs="Arial" w:eastAsia="Arial" w:hAnsi="Arial"/>
          <w:sz w:val="18"/>
          <w:szCs w:val="18"/>
          <w:color w:val="FF0000"/>
          <w:strike w:val="1"/>
        </w:rPr>
      </w:pPr>
      <w:r>
        <w:rPr>
          <w:rFonts w:ascii="Arial" w:cs="Arial" w:eastAsia="Arial" w:hAnsi="Arial"/>
          <w:sz w:val="18"/>
          <w:szCs w:val="18"/>
          <w:color w:val="FF0000"/>
          <w:strike w:val="1"/>
        </w:rPr>
        <w:t>prior to such time that such stockholder became an Interested Stockholder, the Board of Directors approved either the Business Combination or the transaction which resulted in such stockholder becoming an Interested Stockholder;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9" w:name="page280"/>
    <w:bookmarkEnd w:id="2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hanging="8"/>
        <w:spacing w:after="0"/>
        <w:tabs>
          <w:tab w:leader="none" w:pos="93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72" w:lineRule="exact"/>
        <w:rPr>
          <w:rFonts w:ascii="Arial" w:cs="Arial" w:eastAsia="Arial" w:hAnsi="Arial"/>
          <w:sz w:val="18"/>
          <w:szCs w:val="18"/>
          <w:color w:val="FF0000"/>
          <w:strike w:val="1"/>
        </w:rPr>
      </w:pPr>
    </w:p>
    <w:p>
      <w:pPr>
        <w:ind w:left="660" w:right="459" w:hanging="8"/>
        <w:spacing w:after="0" w:line="244" w:lineRule="auto"/>
        <w:tabs>
          <w:tab w:leader="none" w:pos="92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68" w:lineRule="exact"/>
        <w:rPr>
          <w:sz w:val="20"/>
          <w:szCs w:val="20"/>
          <w:color w:val="auto"/>
        </w:rPr>
      </w:pPr>
    </w:p>
    <w:p>
      <w:pPr>
        <w:ind w:left="300" w:right="639"/>
        <w:spacing w:after="0" w:line="271" w:lineRule="auto"/>
        <w:rPr>
          <w:sz w:val="20"/>
          <w:szCs w:val="20"/>
          <w:color w:val="auto"/>
        </w:rPr>
      </w:pPr>
      <w:r>
        <w:rPr>
          <w:rFonts w:ascii="Arial" w:cs="Arial" w:eastAsia="Arial" w:hAnsi="Arial"/>
          <w:sz w:val="18"/>
          <w:szCs w:val="18"/>
          <w:color w:val="FF0000"/>
          <w:strike w:val="1"/>
        </w:rPr>
        <w:t xml:space="preserve">Section 12.3 </w:t>
      </w:r>
      <w:r>
        <w:rPr>
          <w:rFonts w:ascii="Arial" w:cs="Arial" w:eastAsia="Arial" w:hAnsi="Arial"/>
          <w:sz w:val="18"/>
          <w:szCs w:val="18"/>
          <w:u w:val="single" w:color="auto"/>
          <w:color w:val="FF0000"/>
          <w:strike w:val="1"/>
        </w:rPr>
        <w:t>Definitions</w:t>
      </w:r>
      <w:r>
        <w:rPr>
          <w:rFonts w:ascii="Arial" w:cs="Arial" w:eastAsia="Arial" w:hAnsi="Arial"/>
          <w:sz w:val="18"/>
          <w:szCs w:val="18"/>
          <w:color w:val="FF0000"/>
          <w:strike w:val="1"/>
        </w:rPr>
        <w:t>. As used in this Certificate of Incorporation, the following terms shall have the following meaning:</w:t>
      </w:r>
    </w:p>
    <w:p>
      <w:pPr>
        <w:spacing w:after="0" w:line="46" w:lineRule="exact"/>
        <w:rPr>
          <w:sz w:val="20"/>
          <w:szCs w:val="20"/>
          <w:color w:val="auto"/>
        </w:rPr>
      </w:pPr>
    </w:p>
    <w:p>
      <w:pPr>
        <w:ind w:left="660" w:right="319" w:hanging="8"/>
        <w:spacing w:after="0" w:line="238" w:lineRule="auto"/>
        <w:tabs>
          <w:tab w:leader="none" w:pos="930" w:val="left"/>
        </w:tabs>
        <w:numPr>
          <w:ilvl w:val="0"/>
          <w:numId w:val="99"/>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Affiliate</w:t>
      </w:r>
      <w:r>
        <w:rPr>
          <w:rFonts w:ascii="Arial" w:cs="Arial" w:eastAsia="Arial" w:hAnsi="Arial"/>
          <w:sz w:val="18"/>
          <w:szCs w:val="18"/>
          <w:color w:val="FF0000"/>
          <w:strike w:val="1"/>
        </w:rPr>
        <w:t>” means a Person that directly, or indirectly through one or more intermediaries, controls, or is controlled by, or is under common control with, another Person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w:t>
      </w:r>
    </w:p>
    <w:p>
      <w:pPr>
        <w:spacing w:after="0" w:line="74" w:lineRule="exact"/>
        <w:rPr>
          <w:rFonts w:ascii="Arial" w:cs="Arial" w:eastAsia="Arial" w:hAnsi="Arial"/>
          <w:sz w:val="18"/>
          <w:szCs w:val="18"/>
          <w:color w:val="FF0000"/>
          <w:strike w:val="1"/>
        </w:rPr>
      </w:pPr>
    </w:p>
    <w:p>
      <w:pPr>
        <w:ind w:left="660" w:right="419" w:hanging="8"/>
        <w:spacing w:after="0"/>
        <w:tabs>
          <w:tab w:leader="none" w:pos="930" w:val="left"/>
        </w:tabs>
        <w:numPr>
          <w:ilvl w:val="0"/>
          <w:numId w:val="99"/>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Associate</w:t>
      </w:r>
      <w:r>
        <w:rPr>
          <w:rFonts w:ascii="Arial" w:cs="Arial" w:eastAsia="Arial" w:hAnsi="Arial"/>
          <w:sz w:val="18"/>
          <w:szCs w:val="18"/>
          <w:color w:val="FF0000"/>
          <w:strike w:val="1"/>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6" w:lineRule="exact"/>
        <w:rPr>
          <w:rFonts w:ascii="Arial" w:cs="Arial" w:eastAsia="Arial" w:hAnsi="Arial"/>
          <w:sz w:val="18"/>
          <w:szCs w:val="18"/>
          <w:color w:val="FF0000"/>
          <w:strike w:val="1"/>
        </w:rPr>
      </w:pPr>
    </w:p>
    <w:p>
      <w:pPr>
        <w:ind w:left="660" w:right="359" w:hanging="8"/>
        <w:spacing w:after="0" w:line="237" w:lineRule="auto"/>
        <w:tabs>
          <w:tab w:leader="none" w:pos="920" w:val="left"/>
        </w:tabs>
        <w:numPr>
          <w:ilvl w:val="0"/>
          <w:numId w:val="99"/>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Business Combination</w:t>
      </w:r>
      <w:r>
        <w:rPr>
          <w:rFonts w:ascii="Arial" w:cs="Arial" w:eastAsia="Arial" w:hAnsi="Arial"/>
          <w:sz w:val="18"/>
          <w:szCs w:val="18"/>
          <w:color w:val="FF0000"/>
          <w:strike w:val="1"/>
        </w:rPr>
        <w:t>”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this Article XII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0" w:name="page281"/>
    <w:bookmarkEnd w:id="2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51" w:lineRule="auto"/>
        <w:rPr>
          <w:sz w:val="20"/>
          <w:szCs w:val="20"/>
          <w:color w:val="auto"/>
        </w:rPr>
      </w:pPr>
      <w:r>
        <w:rPr>
          <w:rFonts w:ascii="Arial" w:cs="Arial" w:eastAsia="Arial" w:hAnsi="Arial"/>
          <w:sz w:val="17"/>
          <w:szCs w:val="17"/>
          <w:color w:val="FF0000"/>
          <w:strike w:val="1"/>
        </w:rPr>
        <w:t>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any receipt by the interested stockholder of the benefit, 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spacing w:after="0" w:line="71" w:lineRule="exact"/>
        <w:rPr>
          <w:sz w:val="20"/>
          <w:szCs w:val="20"/>
          <w:color w:val="auto"/>
        </w:rPr>
      </w:pPr>
    </w:p>
    <w:p>
      <w:pPr>
        <w:ind w:left="660" w:right="299" w:hanging="8"/>
        <w:spacing w:after="0" w:line="236" w:lineRule="auto"/>
        <w:tabs>
          <w:tab w:leader="none" w:pos="930" w:val="left"/>
        </w:tabs>
        <w:numPr>
          <w:ilvl w:val="0"/>
          <w:numId w:val="100"/>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Interested Stockholder</w:t>
      </w:r>
      <w:r>
        <w:rPr>
          <w:rFonts w:ascii="Arial" w:cs="Arial" w:eastAsia="Arial" w:hAnsi="Arial"/>
          <w:sz w:val="18"/>
          <w:szCs w:val="18"/>
          <w:color w:val="FF0000"/>
          <w:strike w:val="1"/>
        </w:rPr>
        <w:t xml:space="preserve">” means any Person (other than the Corporation and any direct or indirect majority-owned subsidiary of the Corporation) that (i) is the owner of fifteen percent (15%) or more of the outstanding voting stock of the Corporation, or (ii) is an Affiliate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8"/>
          <w:szCs w:val="18"/>
          <w:u w:val="single" w:color="auto"/>
          <w:color w:val="FF0000"/>
          <w:strike w:val="1"/>
        </w:rPr>
        <w:t>Article XII</w:t>
      </w:r>
      <w:r>
        <w:rPr>
          <w:rFonts w:ascii="Arial" w:cs="Arial" w:eastAsia="Arial" w:hAnsi="Arial"/>
          <w:sz w:val="18"/>
          <w:szCs w:val="18"/>
          <w:color w:val="FF0000"/>
          <w:strike w:val="1"/>
        </w:rPr>
        <w:t xml:space="preserve"> to the contrary, the term “Interested Stockholder” shall not include: (v) the JYH Related Parties or any of their current and future Affiliates (so long as such affiliate remains an affiliate) or Associates, including any investment funds managed, directly or indirectly, by JYH or any other Person with whom any of the foregoing are acting as a group or in concert for the purpose of acquiring, holding, voting or disposing of shares of capital stock of the Corporation; (w) the Bain Capital Ventures Related Parties or any of their current and future Affiliates (so long as such affiliate remains an affiliate) or Associates, including any investment funds affiliated with Bain Capital Ventures or any other Person with whom any of the foregoing are acting as a group or in concert for the purpose of acquiring, holding, voting or disposing of shares of capital stock of the Corporation; (x) the HCP Related Parties or any of their current and future Affiliates (so long as such affiliate remains an affiliate) or Associates, including any investment funds managed, directly or indirectly, by HCP or any other Person with whom any of the foregoing are acting as a group or in concert for the purpose of acquiring, holding, voting or disposing of shares of capital stock of the Corporation; (y) any Person who acquires ownership of fifteen percent (15%) or more of the then-outstanding voting stock of the Corporation directly or indirectly from a JYH Related Party, Bain Capital Ventures Related Party or a HCP Related Party, and excluding, for the avoidance of doubt, any Person who acquires voting stock of the Corporation through a broker’s transaction executed on any securities exchange or other over-the-counter market or pursuant to an underwritten public offering; (z) a stockholder that becomes an Interested Stockholder inadvertently and (A) as soon as practicable divests itself of ownership of sufficient shares so that such stockholder ceases to be an Interested Stockholder and (B) would not, at any time within the three-year period immediately prior to a business combination between the Corporation and such stockholder, have been an Interested Stockholder but for the inadvertent acquisition of ownership or (aa) any person whose ownership of shares in excess of the fifteen percent (15%) limitation set forth herein is the result of any action taken solely by the Corporation;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however</w:t>
      </w:r>
      <w:r>
        <w:rPr>
          <w:rFonts w:ascii="Arial" w:cs="Arial" w:eastAsia="Arial" w:hAnsi="Arial"/>
          <w:sz w:val="18"/>
          <w:szCs w:val="18"/>
          <w:color w:val="FF0000"/>
          <w:strike w:val="1"/>
        </w:rPr>
        <w:t>, that such person specified in this clause (aa) shall be an Interested Stockholder if thereafter such person acquires additional shares of voting stock of the Corporation, except as a result of further corporate action not caused, directly or indirectly,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-3550285</wp:posOffset>
            </wp:positionV>
            <wp:extent cx="18141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8141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1" w:name="page282"/>
    <w:bookmarkEnd w:id="2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FF0000"/>
          <w:strike w:val="1"/>
        </w:rPr>
        <w:t>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8" w:lineRule="exact"/>
        <w:rPr>
          <w:sz w:val="20"/>
          <w:szCs w:val="20"/>
          <w:color w:val="auto"/>
        </w:rPr>
      </w:pPr>
    </w:p>
    <w:p>
      <w:pPr>
        <w:ind w:left="660" w:right="459" w:hanging="8"/>
        <w:spacing w:after="0" w:line="271" w:lineRule="auto"/>
        <w:tabs>
          <w:tab w:leader="none" w:pos="93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Bain Capital Ventures</w:t>
      </w:r>
      <w:r>
        <w:rPr>
          <w:rFonts w:ascii="Arial" w:cs="Arial" w:eastAsia="Arial" w:hAnsi="Arial"/>
          <w:sz w:val="18"/>
          <w:szCs w:val="18"/>
          <w:color w:val="FF0000"/>
          <w:strike w:val="1"/>
        </w:rPr>
        <w:t xml:space="preserve">” means Bain Capital Venture </w:t>
      </w:r>
      <w:r>
        <w:rPr>
          <w:rFonts w:ascii="Arial" w:cs="Arial" w:eastAsia="Arial" w:hAnsi="Arial"/>
          <w:sz w:val="18"/>
          <w:szCs w:val="18"/>
          <w:i w:val="1"/>
          <w:iCs w:val="1"/>
          <w:color w:val="FF0000"/>
          <w:strike w:val="1"/>
        </w:rPr>
        <w:t>Investors, LLC, a Delaware limited liability</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company</w:t>
      </w:r>
      <w:r>
        <w:rPr>
          <w:rFonts w:ascii="Arial" w:cs="Arial" w:eastAsia="Arial" w:hAnsi="Arial"/>
          <w:sz w:val="18"/>
          <w:szCs w:val="18"/>
          <w:color w:val="FF0000"/>
          <w:strike w:val="1"/>
        </w:rPr>
        <w:t>.</w:t>
      </w:r>
    </w:p>
    <w:p>
      <w:pPr>
        <w:spacing w:after="0" w:line="86" w:lineRule="exact"/>
        <w:rPr>
          <w:rFonts w:ascii="Arial" w:cs="Arial" w:eastAsia="Arial" w:hAnsi="Arial"/>
          <w:sz w:val="18"/>
          <w:szCs w:val="18"/>
          <w:color w:val="FF0000"/>
          <w:strike w:val="1"/>
        </w:rPr>
      </w:pPr>
    </w:p>
    <w:p>
      <w:pPr>
        <w:ind w:left="880" w:hanging="228"/>
        <w:spacing w:after="0"/>
        <w:tabs>
          <w:tab w:leader="none" w:pos="88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Bain Capital Ventures Related Parties</w:t>
      </w:r>
      <w:r>
        <w:rPr>
          <w:rFonts w:ascii="Arial" w:cs="Arial" w:eastAsia="Arial" w:hAnsi="Arial"/>
          <w:sz w:val="18"/>
          <w:szCs w:val="18"/>
          <w:color w:val="FF0000"/>
          <w:strike w:val="1"/>
        </w:rPr>
        <w:t>” means Bain Capital Ventures and its Affiliates.</w:t>
      </w:r>
    </w:p>
    <w:p>
      <w:pPr>
        <w:spacing w:after="0" w:line="144" w:lineRule="exact"/>
        <w:rPr>
          <w:rFonts w:ascii="Arial" w:cs="Arial" w:eastAsia="Arial" w:hAnsi="Arial"/>
          <w:sz w:val="18"/>
          <w:szCs w:val="18"/>
          <w:color w:val="FF0000"/>
          <w:strike w:val="1"/>
        </w:rPr>
      </w:pPr>
    </w:p>
    <w:p>
      <w:pPr>
        <w:ind w:left="920" w:hanging="268"/>
        <w:spacing w:after="0"/>
        <w:tabs>
          <w:tab w:leader="none" w:pos="92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HCP</w:t>
      </w:r>
      <w:r>
        <w:rPr>
          <w:rFonts w:ascii="Arial" w:cs="Arial" w:eastAsia="Arial" w:hAnsi="Arial"/>
          <w:sz w:val="18"/>
          <w:szCs w:val="18"/>
          <w:color w:val="FF0000"/>
          <w:strike w:val="1"/>
        </w:rPr>
        <w:t>” means Highland Management Partners VIII Ltd, a Cayman limited company.</w:t>
      </w:r>
    </w:p>
    <w:p>
      <w:pPr>
        <w:spacing w:after="0" w:line="130" w:lineRule="exact"/>
        <w:rPr>
          <w:rFonts w:ascii="Arial" w:cs="Arial" w:eastAsia="Arial" w:hAnsi="Arial"/>
          <w:sz w:val="18"/>
          <w:szCs w:val="18"/>
          <w:color w:val="FF0000"/>
          <w:strike w:val="1"/>
        </w:rPr>
      </w:pPr>
    </w:p>
    <w:p>
      <w:pPr>
        <w:ind w:left="920" w:hanging="268"/>
        <w:spacing w:after="0"/>
        <w:tabs>
          <w:tab w:leader="none" w:pos="92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HCP Related Parties</w:t>
      </w:r>
      <w:r>
        <w:rPr>
          <w:rFonts w:ascii="Arial" w:cs="Arial" w:eastAsia="Arial" w:hAnsi="Arial"/>
          <w:sz w:val="18"/>
          <w:szCs w:val="18"/>
          <w:color w:val="FF0000"/>
          <w:strike w:val="1"/>
        </w:rPr>
        <w:t>” means HCP and its Affiliates.</w:t>
      </w:r>
    </w:p>
    <w:p>
      <w:pPr>
        <w:spacing w:after="0" w:line="144" w:lineRule="exact"/>
        <w:rPr>
          <w:rFonts w:ascii="Arial" w:cs="Arial" w:eastAsia="Arial" w:hAnsi="Arial"/>
          <w:sz w:val="18"/>
          <w:szCs w:val="18"/>
          <w:color w:val="FF0000"/>
          <w:strike w:val="1"/>
        </w:rPr>
      </w:pPr>
    </w:p>
    <w:p>
      <w:pPr>
        <w:ind w:left="860" w:hanging="208"/>
        <w:spacing w:after="0"/>
        <w:tabs>
          <w:tab w:leader="none" w:pos="86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JYH</w:t>
      </w:r>
      <w:r>
        <w:rPr>
          <w:rFonts w:ascii="Arial" w:cs="Arial" w:eastAsia="Arial" w:hAnsi="Arial"/>
          <w:sz w:val="18"/>
          <w:szCs w:val="18"/>
          <w:color w:val="FF0000"/>
          <w:strike w:val="1"/>
        </w:rPr>
        <w:t>” means Jennifer Y. Hyman.</w:t>
      </w:r>
    </w:p>
    <w:p>
      <w:pPr>
        <w:spacing w:after="0" w:line="144" w:lineRule="exact"/>
        <w:rPr>
          <w:rFonts w:ascii="Arial" w:cs="Arial" w:eastAsia="Arial" w:hAnsi="Arial"/>
          <w:sz w:val="18"/>
          <w:szCs w:val="18"/>
          <w:color w:val="FF0000"/>
          <w:strike w:val="1"/>
        </w:rPr>
      </w:pPr>
    </w:p>
    <w:p>
      <w:pPr>
        <w:ind w:left="860" w:hanging="208"/>
        <w:spacing w:after="0"/>
        <w:tabs>
          <w:tab w:leader="none" w:pos="86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JYH Related Parties</w:t>
      </w:r>
      <w:r>
        <w:rPr>
          <w:rFonts w:ascii="Arial" w:cs="Arial" w:eastAsia="Arial" w:hAnsi="Arial"/>
          <w:sz w:val="18"/>
          <w:szCs w:val="18"/>
          <w:color w:val="FF0000"/>
          <w:strike w:val="1"/>
        </w:rPr>
        <w:t>” means JYH and her Affiliates.</w:t>
      </w:r>
    </w:p>
    <w:p>
      <w:pPr>
        <w:spacing w:after="0" w:line="103" w:lineRule="exact"/>
        <w:rPr>
          <w:rFonts w:ascii="Arial" w:cs="Arial" w:eastAsia="Arial" w:hAnsi="Arial"/>
          <w:sz w:val="18"/>
          <w:szCs w:val="18"/>
          <w:color w:val="FF0000"/>
          <w:strike w:val="1"/>
        </w:rPr>
      </w:pPr>
    </w:p>
    <w:p>
      <w:pPr>
        <w:ind w:left="660" w:right="359" w:hanging="8"/>
        <w:spacing w:after="0" w:line="253" w:lineRule="auto"/>
        <w:tabs>
          <w:tab w:leader="none" w:pos="92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owner</w:t>
      </w:r>
      <w:r>
        <w:rPr>
          <w:rFonts w:ascii="Arial" w:cs="Arial" w:eastAsia="Arial" w:hAnsi="Arial"/>
          <w:sz w:val="18"/>
          <w:szCs w:val="18"/>
          <w:color w:val="FF0000"/>
          <w:strike w:val="1"/>
        </w:rPr>
        <w:t>,” including the terms “own” and “owned,” when used with respect to any stock, means, for purposes of this Article XII, a person that individually or with or through any of its affiliates or associates:</w:t>
      </w:r>
    </w:p>
    <w:p>
      <w:pPr>
        <w:spacing w:after="0" w:line="87" w:lineRule="exact"/>
        <w:rPr>
          <w:rFonts w:ascii="Arial" w:cs="Arial" w:eastAsia="Arial" w:hAnsi="Arial"/>
          <w:sz w:val="18"/>
          <w:szCs w:val="18"/>
          <w:color w:val="FF0000"/>
          <w:strike w:val="1"/>
        </w:rPr>
      </w:pPr>
    </w:p>
    <w:p>
      <w:pPr>
        <w:ind w:left="1220" w:hanging="208"/>
        <w:spacing w:after="0"/>
        <w:tabs>
          <w:tab w:leader="none" w:pos="1220" w:val="left"/>
        </w:tabs>
        <w:numPr>
          <w:ilvl w:val="1"/>
          <w:numId w:val="101"/>
        </w:numPr>
        <w:rPr>
          <w:rFonts w:ascii="Arial" w:cs="Arial" w:eastAsia="Arial" w:hAnsi="Arial"/>
          <w:sz w:val="18"/>
          <w:szCs w:val="18"/>
          <w:color w:val="FF0000"/>
          <w:strike w:val="1"/>
        </w:rPr>
      </w:pPr>
      <w:r>
        <w:rPr>
          <w:rFonts w:ascii="Arial" w:cs="Arial" w:eastAsia="Arial" w:hAnsi="Arial"/>
          <w:sz w:val="18"/>
          <w:szCs w:val="18"/>
          <w:color w:val="FF0000"/>
          <w:strike w:val="1"/>
        </w:rPr>
        <w:t>beneficially owns such stock, directly or indirectly;</w:t>
      </w:r>
    </w:p>
    <w:p>
      <w:pPr>
        <w:spacing w:after="0" w:line="103" w:lineRule="exact"/>
        <w:rPr>
          <w:rFonts w:ascii="Arial" w:cs="Arial" w:eastAsia="Arial" w:hAnsi="Arial"/>
          <w:sz w:val="18"/>
          <w:szCs w:val="18"/>
          <w:color w:val="FF0000"/>
          <w:strike w:val="1"/>
        </w:rPr>
      </w:pPr>
    </w:p>
    <w:p>
      <w:pPr>
        <w:ind w:left="1020" w:right="379" w:hanging="8"/>
        <w:spacing w:after="0" w:line="238" w:lineRule="auto"/>
        <w:tabs>
          <w:tab w:leader="none" w:pos="1270" w:val="left"/>
        </w:tabs>
        <w:numPr>
          <w:ilvl w:val="1"/>
          <w:numId w:val="101"/>
        </w:numPr>
        <w:rPr>
          <w:rFonts w:ascii="Arial" w:cs="Arial" w:eastAsia="Arial" w:hAnsi="Arial"/>
          <w:sz w:val="18"/>
          <w:szCs w:val="18"/>
          <w:color w:val="FF0000"/>
          <w:strike w:val="1"/>
        </w:rPr>
      </w:pPr>
      <w:r>
        <w:rPr>
          <w:rFonts w:ascii="Arial" w:cs="Arial" w:eastAsia="Arial" w:hAnsi="Arial"/>
          <w:sz w:val="18"/>
          <w:szCs w:val="18"/>
          <w:color w:val="FF0000"/>
          <w:strike w:val="1"/>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77" w:lineRule="exact"/>
        <w:rPr>
          <w:rFonts w:ascii="Arial" w:cs="Arial" w:eastAsia="Arial" w:hAnsi="Arial"/>
          <w:sz w:val="18"/>
          <w:szCs w:val="18"/>
          <w:color w:val="FF0000"/>
          <w:strike w:val="1"/>
        </w:rPr>
      </w:pPr>
    </w:p>
    <w:p>
      <w:pPr>
        <w:jc w:val="both"/>
        <w:ind w:left="1020" w:right="339" w:hanging="8"/>
        <w:spacing w:after="0" w:line="247" w:lineRule="auto"/>
        <w:tabs>
          <w:tab w:leader="none" w:pos="1310" w:val="left"/>
        </w:tabs>
        <w:numPr>
          <w:ilvl w:val="1"/>
          <w:numId w:val="101"/>
        </w:numPr>
        <w:rPr>
          <w:rFonts w:ascii="Arial" w:cs="Arial" w:eastAsia="Arial" w:hAnsi="Arial"/>
          <w:sz w:val="18"/>
          <w:szCs w:val="18"/>
          <w:color w:val="FF0000"/>
          <w:strike w:val="1"/>
        </w:rPr>
      </w:pPr>
      <w:r>
        <w:rPr>
          <w:rFonts w:ascii="Arial" w:cs="Arial" w:eastAsia="Arial" w:hAnsi="Arial"/>
          <w:sz w:val="18"/>
          <w:szCs w:val="18"/>
          <w:color w:val="FF0000"/>
          <w:strike w:val="1"/>
        </w:rPr>
        <w:t>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65" w:lineRule="exact"/>
        <w:rPr>
          <w:rFonts w:ascii="Arial" w:cs="Arial" w:eastAsia="Arial" w:hAnsi="Arial"/>
          <w:sz w:val="18"/>
          <w:szCs w:val="18"/>
          <w:color w:val="FF0000"/>
          <w:strike w:val="1"/>
        </w:rPr>
      </w:pPr>
    </w:p>
    <w:p>
      <w:pPr>
        <w:ind w:left="660" w:right="419" w:hanging="8"/>
        <w:spacing w:after="0" w:line="271" w:lineRule="auto"/>
        <w:tabs>
          <w:tab w:leader="none" w:pos="87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Person</w:t>
      </w:r>
      <w:r>
        <w:rPr>
          <w:rFonts w:ascii="Arial" w:cs="Arial" w:eastAsia="Arial" w:hAnsi="Arial"/>
          <w:sz w:val="18"/>
          <w:szCs w:val="18"/>
          <w:color w:val="FF0000"/>
          <w:strike w:val="1"/>
        </w:rPr>
        <w:t>” means any individual, corporation, partnership, limited liability company, unincorporated association or other entity.</w:t>
      </w:r>
    </w:p>
    <w:p>
      <w:pPr>
        <w:spacing w:after="0" w:line="45" w:lineRule="exact"/>
        <w:rPr>
          <w:rFonts w:ascii="Arial" w:cs="Arial" w:eastAsia="Arial" w:hAnsi="Arial"/>
          <w:sz w:val="18"/>
          <w:szCs w:val="18"/>
          <w:color w:val="FF0000"/>
          <w:strike w:val="1"/>
        </w:rPr>
      </w:pPr>
    </w:p>
    <w:p>
      <w:pPr>
        <w:ind w:left="660" w:right="379" w:hanging="8"/>
        <w:spacing w:after="0" w:line="271" w:lineRule="auto"/>
        <w:tabs>
          <w:tab w:leader="none" w:pos="98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stock</w:t>
      </w:r>
      <w:r>
        <w:rPr>
          <w:rFonts w:ascii="Arial" w:cs="Arial" w:eastAsia="Arial" w:hAnsi="Arial"/>
          <w:sz w:val="18"/>
          <w:szCs w:val="18"/>
          <w:color w:val="FF0000"/>
          <w:strike w:val="1"/>
        </w:rPr>
        <w:t>” means, for purposes of this Article XII, with respect to any corporation, capital stock and, with respect to any other entity, any equity interest.</w:t>
      </w:r>
    </w:p>
    <w:p>
      <w:pPr>
        <w:spacing w:after="0" w:line="45" w:lineRule="exact"/>
        <w:rPr>
          <w:rFonts w:ascii="Arial" w:cs="Arial" w:eastAsia="Arial" w:hAnsi="Arial"/>
          <w:sz w:val="18"/>
          <w:szCs w:val="18"/>
          <w:color w:val="FF0000"/>
          <w:strike w:val="1"/>
        </w:rPr>
      </w:pPr>
    </w:p>
    <w:p>
      <w:pPr>
        <w:ind w:left="660" w:right="539" w:hanging="8"/>
        <w:spacing w:after="0" w:line="244" w:lineRule="auto"/>
        <w:tabs>
          <w:tab w:leader="none" w:pos="930" w:val="left"/>
        </w:tabs>
        <w:numPr>
          <w:ilvl w:val="0"/>
          <w:numId w:val="101"/>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voting stock</w:t>
      </w:r>
      <w:r>
        <w:rPr>
          <w:rFonts w:ascii="Arial" w:cs="Arial" w:eastAsia="Arial" w:hAnsi="Arial"/>
          <w:sz w:val="18"/>
          <w:szCs w:val="18"/>
          <w:color w:val="FF0000"/>
          <w:strike w:val="1"/>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104" w:lineRule="exact"/>
        <w:rPr>
          <w:sz w:val="20"/>
          <w:szCs w:val="20"/>
          <w:color w:val="auto"/>
        </w:rPr>
      </w:pPr>
    </w:p>
    <w:p>
      <w:pPr>
        <w:ind w:left="300" w:right="639"/>
        <w:spacing w:after="0" w:line="281"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Certificate of Incorporation, the following terms shall have the following </w:t>
      </w:r>
      <w:r>
        <w:rPr>
          <w:rFonts w:ascii="Arial" w:cs="Arial" w:eastAsia="Arial" w:hAnsi="Arial"/>
          <w:sz w:val="18"/>
          <w:szCs w:val="18"/>
          <w:color w:val="FF0000"/>
          <w:strike w:val="1"/>
        </w:rPr>
        <w:t>meaning</w:t>
      </w:r>
      <w:r>
        <w:rPr>
          <w:rFonts w:ascii="Arial" w:cs="Arial" w:eastAsia="Arial" w:hAnsi="Arial"/>
          <w:sz w:val="18"/>
          <w:szCs w:val="18"/>
          <w:b w:val="1"/>
          <w:bCs w:val="1"/>
          <w:u w:val="single" w:color="auto"/>
          <w:color w:val="0000FF"/>
        </w:rPr>
        <w:t>meanings</w:t>
      </w:r>
      <w:r>
        <w:rPr>
          <w:rFonts w:ascii="Arial" w:cs="Arial" w:eastAsia="Arial" w:hAnsi="Arial"/>
          <w:sz w:val="18"/>
          <w:szCs w:val="18"/>
          <w:color w:val="auto"/>
        </w:rPr>
        <w: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(a)</w:t>
      </w:r>
    </w:p>
    <w:p>
      <w:pPr>
        <w:spacing w:after="0" w:line="104" w:lineRule="exact"/>
        <w:rPr>
          <w:sz w:val="20"/>
          <w:szCs w:val="20"/>
          <w:color w:val="auto"/>
        </w:rPr>
      </w:pPr>
    </w:p>
    <w:p>
      <w:pPr>
        <w:jc w:val="both"/>
        <w:ind w:left="660" w:right="1059" w:hanging="8"/>
        <w:spacing w:after="0" w:line="311" w:lineRule="auto"/>
        <w:tabs>
          <w:tab w:leader="none" w:pos="930" w:val="left"/>
        </w:tabs>
        <w:numPr>
          <w:ilvl w:val="0"/>
          <w:numId w:val="102"/>
        </w:numPr>
        <w:rPr>
          <w:rFonts w:ascii="Arial" w:cs="Arial" w:eastAsia="Arial" w:hAnsi="Arial"/>
          <w:sz w:val="17"/>
          <w:szCs w:val="17"/>
          <w:b w:val="1"/>
          <w:bCs w:val="1"/>
          <w:u w:val="single" w:color="auto"/>
          <w:color w:val="0000FF"/>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who or which, directly or indirectly, controls, is controlled by, or is under common control with such specified Person</w:t>
      </w:r>
      <w:r>
        <w:rPr>
          <w:rFonts w:ascii="Arial" w:cs="Arial" w:eastAsia="Arial" w:hAnsi="Arial"/>
          <w:sz w:val="17"/>
          <w:szCs w:val="17"/>
          <w:color w:val="FF0000"/>
          <w:strike w:val="1"/>
        </w:rPr>
        <w:t>;</w:t>
      </w:r>
      <w:r>
        <w:rPr>
          <w:rFonts w:ascii="Arial" w:cs="Arial" w:eastAsia="Arial" w:hAnsi="Arial"/>
          <w:sz w:val="17"/>
          <w:szCs w:val="17"/>
          <w:b w:val="1"/>
          <w:bCs w:val="1"/>
          <w:u w:val="single" w:color="auto"/>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2" w:name="page283"/>
    <w:bookmarkEnd w:id="2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61"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b w:val="1"/>
          <w:bCs w:val="1"/>
          <w:i w:val="1"/>
          <w:iCs w:val="1"/>
          <w:color w:val="FF0000"/>
          <w:strike w:val="1"/>
        </w:rPr>
        <w:t>Change of Control Transaction</w:t>
      </w:r>
      <w:r>
        <w:rPr>
          <w:rFonts w:ascii="Arial" w:cs="Arial" w:eastAsia="Arial" w:hAnsi="Arial"/>
          <w:sz w:val="17"/>
          <w:szCs w:val="17"/>
          <w:color w:val="FF0000"/>
          <w:strike w:val="1"/>
        </w:rPr>
        <w:t>” means (i) a merger or consolidation of the Corporation into or with another corporation or entity (except one in which the holders of capital stock of the Corporation immediately prior to such merger or consolidation and/or the Affiliates of such holders collectively continue to hold at least a majority of the voting power of the capital stock of the surviving corporation) or (ii) the sale, transfer or license of all or substantially of the assets of the Corporation.</w:t>
      </w:r>
    </w:p>
    <w:p>
      <w:pPr>
        <w:spacing w:after="0" w:line="58"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FF0000"/>
          <w:strike w:val="1"/>
        </w:rPr>
        <w:t>(c)“</w:t>
      </w:r>
      <w:r>
        <w:rPr>
          <w:rFonts w:ascii="Arial" w:cs="Arial" w:eastAsia="Arial" w:hAnsi="Arial"/>
          <w:sz w:val="18"/>
          <w:szCs w:val="18"/>
          <w:b w:val="1"/>
          <w:bCs w:val="1"/>
          <w:i w:val="1"/>
          <w:iCs w:val="1"/>
          <w:color w:val="FF0000"/>
          <w:strike w:val="1"/>
        </w:rPr>
        <w:t>Disability</w:t>
      </w:r>
      <w:r>
        <w:rPr>
          <w:rFonts w:ascii="Arial" w:cs="Arial" w:eastAsia="Arial" w:hAnsi="Arial"/>
          <w:sz w:val="18"/>
          <w:szCs w:val="18"/>
          <w:color w:val="FF0000"/>
          <w:strike w:val="1"/>
        </w:rPr>
        <w:t>” means, with respect to a Key Holder, the permanent and total disability of such Key Holder, as the case may be, such that such Key Holder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Whole Board of Directors and such Key Holder. If such Key Holder is incapable of selecting a licensed physician, then the spouse of such Key Holder, as applicable, shall make the selection on behalf of such Key Holder, or in the absence or incapacity of such spouse, the adult children of such Key Holder, by majority vote, shall make the selection on behalf of such Key Holder, or in the absence such adult children or their inability to act by majority vote, a natural person then acting as the successor trustee of a revocable living trust which was created by such Key Holder, and which holds more shares of all classes of capital stock of the Corporation than any other revocable living trust created by such Key Holder, shall make the selection on behalf of such Key Holder, or in absence of any such successor trustee, the legal guardian or conservator of the estate of such Key Holder, shall make the selection on behalf of such Key Holder.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(d)</w:t>
      </w:r>
    </w:p>
    <w:p>
      <w:pPr>
        <w:spacing w:after="0" w:line="104" w:lineRule="exact"/>
        <w:rPr>
          <w:sz w:val="20"/>
          <w:szCs w:val="20"/>
          <w:color w:val="auto"/>
        </w:rPr>
      </w:pPr>
    </w:p>
    <w:p>
      <w:pPr>
        <w:ind w:left="660" w:right="359" w:hanging="8"/>
        <w:spacing w:after="0" w:line="253" w:lineRule="auto"/>
        <w:tabs>
          <w:tab w:leader="none" w:pos="940" w:val="left"/>
        </w:tabs>
        <w:numPr>
          <w:ilvl w:val="0"/>
          <w:numId w:val="103"/>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any applicable rules and regulations promulgated thereunder, and any successor to such statute, rules or regulations.</w:t>
      </w:r>
    </w:p>
    <w:p>
      <w:pPr>
        <w:spacing w:after="0" w:line="61" w:lineRule="exact"/>
        <w:rPr>
          <w:sz w:val="20"/>
          <w:szCs w:val="20"/>
          <w:color w:val="auto"/>
        </w:rPr>
      </w:pPr>
    </w:p>
    <w:p>
      <w:pPr>
        <w:ind w:left="660" w:right="879" w:hanging="8"/>
        <w:spacing w:after="0" w:line="275" w:lineRule="auto"/>
        <w:tabs>
          <w:tab w:leader="none" w:pos="930" w:val="left"/>
        </w:tabs>
        <w:numPr>
          <w:ilvl w:val="0"/>
          <w:numId w:val="104"/>
        </w:numPr>
        <w:rPr>
          <w:rFonts w:ascii="Arial" w:cs="Arial" w:eastAsia="Arial" w:hAnsi="Arial"/>
          <w:sz w:val="17"/>
          <w:szCs w:val="17"/>
          <w:color w:val="FF0000"/>
          <w:strike w:val="1"/>
        </w:rPr>
      </w:pPr>
      <w:r>
        <w:rPr>
          <w:rFonts w:ascii="Arial" w:cs="Arial" w:eastAsia="Arial" w:hAnsi="Arial"/>
          <w:sz w:val="17"/>
          <w:szCs w:val="17"/>
          <w:color w:val="FF0000"/>
          <w:strike w:val="1"/>
        </w:rPr>
        <w:t>“</w:t>
      </w:r>
      <w:r>
        <w:rPr>
          <w:rFonts w:ascii="Arial" w:cs="Arial" w:eastAsia="Arial" w:hAnsi="Arial"/>
          <w:sz w:val="17"/>
          <w:szCs w:val="17"/>
          <w:b w:val="1"/>
          <w:bCs w:val="1"/>
          <w:i w:val="1"/>
          <w:iCs w:val="1"/>
          <w:color w:val="FF0000"/>
          <w:strike w:val="1"/>
        </w:rPr>
        <w:t>Family Member</w:t>
      </w:r>
      <w:r>
        <w:rPr>
          <w:rFonts w:ascii="Arial" w:cs="Arial" w:eastAsia="Arial" w:hAnsi="Arial"/>
          <w:sz w:val="17"/>
          <w:szCs w:val="17"/>
          <w:color w:val="FF0000"/>
          <w:strike w:val="1"/>
        </w:rPr>
        <w:t>” means, in respect of any Person, the spouse, domestic partner, parents, grandparents, lineal descendants, siblings and lineal descendants of siblings of such Person (including adopted persons, former spouses or former domestic partners of such Person).</w:t>
      </w:r>
    </w:p>
    <w:p>
      <w:pPr>
        <w:spacing w:after="0" w:line="44" w:lineRule="exact"/>
        <w:rPr>
          <w:sz w:val="20"/>
          <w:szCs w:val="20"/>
          <w:color w:val="auto"/>
        </w:rPr>
      </w:pPr>
    </w:p>
    <w:p>
      <w:pPr>
        <w:ind w:left="920" w:hanging="268"/>
        <w:spacing w:after="0"/>
        <w:tabs>
          <w:tab w:leader="none" w:pos="920" w:val="left"/>
        </w:tabs>
        <w:numPr>
          <w:ilvl w:val="0"/>
          <w:numId w:val="105"/>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Investor Rights Agreement</w:t>
      </w:r>
      <w:r>
        <w:rPr>
          <w:rFonts w:ascii="Arial" w:cs="Arial" w:eastAsia="Arial" w:hAnsi="Arial"/>
          <w:sz w:val="18"/>
          <w:szCs w:val="18"/>
          <w:b w:val="1"/>
          <w:bCs w:val="1"/>
          <w:u w:val="single" w:color="auto"/>
          <w:color w:val="0000FF"/>
        </w:rPr>
        <w:t>” means that certain Investor Rights Agreement, dated as of</w:t>
      </w:r>
    </w:p>
    <w:p>
      <w:pPr>
        <w:spacing w:after="0" w:line="13" w:lineRule="exact"/>
        <w:rPr>
          <w:rFonts w:ascii="Arial" w:cs="Arial" w:eastAsia="Arial" w:hAnsi="Arial"/>
          <w:sz w:val="18"/>
          <w:szCs w:val="18"/>
          <w:b w:val="1"/>
          <w:bCs w:val="1"/>
          <w:u w:val="single" w:color="auto"/>
          <w:color w:val="0000FF"/>
        </w:rPr>
      </w:pPr>
    </w:p>
    <w:p>
      <w:pPr>
        <w:ind w:left="660" w:right="639"/>
        <w:spacing w:after="0" w:line="260" w:lineRule="auto"/>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August 20, 2025, by and among the Corporation, CHS US Investments LLC, Nexus, Story3, JYH and certain Affiliates of JYH.</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(f)</w:t>
      </w:r>
    </w:p>
    <w:p>
      <w:pPr>
        <w:spacing w:after="0" w:line="144" w:lineRule="exact"/>
        <w:rPr>
          <w:sz w:val="20"/>
          <w:szCs w:val="20"/>
          <w:color w:val="auto"/>
        </w:rPr>
      </w:pPr>
    </w:p>
    <w:p>
      <w:pPr>
        <w:ind w:left="940" w:hanging="288"/>
        <w:spacing w:after="0"/>
        <w:tabs>
          <w:tab w:leader="none" w:pos="940" w:val="left"/>
        </w:tabs>
        <w:numPr>
          <w:ilvl w:val="0"/>
          <w:numId w:val="106"/>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FF0000"/>
          <w:strike w:val="1"/>
        </w:rPr>
        <w:t>Key Holder</w:t>
      </w:r>
      <w:r>
        <w:rPr>
          <w:rFonts w:ascii="Arial" w:cs="Arial" w:eastAsia="Arial" w:hAnsi="Arial"/>
          <w:sz w:val="18"/>
          <w:szCs w:val="18"/>
          <w:b w:val="1"/>
          <w:bCs w:val="1"/>
          <w:i w:val="1"/>
          <w:iCs w:val="1"/>
          <w:u w:val="single" w:color="auto"/>
          <w:color w:val="0000FF"/>
        </w:rPr>
        <w:t>JYH</w:t>
      </w:r>
      <w:r>
        <w:rPr>
          <w:rFonts w:ascii="Arial" w:cs="Arial" w:eastAsia="Arial" w:hAnsi="Arial"/>
          <w:sz w:val="18"/>
          <w:szCs w:val="18"/>
          <w:color w:val="auto"/>
        </w:rPr>
        <w:t xml:space="preserve">” means </w:t>
      </w:r>
      <w:r>
        <w:rPr>
          <w:rFonts w:ascii="Arial" w:cs="Arial" w:eastAsia="Arial" w:hAnsi="Arial"/>
          <w:sz w:val="18"/>
          <w:szCs w:val="18"/>
          <w:color w:val="FF0000"/>
          <w:strike w:val="1"/>
        </w:rPr>
        <w:t>each of</w:t>
      </w:r>
      <w:r>
        <w:rPr>
          <w:rFonts w:ascii="Arial" w:cs="Arial" w:eastAsia="Arial" w:hAnsi="Arial"/>
          <w:sz w:val="18"/>
          <w:szCs w:val="18"/>
          <w:color w:val="auto"/>
        </w:rPr>
        <w:t xml:space="preserve"> Jennifer Y. Hyman </w:t>
      </w:r>
      <w:r>
        <w:rPr>
          <w:rFonts w:ascii="Arial" w:cs="Arial" w:eastAsia="Arial" w:hAnsi="Arial"/>
          <w:sz w:val="18"/>
          <w:szCs w:val="18"/>
          <w:color w:val="FF0000"/>
        </w:rPr>
        <w:t>and Jennifer C. Fleiss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-59055</wp:posOffset>
            </wp:positionV>
            <wp:extent cx="113665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spacing w:after="0" w:line="84" w:lineRule="exact"/>
        <w:rPr>
          <w:sz w:val="20"/>
          <w:szCs w:val="20"/>
          <w:color w:val="auto"/>
        </w:rPr>
      </w:pPr>
    </w:p>
    <w:p>
      <w:pPr>
        <w:ind w:left="660" w:right="299" w:hanging="8"/>
        <w:spacing w:after="0" w:line="238" w:lineRule="auto"/>
        <w:tabs>
          <w:tab w:leader="none" w:pos="930" w:val="left"/>
        </w:tabs>
        <w:numPr>
          <w:ilvl w:val="0"/>
          <w:numId w:val="107"/>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Permitted Ownership Group</w:t>
      </w:r>
      <w:r>
        <w:rPr>
          <w:rFonts w:ascii="Arial" w:cs="Arial" w:eastAsia="Arial" w:hAnsi="Arial"/>
          <w:sz w:val="18"/>
          <w:szCs w:val="18"/>
          <w:color w:val="FF0000"/>
          <w:strike w:val="1"/>
        </w:rPr>
        <w:t>” means, (i) with respect to any Key Holder that is an individual, each of the following Persons: (A) such Key Holder, (B) any Affiliate of such Key Holder, (C) a trust which is directly or indirectly controlled by such Key Holder and the income from which may be paid only to beneficiaries who are such Key Holder and her Family Members, (D) a corporation, partnership or limited liability company, which is directly or indirectly controlled by such Key Holder and the other equityholders of which (if any) are only such Key Holder and her Family Members, in the case of clauses (C) and (D), which is established for bona fide estate planning purposes of such individual, or a limited liability company wholly owned by a trust described in clause (C) or (ii), and (E) a private foundation, organization or similar entity established by a Key Holder and/or one or more of her Family Members and controlled (directly or indirectly) by such Key Holder, (ii) each of BS 2021 Family Trust, JYH 2021 Family Trust and Trust Under Article Second U/A dtd 9/19/2012, or any successor in interest to any such trust, (iii) Linda S. Hyman and Dov I. Hyman, jointly and (iv) Ben Stauffer.</w:t>
      </w:r>
    </w:p>
    <w:p>
      <w:pPr>
        <w:spacing w:after="0" w:line="72" w:lineRule="exact"/>
        <w:rPr>
          <w:sz w:val="20"/>
          <w:szCs w:val="20"/>
          <w:color w:val="auto"/>
        </w:rPr>
      </w:pPr>
    </w:p>
    <w:p>
      <w:pPr>
        <w:ind w:left="660" w:right="419" w:hanging="8"/>
        <w:spacing w:after="0" w:line="281" w:lineRule="auto"/>
        <w:tabs>
          <w:tab w:leader="none" w:pos="930" w:val="left"/>
        </w:tabs>
        <w:numPr>
          <w:ilvl w:val="0"/>
          <w:numId w:val="108"/>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Nexus</w:t>
      </w:r>
      <w:r>
        <w:rPr>
          <w:rFonts w:ascii="Arial" w:cs="Arial" w:eastAsia="Arial" w:hAnsi="Arial"/>
          <w:sz w:val="18"/>
          <w:szCs w:val="18"/>
          <w:b w:val="1"/>
          <w:bCs w:val="1"/>
          <w:u w:val="single" w:color="auto"/>
          <w:color w:val="0000FF"/>
        </w:rPr>
        <w:t>” means Gateway Runway, LLC, a Delaware limited liability company, together with</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its Affiliates.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3" w:name="page284"/>
    <w:bookmarkEnd w:id="2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1039" w:hanging="8"/>
        <w:spacing w:after="0" w:line="281" w:lineRule="auto"/>
        <w:tabs>
          <w:tab w:leader="none" w:pos="890" w:val="left"/>
        </w:tabs>
        <w:numPr>
          <w:ilvl w:val="0"/>
          <w:numId w:val="109"/>
        </w:numPr>
        <w:rPr>
          <w:rFonts w:ascii="Arial" w:cs="Arial" w:eastAsia="Arial" w:hAnsi="Arial"/>
          <w:sz w:val="18"/>
          <w:szCs w:val="18"/>
          <w:b w:val="1"/>
          <w:bCs w:val="1"/>
          <w:u w:val="single" w:color="auto"/>
          <w:color w:val="0000FF"/>
        </w:rPr>
      </w:pPr>
      <w:r>
        <w:rPr>
          <w:rFonts w:ascii="Arial" w:cs="Arial" w:eastAsia="Arial" w:hAnsi="Arial"/>
          <w:sz w:val="18"/>
          <w:szCs w:val="18"/>
          <w:color w:val="0000FF"/>
        </w:rPr>
        <w:t> </w:t>
      </w: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Nexus Director</w:t>
      </w:r>
      <w:r>
        <w:rPr>
          <w:rFonts w:ascii="Arial" w:cs="Arial" w:eastAsia="Arial" w:hAnsi="Arial"/>
          <w:sz w:val="18"/>
          <w:szCs w:val="18"/>
          <w:b w:val="1"/>
          <w:bCs w:val="1"/>
          <w:u w:val="single" w:color="auto"/>
          <w:color w:val="0000FF"/>
        </w:rPr>
        <w:t>” means a Director appointed to the Board of Directors by Nexus in</w:t>
      </w:r>
      <w:r>
        <w:rPr>
          <w:rFonts w:ascii="Arial" w:cs="Arial" w:eastAsia="Arial" w:hAnsi="Arial"/>
          <w:sz w:val="18"/>
          <w:szCs w:val="18"/>
          <w:color w:val="0000FF"/>
        </w:rPr>
        <w:t xml:space="preserve"> </w:t>
      </w:r>
      <w:r>
        <w:rPr>
          <w:rFonts w:ascii="Arial" w:cs="Arial" w:eastAsia="Arial" w:hAnsi="Arial"/>
          <w:sz w:val="18"/>
          <w:szCs w:val="18"/>
          <w:b w:val="1"/>
          <w:bCs w:val="1"/>
          <w:u w:val="single" w:color="auto"/>
          <w:color w:val="0000FF"/>
        </w:rPr>
        <w:t>accordance with the Investor Rights Agreement.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(h)</w:t>
      </w:r>
    </w:p>
    <w:p>
      <w:pPr>
        <w:spacing w:after="0" w:line="104" w:lineRule="exact"/>
        <w:rPr>
          <w:sz w:val="20"/>
          <w:szCs w:val="20"/>
          <w:color w:val="auto"/>
        </w:rPr>
      </w:pPr>
    </w:p>
    <w:p>
      <w:pPr>
        <w:ind w:left="660" w:right="299" w:hanging="8"/>
        <w:spacing w:after="0" w:line="271" w:lineRule="auto"/>
        <w:tabs>
          <w:tab w:leader="none" w:pos="940" w:val="left"/>
        </w:tabs>
        <w:numPr>
          <w:ilvl w:val="0"/>
          <w:numId w:val="110"/>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means any individual, corporation, partnership, limited </w:t>
      </w:r>
      <w:r>
        <w:rPr>
          <w:rFonts w:ascii="Arial" w:cs="Arial" w:eastAsia="Arial" w:hAnsi="Arial"/>
          <w:sz w:val="18"/>
          <w:szCs w:val="18"/>
          <w:color w:val="FF0000"/>
          <w:strike w:val="1"/>
        </w:rPr>
        <w:t>partnerships,</w:t>
      </w:r>
      <w:r>
        <w:rPr>
          <w:rFonts w:ascii="Arial" w:cs="Arial" w:eastAsia="Arial" w:hAnsi="Arial"/>
          <w:sz w:val="18"/>
          <w:szCs w:val="18"/>
          <w:b w:val="1"/>
          <w:bCs w:val="1"/>
          <w:u w:val="single" w:color="auto"/>
          <w:color w:val="0000FF"/>
        </w:rPr>
        <w:t>partnership,</w:t>
      </w:r>
      <w:r>
        <w:rPr>
          <w:rFonts w:ascii="Arial" w:cs="Arial" w:eastAsia="Arial" w:hAnsi="Arial"/>
          <w:sz w:val="18"/>
          <w:szCs w:val="18"/>
          <w:color w:val="auto"/>
        </w:rPr>
        <w:t xml:space="preserve"> limited liability company, unincorporated association, trusts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-224155</wp:posOffset>
            </wp:positionV>
            <wp:extent cx="317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(i)</w:t>
      </w:r>
    </w:p>
    <w:p>
      <w:pPr>
        <w:spacing w:after="0" w:line="104" w:lineRule="exact"/>
        <w:rPr>
          <w:sz w:val="20"/>
          <w:szCs w:val="20"/>
          <w:color w:val="auto"/>
        </w:rPr>
      </w:pPr>
    </w:p>
    <w:p>
      <w:pPr>
        <w:ind w:left="660" w:right="539" w:hanging="8"/>
        <w:spacing w:after="0" w:line="271" w:lineRule="auto"/>
        <w:tabs>
          <w:tab w:leader="none" w:pos="940" w:val="left"/>
        </w:tabs>
        <w:numPr>
          <w:ilvl w:val="0"/>
          <w:numId w:val="111"/>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applicable rules and regulations promulgated thereunder, and any successor to such statute, rules or regulations.</w:t>
      </w:r>
    </w:p>
    <w:p>
      <w:pPr>
        <w:spacing w:after="0" w:line="46"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FF0000"/>
          <w:strike w:val="1"/>
        </w:rPr>
        <w:t>(j)“</w:t>
      </w:r>
      <w:r>
        <w:rPr>
          <w:rFonts w:ascii="Arial" w:cs="Arial" w:eastAsia="Arial" w:hAnsi="Arial"/>
          <w:sz w:val="18"/>
          <w:szCs w:val="18"/>
          <w:b w:val="1"/>
          <w:bCs w:val="1"/>
          <w:i w:val="1"/>
          <w:iCs w:val="1"/>
          <w:color w:val="FF0000"/>
          <w:strike w:val="1"/>
        </w:rPr>
        <w:t>Transfer</w:t>
      </w:r>
      <w:r>
        <w:rPr>
          <w:rFonts w:ascii="Arial" w:cs="Arial" w:eastAsia="Arial" w:hAnsi="Arial"/>
          <w:sz w:val="18"/>
          <w:szCs w:val="18"/>
          <w:color w:val="FF0000"/>
          <w:strike w:val="1"/>
        </w:rPr>
        <w:t>” (and, with a correlative meaning, “</w:t>
      </w:r>
      <w:r>
        <w:rPr>
          <w:rFonts w:ascii="Arial" w:cs="Arial" w:eastAsia="Arial" w:hAnsi="Arial"/>
          <w:sz w:val="18"/>
          <w:szCs w:val="18"/>
          <w:b w:val="1"/>
          <w:bCs w:val="1"/>
          <w:i w:val="1"/>
          <w:iCs w:val="1"/>
          <w:color w:val="FF0000"/>
          <w:strike w:val="1"/>
        </w:rPr>
        <w:t>Transferring</w:t>
      </w:r>
      <w:r>
        <w:rPr>
          <w:rFonts w:ascii="Arial" w:cs="Arial" w:eastAsia="Arial" w:hAnsi="Arial"/>
          <w:sz w:val="18"/>
          <w:szCs w:val="18"/>
          <w:color w:val="FF0000"/>
          <w:strike w:val="1"/>
        </w:rPr>
        <w:t xml:space="preserve">”)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In addition, the entry into a binding agreement conveying voting control over any shares of capital stock (or over equity or other interest (legal or beneficial) in any stockholder if substantially all of the assets of such stockholder consist solely of shares of capital stock of the Corporation) shall constitute a “Transfer” of such stock for all purposes hereof, except in connection with (i) the grant of a proxy to officers or directors of the Corporation at the request of the Board of Directors of the Corporation in connection with actions to be taken at an annual or special meeting of stockholders or (ii) the entering into a support, voting, tender or similar agreement, arrangement or understanding (with or without granting a proxy) in connection with a Change of Control Transaction; </w:t>
      </w:r>
      <w:r>
        <w:rPr>
          <w:rFonts w:ascii="Arial" w:cs="Arial" w:eastAsia="Arial" w:hAnsi="Arial"/>
          <w:sz w:val="18"/>
          <w:szCs w:val="18"/>
          <w:i w:val="1"/>
          <w:iCs w:val="1"/>
          <w:color w:val="FF0000"/>
          <w:strike w:val="1"/>
        </w:rPr>
        <w:t>provided, however,</w:t>
      </w:r>
      <w:r>
        <w:rPr>
          <w:rFonts w:ascii="Arial" w:cs="Arial" w:eastAsia="Arial" w:hAnsi="Arial"/>
          <w:sz w:val="18"/>
          <w:szCs w:val="18"/>
          <w:color w:val="FF0000"/>
          <w:strike w:val="1"/>
        </w:rPr>
        <w:t xml:space="preserve"> that such Change of Control Transaction was approved by a majority of the Whole Board of Directors. Notwithstanding the foregoing, (A) in the event that a Key Holder or any Person in a Key Holder’s Permitted Ownership Group enters into or consummates a transaction that would otherwise constitute a “Transfer” under the first sentence of this definition involving a transferee other than such Key Holder or any Person in such Key Holder’s Permitted Ownership Group, and in connection with such transaction, such transferee conveys voting control, directly or indirectly, over the applicable shares of capital stock or equity or other interest back to such Key Holder or such transferring Person in such Key Holder’s Permitted Ownership Group, then such transaction shall not be deemed a Transfer for purposes hereof until such time as such Key Holder or such transferring Person ceases to retain such voting control, and (B) “Transfer” shall not be deemed to include any bona fide pledge or collateralization by a holder thereof to a financial institution in connection with any bona fide loan or debt transaction, but such term shall include any foreclosure on such shares by such financial institution following or in connection with any such pledge or collateralization.</w:t>
      </w:r>
    </w:p>
    <w:p>
      <w:pPr>
        <w:spacing w:after="0" w:line="80" w:lineRule="exact"/>
        <w:rPr>
          <w:sz w:val="20"/>
          <w:szCs w:val="20"/>
          <w:color w:val="auto"/>
        </w:rPr>
      </w:pPr>
    </w:p>
    <w:p>
      <w:pPr>
        <w:ind w:left="660" w:right="379" w:hanging="8"/>
        <w:spacing w:after="0" w:line="281" w:lineRule="auto"/>
        <w:tabs>
          <w:tab w:leader="none" w:pos="880" w:val="left"/>
        </w:tabs>
        <w:numPr>
          <w:ilvl w:val="0"/>
          <w:numId w:val="112"/>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Story3</w:t>
      </w:r>
      <w:r>
        <w:rPr>
          <w:rFonts w:ascii="Arial" w:cs="Arial" w:eastAsia="Arial" w:hAnsi="Arial"/>
          <w:sz w:val="18"/>
          <w:szCs w:val="18"/>
          <w:b w:val="1"/>
          <w:bCs w:val="1"/>
          <w:u w:val="single" w:color="auto"/>
          <w:color w:val="0000FF"/>
        </w:rPr>
        <w:t>” means S3 RR Aggregator, LLC, a Delaware limited liability company, together with</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its Affiliates.</w:t>
      </w:r>
    </w:p>
    <w:p>
      <w:pPr>
        <w:spacing w:after="0" w:line="28" w:lineRule="exact"/>
        <w:rPr>
          <w:rFonts w:ascii="Arial" w:cs="Arial" w:eastAsia="Arial" w:hAnsi="Arial"/>
          <w:sz w:val="18"/>
          <w:szCs w:val="18"/>
          <w:b w:val="1"/>
          <w:bCs w:val="1"/>
          <w:u w:val="single" w:color="auto"/>
          <w:color w:val="0000FF"/>
        </w:rPr>
      </w:pPr>
    </w:p>
    <w:p>
      <w:pPr>
        <w:ind w:left="660" w:right="1019" w:hanging="8"/>
        <w:spacing w:after="0" w:line="281" w:lineRule="auto"/>
        <w:tabs>
          <w:tab w:leader="none" w:pos="880" w:val="left"/>
        </w:tabs>
        <w:numPr>
          <w:ilvl w:val="0"/>
          <w:numId w:val="112"/>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Story3 Director</w:t>
      </w:r>
      <w:r>
        <w:rPr>
          <w:rFonts w:ascii="Arial" w:cs="Arial" w:eastAsia="Arial" w:hAnsi="Arial"/>
          <w:sz w:val="18"/>
          <w:szCs w:val="18"/>
          <w:b w:val="1"/>
          <w:bCs w:val="1"/>
          <w:u w:val="single" w:color="auto"/>
          <w:color w:val="0000FF"/>
        </w:rPr>
        <w:t>” means a Director appointed to the Board of Directors by Story3 in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accordance with the Investor Rights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4" w:name="page285"/>
    <w:bookmarkEnd w:id="2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75565</wp:posOffset>
            </wp:positionV>
            <wp:extent cx="5353050" cy="5441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353050" cy="54419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RENT THE RUNWAY,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w:t>
      </w:r>
    </w:p>
    <w:p>
      <w:pPr>
        <w:jc w:val="center"/>
        <w:ind w:right="19"/>
        <w:spacing w:after="0"/>
        <w:rPr>
          <w:sz w:val="20"/>
          <w:szCs w:val="20"/>
          <w:color w:val="auto"/>
        </w:rPr>
      </w:pPr>
      <w:r>
        <w:rPr>
          <w:rFonts w:ascii="Arial" w:cs="Arial" w:eastAsia="Arial" w:hAnsi="Arial"/>
          <w:sz w:val="18"/>
          <w:szCs w:val="18"/>
          <w:b w:val="1"/>
          <w:bCs w:val="1"/>
          <w:color w:val="auto"/>
        </w:rPr>
        <w:t>SECOND AMENDED AND RESTATED 2021 INCENTIVE AWARD PLAN</w:t>
      </w:r>
    </w:p>
    <w:p>
      <w:pPr>
        <w:spacing w:after="0" w:line="31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ARTICLE I.</w:t>
      </w:r>
    </w:p>
    <w:p>
      <w:pPr>
        <w:spacing w:after="0" w:line="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PURPOSE</w:t>
      </w:r>
    </w:p>
    <w:p>
      <w:pPr>
        <w:spacing w:after="0" w:line="86"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If approved by the Company’s stockholders at the special meeting of the Company’s stockholders to be held on [•], 2025, the Plan will amend and restate the 2021 Plan, and any Awards granted under the 2021 Plan prior to the Closing Date (the “</w:t>
      </w:r>
      <w:r>
        <w:rPr>
          <w:rFonts w:ascii="Arial" w:cs="Arial" w:eastAsia="Arial" w:hAnsi="Arial"/>
          <w:sz w:val="18"/>
          <w:szCs w:val="18"/>
          <w:b w:val="1"/>
          <w:bCs w:val="1"/>
          <w:i w:val="1"/>
          <w:iCs w:val="1"/>
          <w:color w:val="auto"/>
        </w:rPr>
        <w:t>Existing Awards</w:t>
      </w:r>
      <w:r>
        <w:rPr>
          <w:rFonts w:ascii="Arial" w:cs="Arial" w:eastAsia="Arial" w:hAnsi="Arial"/>
          <w:sz w:val="18"/>
          <w:szCs w:val="18"/>
          <w:color w:val="auto"/>
        </w:rPr>
        <w:t>”) shall continue to be governed by the terms and conditions of the 2021 Plan in effect before this amendment and restatement and the applicable Award Agreement. The Plan is being amended and restated as set forth herein in anticipation of the Closing and will not become effective unless (i) the Plan is approved by the Company’s stockholders at the special meeting of the Company’s stockholders to be held on [•], 2025 and (ii) the Closing occurs. Capitalized terms used in the Plan are defined in Article XI.</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ARTICLE II.</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ELIGIBILITY</w:t>
      </w:r>
    </w:p>
    <w:p>
      <w:pPr>
        <w:spacing w:after="0" w:line="86" w:lineRule="exact"/>
        <w:rPr>
          <w:sz w:val="20"/>
          <w:szCs w:val="20"/>
          <w:color w:val="auto"/>
        </w:rPr>
      </w:pPr>
    </w:p>
    <w:p>
      <w:pPr>
        <w:ind w:left="300" w:right="559"/>
        <w:spacing w:after="0" w:line="271"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DELEGATION</w:t>
      </w:r>
    </w:p>
    <w:p>
      <w:pPr>
        <w:spacing w:after="0" w:line="86"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75" w:lineRule="exact"/>
        <w:rPr>
          <w:sz w:val="20"/>
          <w:szCs w:val="20"/>
          <w:color w:val="auto"/>
        </w:rPr>
      </w:pPr>
    </w:p>
    <w:p>
      <w:pPr>
        <w:ind w:left="300" w:right="359"/>
        <w:spacing w:after="0" w:line="25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86"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the maximum number of Shares that may be issued pursuant to Awards under the Plan following the Closing shall be equal to the Overall Share Limit. As of the Effective Date, the Company ceased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5" w:name="page286"/>
    <w:bookmarkEnd w:id="2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61"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Share Recycling</w:t>
      </w:r>
      <w:r>
        <w:rPr>
          <w:rFonts w:ascii="Arial" w:cs="Arial" w:eastAsia="Arial" w:hAnsi="Arial"/>
          <w:sz w:val="17"/>
          <w:szCs w:val="17"/>
          <w:color w:val="auto"/>
        </w:rPr>
        <w:t>. If all or any part of an Award (which shall include any Existing Awards)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with respect to Shares, other than with respect to any Shares subject to a Forfeited Section 16 Officer Award. In addition, Shares delivered (either by actual delivery or attestation) to the Company by a Participant to satisfy the applicable exercise or purchase price of an Award (which shall include any Existing Awards)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with respect to Shares.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(ii) Shares purchased on the open market by the Company with the cash proceeds from the exercise of Options; and (iii) Shares subject to any Forfeited Section 16 Officer Award.</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15,665,544 Shares may be issued pursuant to the exercise of Incentive Stock Options.</w:t>
      </w:r>
    </w:p>
    <w:p>
      <w:pPr>
        <w:spacing w:after="0" w:line="86"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an entity’s merger or consolidation with the Company or the Company’s acquisition of an entity’s property or stock, the Administrator may grant Substitute Awards for any options or other stock or stock-based awards granted before such merger or consolidation by such entity or its affiliate in accordance with Applicable Laws. Substitute Awards may be granted on such terms as the Administrator deems appropriate, notwithstanding limitations on Awards in the Plan. Substitute Awards will not count against the Overall Share Limit (nor shall Shares subject to a Substitute Award be added back to the Shares available for Awards under the Plan as provided in Section 4.2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count against the Overall Share Limit (and Shares subject to such Awards shall not be added to the Shares available for Awards under the Plan as provided in Section 4.2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8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Non-Employee Director Compensation</w:t>
      </w:r>
      <w:r>
        <w:rPr>
          <w:rFonts w:ascii="Arial" w:cs="Arial" w:eastAsia="Arial" w:hAnsi="Arial"/>
          <w:sz w:val="18"/>
          <w:szCs w:val="18"/>
          <w:color w:val="auto"/>
        </w:rPr>
        <w:t>. Notwithstanding any provision to the contrary in the Plan, the Administrator may, pursuant to the exercise of its business judgment, taking into account such factors, circumstances and considerations as it deems relevant from time to time, establish compensation for some or all Non-Employee Directors from time to time, subject to the limitations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6" w:name="page287"/>
    <w:bookmarkEnd w:id="2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the Plan and/or pursuant to a written nondiscretionary formula established by the Administrator (the “</w:t>
      </w:r>
      <w:r>
        <w:rPr>
          <w:rFonts w:ascii="Arial" w:cs="Arial" w:eastAsia="Arial" w:hAnsi="Arial"/>
          <w:sz w:val="18"/>
          <w:szCs w:val="18"/>
          <w:b w:val="1"/>
          <w:bCs w:val="1"/>
          <w:i w:val="1"/>
          <w:iCs w:val="1"/>
          <w:color w:val="auto"/>
        </w:rPr>
        <w:t>Non-Employee Director Compensation Program</w:t>
      </w:r>
      <w:r>
        <w:rPr>
          <w:rFonts w:ascii="Arial" w:cs="Arial" w:eastAsia="Arial" w:hAnsi="Arial"/>
          <w:sz w:val="18"/>
          <w:szCs w:val="18"/>
          <w:color w:val="auto"/>
        </w:rPr>
        <w:t>”). The sum of any cash compensation,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Arial" w:cs="Arial" w:eastAsia="Arial" w:hAnsi="Arial"/>
          <w:sz w:val="18"/>
          <w:szCs w:val="18"/>
          <w:b w:val="1"/>
          <w:bCs w:val="1"/>
          <w:i w:val="1"/>
          <w:iCs w:val="1"/>
          <w:color w:val="auto"/>
        </w:rPr>
        <w:t>Director Limits</w:t>
      </w:r>
      <w:r>
        <w:rPr>
          <w:rFonts w:ascii="Arial" w:cs="Arial" w:eastAsia="Arial" w:hAnsi="Arial"/>
          <w:sz w:val="18"/>
          <w:szCs w:val="18"/>
          <w:color w:val="auto"/>
        </w:rPr>
        <w:t>”). The Administrator may make exceptions to the Director Limits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86" w:lineRule="exact"/>
        <w:rPr>
          <w:sz w:val="20"/>
          <w:szCs w:val="20"/>
          <w:color w:val="auto"/>
        </w:rPr>
      </w:pPr>
    </w:p>
    <w:p>
      <w:pPr>
        <w:ind w:left="300" w:right="339"/>
        <w:spacing w:after="0" w:line="25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61"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Sections 424 and 409A of the Code.</w:t>
      </w:r>
    </w:p>
    <w:p>
      <w:pPr>
        <w:spacing w:after="0" w:line="72"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Duration</w:t>
      </w:r>
      <w:r>
        <w:rPr>
          <w:rFonts w:ascii="Arial" w:cs="Arial" w:eastAsia="Arial" w:hAnsi="Arial"/>
          <w:sz w:val="17"/>
          <w:szCs w:val="17"/>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 (i) 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7" w:name="page288"/>
    <w:bookmarkEnd w:id="2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75" w:lineRule="auto"/>
        <w:rPr>
          <w:sz w:val="20"/>
          <w:szCs w:val="20"/>
          <w:color w:val="auto"/>
        </w:rPr>
      </w:pPr>
      <w:r>
        <w:rPr>
          <w:rFonts w:ascii="Arial" w:cs="Arial" w:eastAsia="Arial" w:hAnsi="Arial"/>
          <w:sz w:val="17"/>
          <w:szCs w:val="17"/>
          <w:color w:val="auto"/>
        </w:rPr>
        <w:t>other agreement between the Participant and the Company or any Subsidiary, the right of the Participant and the Participant’s transferees to exercise any Option or Stock Appreciation Right issued to the Participant shall terminate immediately upon such violation, unless the Company otherwise determines.</w:t>
      </w:r>
    </w:p>
    <w:p>
      <w:pPr>
        <w:spacing w:after="0" w:line="44"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71" w:lineRule="exact"/>
        <w:rPr>
          <w:sz w:val="20"/>
          <w:szCs w:val="20"/>
          <w:color w:val="auto"/>
        </w:rPr>
      </w:pPr>
    </w:p>
    <w:p>
      <w:pPr>
        <w:ind w:left="300" w:right="699"/>
        <w:spacing w:after="0" w:line="27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Section 10.8, any Company insider trading policy (including blackout periods) and Applicable Laws, the exercise price of an Option must be paid by:</w:t>
      </w:r>
    </w:p>
    <w:p>
      <w:pPr>
        <w:spacing w:after="0" w:line="46"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(a)  cash, wire transfer of immediately available funds or by check payable to the order of the Company, provided that the Company may limit the use of one of the foregoing payment forms if one or more of the payment forms below is permitted;</w:t>
      </w:r>
    </w:p>
    <w:p>
      <w:pPr>
        <w:spacing w:after="0" w:line="6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(b)  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72" w:lineRule="exact"/>
        <w:rPr>
          <w:sz w:val="20"/>
          <w:szCs w:val="20"/>
          <w:color w:val="auto"/>
        </w:rPr>
      </w:pPr>
    </w:p>
    <w:p>
      <w:pPr>
        <w:ind w:left="660" w:right="479"/>
        <w:spacing w:after="0" w:line="271" w:lineRule="auto"/>
        <w:rPr>
          <w:sz w:val="20"/>
          <w:szCs w:val="20"/>
          <w:color w:val="auto"/>
        </w:rPr>
      </w:pPr>
      <w:r>
        <w:rPr>
          <w:rFonts w:ascii="Arial" w:cs="Arial" w:eastAsia="Arial" w:hAnsi="Arial"/>
          <w:sz w:val="18"/>
          <w:szCs w:val="18"/>
          <w:color w:val="auto"/>
        </w:rPr>
        <w:t>(c)  to the extent permitted by the Administrator, delivery (either by actual delivery or attestation) of Shares owned by the Participant valued at their Fair Market Value;</w:t>
      </w:r>
    </w:p>
    <w:p>
      <w:pPr>
        <w:spacing w:after="0" w:line="46" w:lineRule="exact"/>
        <w:rPr>
          <w:sz w:val="20"/>
          <w:szCs w:val="20"/>
          <w:color w:val="auto"/>
        </w:rPr>
      </w:pPr>
    </w:p>
    <w:p>
      <w:pPr>
        <w:ind w:left="660" w:right="939"/>
        <w:spacing w:after="0" w:line="271" w:lineRule="auto"/>
        <w:rPr>
          <w:sz w:val="20"/>
          <w:szCs w:val="20"/>
          <w:color w:val="auto"/>
        </w:rPr>
      </w:pPr>
      <w:r>
        <w:rPr>
          <w:rFonts w:ascii="Arial" w:cs="Arial" w:eastAsia="Arial" w:hAnsi="Arial"/>
          <w:sz w:val="18"/>
          <w:szCs w:val="18"/>
          <w:color w:val="auto"/>
        </w:rPr>
        <w:t>(d)  to the extent permitted by the Administrator, surrendering Shares then issuable upon the Option’s exercise valued at their Fair Market Value on the exercise date;</w:t>
      </w:r>
    </w:p>
    <w:p>
      <w:pPr>
        <w:spacing w:after="0" w:line="46"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(e)  to the extent permitted by the Administrator, delivery of a promissory note or any other property that the Administrator determines is good and valuable consideration; or</w:t>
      </w:r>
    </w:p>
    <w:p>
      <w:pPr>
        <w:spacing w:after="0" w:line="4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(f)  to the extent permitted by the Company, any combination of the above payment forms approved by the Administrator.</w:t>
      </w:r>
    </w:p>
    <w:p>
      <w:pPr>
        <w:spacing w:after="0" w:line="46"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Additional Terms of Incentive Stock Options</w:t>
      </w:r>
      <w:r>
        <w:rPr>
          <w:rFonts w:ascii="Arial" w:cs="Arial" w:eastAsia="Arial" w:hAnsi="Arial"/>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8" w:name="page289"/>
    <w:bookmarkEnd w:id="2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86"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66"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75" w:lineRule="exact"/>
        <w:rPr>
          <w:sz w:val="20"/>
          <w:szCs w:val="20"/>
          <w:color w:val="auto"/>
        </w:rPr>
      </w:pPr>
    </w:p>
    <w:p>
      <w:pPr>
        <w:jc w:val="both"/>
        <w:ind w:left="660" w:right="679"/>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Restricted Stock Units.</w:t>
      </w:r>
    </w:p>
    <w:p>
      <w:pPr>
        <w:spacing w:after="0" w:line="104"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Settlement</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66" w:lineRule="exact"/>
        <w:rPr>
          <w:sz w:val="20"/>
          <w:szCs w:val="20"/>
          <w:color w:val="auto"/>
        </w:rPr>
      </w:pPr>
    </w:p>
    <w:p>
      <w:pPr>
        <w:jc w:val="both"/>
        <w:ind w:left="660" w:right="63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 OR CASH BASED AWARDS; DIVIDEND EQUIVALENTS</w:t>
      </w:r>
    </w:p>
    <w:p>
      <w:pPr>
        <w:spacing w:after="0" w:line="8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72" w:lineRule="exact"/>
        <w:rPr>
          <w:sz w:val="20"/>
          <w:szCs w:val="20"/>
          <w:color w:val="auto"/>
        </w:rPr>
      </w:pPr>
    </w:p>
    <w:p>
      <w:pPr>
        <w:ind w:left="300" w:right="519"/>
        <w:spacing w:after="0" w:line="27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A grant of Restricted Stock Units or Other Stock or Cash Based Award may provide a Participant with the right to receive Dividend Equivalents, and no Dividend Equivalents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9" w:name="page290"/>
    <w:bookmarkEnd w:id="2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ADJUSTMENTS FOR CHANGES IN COMMON STOCK</w:t>
      </w:r>
    </w:p>
    <w:p>
      <w:pPr>
        <w:jc w:val="center"/>
        <w:ind w:right="19"/>
        <w:spacing w:after="0"/>
        <w:rPr>
          <w:sz w:val="20"/>
          <w:szCs w:val="20"/>
          <w:color w:val="auto"/>
        </w:rPr>
      </w:pPr>
      <w:r>
        <w:rPr>
          <w:rFonts w:ascii="Arial" w:cs="Arial" w:eastAsia="Arial" w:hAnsi="Arial"/>
          <w:sz w:val="18"/>
          <w:szCs w:val="18"/>
          <w:b w:val="1"/>
          <w:bCs w:val="1"/>
          <w:color w:val="auto"/>
        </w:rPr>
        <w:t>AND CERTAIN OTHER EVENTS</w:t>
      </w:r>
    </w:p>
    <w:p>
      <w:pPr>
        <w:spacing w:after="0" w:line="86"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72" w:lineRule="exact"/>
        <w:rPr>
          <w:sz w:val="20"/>
          <w:szCs w:val="20"/>
          <w:color w:val="auto"/>
        </w:rPr>
      </w:pPr>
    </w:p>
    <w:p>
      <w:pPr>
        <w:ind w:left="300" w:right="359"/>
        <w:spacing w:after="0" w:line="25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Transactions</w:t>
      </w:r>
      <w:r>
        <w:rPr>
          <w:rFonts w:ascii="Arial" w:cs="Arial" w:eastAsia="Arial" w:hAnsi="Arial"/>
          <w:sz w:val="17"/>
          <w:szCs w:val="17"/>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64" w:lineRule="exact"/>
        <w:rPr>
          <w:sz w:val="20"/>
          <w:szCs w:val="20"/>
          <w:color w:val="auto"/>
        </w:rPr>
      </w:pPr>
    </w:p>
    <w:p>
      <w:pPr>
        <w:ind w:left="660" w:right="459"/>
        <w:spacing w:after="0"/>
        <w:rPr>
          <w:sz w:val="20"/>
          <w:szCs w:val="20"/>
          <w:color w:val="auto"/>
        </w:rPr>
      </w:pPr>
      <w:r>
        <w:rPr>
          <w:rFonts w:ascii="Arial" w:cs="Arial" w:eastAsia="Arial" w:hAnsi="Arial"/>
          <w:sz w:val="18"/>
          <w:szCs w:val="18"/>
          <w:color w:val="auto"/>
        </w:rPr>
        <w:t>(a)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7" w:lineRule="exact"/>
        <w:rPr>
          <w:sz w:val="20"/>
          <w:szCs w:val="20"/>
          <w:color w:val="auto"/>
        </w:rPr>
      </w:pPr>
    </w:p>
    <w:p>
      <w:pPr>
        <w:jc w:val="both"/>
        <w:ind w:left="660" w:right="719"/>
        <w:spacing w:after="0" w:line="253" w:lineRule="auto"/>
        <w:rPr>
          <w:sz w:val="20"/>
          <w:szCs w:val="20"/>
          <w:color w:val="auto"/>
        </w:rPr>
      </w:pPr>
      <w:r>
        <w:rPr>
          <w:rFonts w:ascii="Arial" w:cs="Arial" w:eastAsia="Arial" w:hAnsi="Arial"/>
          <w:sz w:val="18"/>
          <w:szCs w:val="18"/>
          <w:color w:val="auto"/>
        </w:rPr>
        <w:t>(b)  To provide that such Award shall vest and, to the extent applicable, be exercisable as to all Shares covered thereby, notwithstanding anything to the contrary in the Plan or the provisions of such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0" w:name="page291"/>
    <w:bookmarkEnd w:id="2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(c)  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68" w:lineRule="exact"/>
        <w:rPr>
          <w:sz w:val="20"/>
          <w:szCs w:val="20"/>
          <w:color w:val="auto"/>
        </w:rPr>
      </w:pPr>
    </w:p>
    <w:p>
      <w:pPr>
        <w:ind w:left="660" w:right="399"/>
        <w:spacing w:after="0" w:line="242" w:lineRule="auto"/>
        <w:rPr>
          <w:sz w:val="20"/>
          <w:szCs w:val="20"/>
          <w:color w:val="auto"/>
        </w:rPr>
      </w:pPr>
      <w:r>
        <w:rPr>
          <w:rFonts w:ascii="Arial" w:cs="Arial" w:eastAsia="Arial" w:hAnsi="Arial"/>
          <w:sz w:val="18"/>
          <w:szCs w:val="18"/>
          <w:color w:val="auto"/>
        </w:rPr>
        <w:t>(d)  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Program) and/or in the terms and conditions of (including the grant or exercise price or applicable performance goals), and the criteria included in, outstanding Awards;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To replace such Award with other rights or property selected by the Administrator; and/or</w:t>
      </w:r>
    </w:p>
    <w:p>
      <w:pPr>
        <w:spacing w:after="0" w:line="104"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(f)  To provide that the Award will terminate and cannot vest, be exercised or become payable after the applicable event.</w:t>
      </w:r>
    </w:p>
    <w:p>
      <w:pPr>
        <w:spacing w:after="0" w:line="46"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Non-Assumption in a Change in Control</w:t>
      </w:r>
      <w:r>
        <w:rPr>
          <w:rFonts w:ascii="Arial" w:cs="Arial" w:eastAsia="Arial" w:hAnsi="Arial"/>
          <w:sz w:val="18"/>
          <w:szCs w:val="18"/>
          <w:color w:val="auto"/>
        </w:rPr>
        <w:t>. 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 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85"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7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General</w:t>
      </w:r>
      <w:r>
        <w:rPr>
          <w:rFonts w:ascii="Arial" w:cs="Arial" w:eastAsia="Arial" w:hAnsi="Arial"/>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(if applicable). The existence of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1" w:name="page292"/>
    <w:bookmarkEnd w:id="2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86" w:lineRule="exact"/>
        <w:rPr>
          <w:sz w:val="20"/>
          <w:szCs w:val="20"/>
          <w:color w:val="auto"/>
        </w:rPr>
      </w:pPr>
    </w:p>
    <w:p>
      <w:pPr>
        <w:ind w:left="300" w:right="399"/>
        <w:spacing w:after="0" w:line="25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69"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66"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Discretion</w:t>
      </w:r>
      <w:r>
        <w:rPr>
          <w:rFonts w:ascii="Arial" w:cs="Arial" w:eastAsia="Arial" w:hAnsi="Arial"/>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61" w:lineRule="exact"/>
        <w:rPr>
          <w:sz w:val="20"/>
          <w:szCs w:val="20"/>
          <w:color w:val="auto"/>
        </w:rPr>
      </w:pPr>
    </w:p>
    <w:p>
      <w:pPr>
        <w:ind w:left="300" w:right="419"/>
        <w:spacing w:after="0" w:line="24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Change in Status</w:t>
      </w:r>
      <w:r>
        <w:rPr>
          <w:rFonts w:ascii="Arial" w:cs="Arial" w:eastAsia="Arial" w:hAnsi="Arial"/>
          <w:sz w:val="18"/>
          <w:szCs w:val="18"/>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68"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2" w:name="page293"/>
    <w:bookmarkEnd w:id="2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49" w:lineRule="auto"/>
        <w:rPr>
          <w:sz w:val="20"/>
          <w:szCs w:val="20"/>
          <w:color w:val="auto"/>
        </w:rPr>
      </w:pPr>
      <w:r>
        <w:rPr>
          <w:rFonts w:ascii="Arial" w:cs="Arial" w:eastAsia="Arial" w:hAnsi="Arial"/>
          <w:sz w:val="17"/>
          <w:szCs w:val="17"/>
          <w:color w:val="auto"/>
        </w:rPr>
        <w:t xml:space="preserve">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w:t>
      </w:r>
    </w:p>
    <w:p>
      <w:pPr>
        <w:spacing w:after="0" w:line="13" w:lineRule="exact"/>
        <w:rPr>
          <w:sz w:val="20"/>
          <w:szCs w:val="20"/>
          <w:color w:val="auto"/>
        </w:rPr>
      </w:pPr>
    </w:p>
    <w:p>
      <w:pPr>
        <w:ind w:left="300" w:right="359" w:hanging="8"/>
        <w:spacing w:after="0" w:line="237" w:lineRule="auto"/>
        <w:tabs>
          <w:tab w:leader="none" w:pos="5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77"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w:t>
      </w:r>
      <w:r>
        <w:rPr>
          <w:rFonts w:ascii="Arial" w:cs="Arial" w:eastAsia="Arial" w:hAnsi="Arial"/>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71"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72"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6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Cash Settlement</w:t>
      </w:r>
      <w:r>
        <w:rPr>
          <w:rFonts w:ascii="Arial" w:cs="Arial" w:eastAsia="Arial" w:hAnsi="Arial"/>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61"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3" w:name="page294"/>
    <w:bookmarkEnd w:id="2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54" w:lineRule="auto"/>
        <w:rPr>
          <w:sz w:val="20"/>
          <w:szCs w:val="20"/>
          <w:color w:val="auto"/>
        </w:rPr>
      </w:pPr>
      <w:r>
        <w:rPr>
          <w:rFonts w:ascii="Arial" w:cs="Arial" w:eastAsia="Arial" w:hAnsi="Arial"/>
          <w:sz w:val="17"/>
          <w:szCs w:val="17"/>
          <w:color w:val="auto"/>
        </w:rPr>
        <w:t>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w:t>
      </w:r>
    </w:p>
    <w:p>
      <w:pPr>
        <w:ind w:left="300" w:right="339" w:hanging="8"/>
        <w:spacing w:after="0" w:line="254" w:lineRule="auto"/>
        <w:tabs>
          <w:tab w:leader="none" w:pos="57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ARTICLE X.</w:t>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MISCELLANEOUS</w:t>
      </w:r>
    </w:p>
    <w:p>
      <w:pPr>
        <w:spacing w:after="0" w:line="86"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will have any claim or right to be granted an Award, and the grant of an Award will not be construed as giving a Participant the right to continued employment or any other relationship with the Company or any Subsidiary.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7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72"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became effective on October 26, 2021, which was the day prior to the Public Trading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terminated earlier by the Board, shall remain in effect until the tenth anniversary of the Closing Date, but Awards previously granted may extend beyond that date in accordance with the Plan. Notwithstanding anything to the contrary in the Plan, an Incentive Stock Option may not be granted under the Plan after the tenth anniversary of the earlier of (a) the date the Board adopted the amendment and restatement of the 2021 Plan pursuant to the Plan or (b) the date the Company’s stockholders approved the amendment and restatement of the 2021 Plan pursuant to the Plan, but Incentive Stock Options previously granted may extend beyond that date in accordance with the Plan. If the Plan is not approved by the Company’s stockholders at the special meeting of the Company’s stockholders to be held on [•], 2025, or if the Closing does not occur as a result of the termination of the Exchange Agreement, the Plan will not become effective, no Awards will be granted under the Plan, and the 2021 Plan and the Prior Plans (to the extent in effect as of the date that the Exchange Agreement is terminated) will continue in full force and effect in accordance with their respective terms.</w:t>
      </w:r>
    </w:p>
    <w:p>
      <w:pPr>
        <w:spacing w:after="0" w:line="8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Amendment and Termination of Plan</w:t>
      </w:r>
      <w:r>
        <w:rPr>
          <w:rFonts w:ascii="Arial" w:cs="Arial" w:eastAsia="Arial" w:hAnsi="Arial"/>
          <w:sz w:val="18"/>
          <w:szCs w:val="18"/>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72"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4" w:name="page295"/>
    <w:bookmarkEnd w:id="2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 xml:space="preserve">procedures under the Plan to address differences in laws, rules, regulations or customs of such foreign jurisdictions with respect to tax, securities, currency, employee benefit or other matters;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 increase the Overall Share Limit or the Director Limit.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w:t>
      </w:r>
      <w:r>
        <w:rPr>
          <w:rFonts w:ascii="Arial" w:cs="Arial" w:eastAsia="Arial" w:hAnsi="Arial"/>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80"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72"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Payments to Specified Employees</w:t>
      </w:r>
      <w:r>
        <w:rPr>
          <w:rFonts w:ascii="Arial" w:cs="Arial" w:eastAsia="Arial" w:hAnsi="Arial"/>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78"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5" w:name="page296"/>
    <w:bookmarkEnd w:id="2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61"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Lock-Up Period</w:t>
      </w:r>
      <w:r>
        <w:rPr>
          <w:rFonts w:ascii="Arial" w:cs="Arial" w:eastAsia="Arial" w:hAnsi="Arial"/>
          <w:sz w:val="17"/>
          <w:szCs w:val="17"/>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58"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Data Privacy</w:t>
      </w:r>
      <w:r>
        <w:rPr>
          <w:rFonts w:ascii="Arial" w:cs="Arial" w:eastAsia="Arial" w:hAnsi="Arial"/>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any Subsidiary and any of their respective affiliates exclusively for implementing, administering and managing the Participant’s participation in the Plan. The Company and the Subsidiaries and their respective affiliates may hold certain personal information about a Participant, including the Participant’s name, address and telephone number; birthdate; social security, insurance number or other identification number; salary; nationality; job title(s); any Shares held in the Company or any Subsidiaries or any of their respective affiliates; and Award details, to implement, manage and administer the Plan and Awards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Company and the Subsidiaries and their respective affiliates may transfer the Data amongst themselves as necessary to implement, administer and manage a Participant’s participation in the Plan, and the Company and the Subsidiaries and their respective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any Subsidiary or the Participant may elect to deposit any Shares. The Data related to a Participant will be held only as long as necessary to implement, administer, and manage the Participant’s participation in the Plan. A Participant may, at any time, view the Data that the Company and any Subsidiary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79"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66" w:lineRule="exact"/>
        <w:rPr>
          <w:sz w:val="20"/>
          <w:szCs w:val="20"/>
          <w:color w:val="auto"/>
        </w:rPr>
      </w:pPr>
    </w:p>
    <w:p>
      <w:pPr>
        <w:ind w:left="300" w:right="519"/>
        <w:spacing w:after="0" w:line="24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66"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61" w:lineRule="exact"/>
        <w:rPr>
          <w:sz w:val="20"/>
          <w:szCs w:val="20"/>
          <w:color w:val="auto"/>
        </w:rPr>
      </w:pPr>
    </w:p>
    <w:p>
      <w:pPr>
        <w:ind w:left="300" w:right="639"/>
        <w:spacing w:after="0" w:line="25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6" w:name="page297"/>
    <w:bookmarkEnd w:id="2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provisions of any claw-back policy implemented by the Company, including, without limitation, the Company’s Policy Relating to Recovery of Erroneously Awarded Compensation and any other claw back policy adopted to comply with Applicable Laws, as and to the extent set forth in such claw-back policy or the Award Agreement.</w:t>
      </w:r>
    </w:p>
    <w:p>
      <w:pPr>
        <w:spacing w:after="0" w:line="66" w:lineRule="exact"/>
        <w:rPr>
          <w:sz w:val="20"/>
          <w:szCs w:val="20"/>
          <w:color w:val="auto"/>
        </w:rPr>
      </w:pPr>
    </w:p>
    <w:p>
      <w:pPr>
        <w:ind w:left="300" w:right="639"/>
        <w:spacing w:after="0" w:line="271"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4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68"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XI.</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DEFINITIONS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means the Amended and Restated 2021 Incentive Award Plan.</w:t>
      </w:r>
    </w:p>
    <w:p>
      <w:pPr>
        <w:spacing w:after="0" w:line="104"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68" w:lineRule="exact"/>
        <w:rPr>
          <w:sz w:val="20"/>
          <w:szCs w:val="20"/>
          <w:color w:val="auto"/>
        </w:rPr>
      </w:pPr>
    </w:p>
    <w:p>
      <w:pPr>
        <w:ind w:left="300" w:right="419"/>
        <w:spacing w:after="0" w:line="244"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6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or the 2021 Plan of Options, Stock Appreciation Rights, Restricted Stock, Restricted Stock Units, Dividend Equivalents, or Other Stock or Cash Based Awards.</w:t>
      </w:r>
    </w:p>
    <w:p>
      <w:pPr>
        <w:spacing w:after="0" w:line="61" w:lineRule="exact"/>
        <w:rPr>
          <w:sz w:val="20"/>
          <w:szCs w:val="20"/>
          <w:color w:val="auto"/>
        </w:rPr>
      </w:pPr>
    </w:p>
    <w:p>
      <w:pPr>
        <w:jc w:val="both"/>
        <w:ind w:left="300" w:right="519"/>
        <w:spacing w:after="0" w:line="253"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 or the 2021 Plan (as applicable).</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104" w:lineRule="exact"/>
        <w:rPr>
          <w:sz w:val="20"/>
          <w:szCs w:val="20"/>
          <w:color w:val="auto"/>
        </w:rPr>
      </w:pPr>
    </w:p>
    <w:p>
      <w:pPr>
        <w:ind w:left="660" w:right="459"/>
        <w:spacing w:after="0" w:line="255" w:lineRule="auto"/>
        <w:rPr>
          <w:sz w:val="20"/>
          <w:szCs w:val="20"/>
          <w:color w:val="auto"/>
        </w:rPr>
      </w:pPr>
      <w:r>
        <w:rPr>
          <w:rFonts w:ascii="Arial" w:cs="Arial" w:eastAsia="Arial" w:hAnsi="Arial"/>
          <w:sz w:val="17"/>
          <w:szCs w:val="17"/>
          <w:color w:val="auto"/>
        </w:rPr>
        <w:t>(a)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w:t>
      </w:r>
    </w:p>
    <w:p>
      <w:pPr>
        <w:spacing w:after="0" w:line="2" w:lineRule="exact"/>
        <w:rPr>
          <w:sz w:val="20"/>
          <w:szCs w:val="20"/>
          <w:color w:val="auto"/>
        </w:rPr>
      </w:pPr>
    </w:p>
    <w:p>
      <w:pPr>
        <w:ind w:left="660" w:right="339" w:hanging="8"/>
        <w:spacing w:after="0" w:line="237" w:lineRule="auto"/>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below) whereby any “person” or related “group” of “persons” (as such terms are used in Sections 13(d) and 14(d)(2) of the Exchange Act) (other than the Company, any of the Subsidiaries, an employee benefit plan maintained by the Company or any of the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7" w:name="page298"/>
    <w:bookmarkEnd w:id="2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57" w:lineRule="auto"/>
        <w:rPr>
          <w:sz w:val="20"/>
          <w:szCs w:val="20"/>
          <w:color w:val="auto"/>
        </w:rPr>
      </w:pPr>
      <w:r>
        <w:rPr>
          <w:rFonts w:ascii="Arial" w:cs="Arial" w:eastAsia="Arial" w:hAnsi="Arial"/>
          <w:sz w:val="17"/>
          <w:szCs w:val="17"/>
          <w:color w:val="auto"/>
        </w:rPr>
        <w:t>(b)  During any period of 24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24-month period or whose election or nomination for election was previously so approved, cease for any reason to constitute a majority thereof; or</w:t>
      </w:r>
    </w:p>
    <w:p>
      <w:pPr>
        <w:spacing w:after="0" w:line="60" w:lineRule="exact"/>
        <w:rPr>
          <w:sz w:val="20"/>
          <w:szCs w:val="20"/>
          <w:color w:val="auto"/>
        </w:rPr>
      </w:pPr>
    </w:p>
    <w:p>
      <w:pPr>
        <w:ind w:left="660" w:right="399"/>
        <w:spacing w:after="0" w:line="244" w:lineRule="auto"/>
        <w:rPr>
          <w:sz w:val="20"/>
          <w:szCs w:val="20"/>
          <w:color w:val="auto"/>
        </w:rPr>
      </w:pPr>
      <w:r>
        <w:rPr>
          <w:rFonts w:ascii="Arial" w:cs="Arial" w:eastAsia="Arial" w:hAnsi="Arial"/>
          <w:sz w:val="18"/>
          <w:szCs w:val="18"/>
          <w:color w:val="auto"/>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8" w:lineRule="exact"/>
        <w:rPr>
          <w:sz w:val="20"/>
          <w:szCs w:val="20"/>
          <w:color w:val="auto"/>
        </w:rPr>
      </w:pPr>
    </w:p>
    <w:p>
      <w:pPr>
        <w:ind w:left="1020" w:right="499"/>
        <w:spacing w:after="0"/>
        <w:rPr>
          <w:sz w:val="20"/>
          <w:szCs w:val="20"/>
          <w:color w:val="auto"/>
        </w:rPr>
      </w:pPr>
      <w:r>
        <w:rPr>
          <w:rFonts w:ascii="Arial" w:cs="Arial" w:eastAsia="Arial" w:hAnsi="Arial"/>
          <w:sz w:val="18"/>
          <w:szCs w:val="18"/>
          <w:color w:val="auto"/>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72" w:lineRule="exact"/>
        <w:rPr>
          <w:sz w:val="20"/>
          <w:szCs w:val="20"/>
          <w:color w:val="auto"/>
        </w:rPr>
      </w:pPr>
    </w:p>
    <w:p>
      <w:pPr>
        <w:ind w:left="1020" w:right="299"/>
        <w:spacing w:after="0" w:line="244" w:lineRule="auto"/>
        <w:rPr>
          <w:sz w:val="20"/>
          <w:szCs w:val="20"/>
          <w:color w:val="auto"/>
        </w:rPr>
      </w:pPr>
      <w:r>
        <w:rPr>
          <w:rFonts w:ascii="Arial" w:cs="Arial" w:eastAsia="Arial" w:hAnsi="Arial"/>
          <w:sz w:val="18"/>
          <w:szCs w:val="18"/>
          <w:color w:val="auto"/>
        </w:rPr>
        <w:t xml:space="preserve">(ii)  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68"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77"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consummation of the Recapitalization Transactions.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that the Closing occurs.</w:t>
      </w:r>
    </w:p>
    <w:p>
      <w:pPr>
        <w:spacing w:after="0" w:line="104"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4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one or more committees or subcommittees of the Board, which may include one or more directors or executive officers of the Company,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8" w:name="page299"/>
    <w:bookmarkEnd w:id="2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Rent the Runway, Inc., a Delaware corporation, or any successor.</w:t>
      </w:r>
    </w:p>
    <w:p>
      <w:pPr>
        <w:spacing w:after="0" w:line="104" w:lineRule="exact"/>
        <w:rPr>
          <w:sz w:val="20"/>
          <w:szCs w:val="20"/>
          <w:color w:val="auto"/>
        </w:rPr>
      </w:pPr>
    </w:p>
    <w:p>
      <w:pPr>
        <w:ind w:left="300" w:right="459"/>
        <w:spacing w:after="0" w:line="244"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any adviser, engaged by the Company or any Subsidiary to render services to such entity if the consultant or adviser: (a) renders bona fide services to the Company or the Subsidiary; (b) renders services not in connection with the offer or sale of securities in a capital-raising transaction and does not directly or indirectly promote or maintain a market for the Company’s securities; and (c) is a natural person.</w:t>
      </w:r>
    </w:p>
    <w:p>
      <w:pPr>
        <w:spacing w:after="0" w:line="6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104" w:lineRule="exact"/>
        <w:rPr>
          <w:sz w:val="20"/>
          <w:szCs w:val="20"/>
          <w:color w:val="auto"/>
        </w:rPr>
      </w:pPr>
    </w:p>
    <w:p>
      <w:pPr>
        <w:ind w:left="300" w:right="559"/>
        <w:spacing w:after="0" w:line="253"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61"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its Subsidiaries.</w:t>
      </w:r>
    </w:p>
    <w:p>
      <w:pPr>
        <w:spacing w:after="0" w:line="104"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w:t>
      </w:r>
    </w:p>
    <w:p>
      <w:pPr>
        <w:spacing w:after="0" w:line="104"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another source the Administrator deems reliable; (b) if the Common Stock is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72"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6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Forfeited Section 16 Officer Award</w:t>
      </w:r>
      <w:r>
        <w:rPr>
          <w:rFonts w:ascii="Arial" w:cs="Arial" w:eastAsia="Arial" w:hAnsi="Arial"/>
          <w:sz w:val="18"/>
          <w:szCs w:val="18"/>
          <w:color w:val="auto"/>
        </w:rPr>
        <w:t>” means any Prior Plan Award or Existing Award, in each case, that is held by any individual who was an “officer” within the meaning of Section 16 of the Exchange Act prior to, as of and immediately following the Closing which is forfeited by such individual following the Closing pursuant to an Award Agreement granted to such individual following the Closing.</w:t>
      </w:r>
    </w:p>
    <w:p>
      <w:pPr>
        <w:spacing w:after="0" w:line="66" w:lineRule="exact"/>
        <w:rPr>
          <w:sz w:val="20"/>
          <w:szCs w:val="20"/>
          <w:color w:val="auto"/>
        </w:rPr>
      </w:pPr>
    </w:p>
    <w:p>
      <w:pPr>
        <w:ind w:left="300" w:right="499"/>
        <w:spacing w:after="0" w:line="24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9" w:name="page300"/>
    <w:bookmarkEnd w:id="2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 Code.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each Director that is not an Employee.</w:t>
      </w:r>
    </w:p>
    <w:p>
      <w:pPr>
        <w:spacing w:after="0" w:line="104" w:lineRule="exact"/>
        <w:rPr>
          <w:sz w:val="20"/>
          <w:szCs w:val="20"/>
          <w:color w:val="auto"/>
        </w:rPr>
      </w:pPr>
    </w:p>
    <w:p>
      <w:pPr>
        <w:ind w:left="300" w:right="339"/>
        <w:spacing w:after="0" w:line="271"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or portion thereof, not intended or not qualifying as an Incentive Stock Option.</w:t>
      </w:r>
    </w:p>
    <w:p>
      <w:pPr>
        <w:spacing w:after="0" w:line="46"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 which will either be an Incentive Stock Option or a Non-Qualified Stock Option.</w:t>
      </w:r>
    </w:p>
    <w:p>
      <w:pPr>
        <w:spacing w:after="0" w:line="46"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 awarded to a Participant under Article VII.</w:t>
      </w:r>
    </w:p>
    <w:p>
      <w:pPr>
        <w:spacing w:after="0" w:line="61" w:lineRule="exact"/>
        <w:rPr>
          <w:sz w:val="20"/>
          <w:szCs w:val="20"/>
          <w:color w:val="auto"/>
        </w:rPr>
      </w:pPr>
    </w:p>
    <w:p>
      <w:pPr>
        <w:ind w:left="300" w:right="939"/>
        <w:spacing w:after="0" w:line="271" w:lineRule="auto"/>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18.3% of the Shares as of immediately following the Closing determined on a fully diluted basis.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11.31 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10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xml:space="preserve"> mean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Second Amended and Restated 2021 Incentive Award Plan.</w:t>
      </w:r>
    </w:p>
    <w:p>
      <w:pPr>
        <w:spacing w:after="0" w:line="104" w:lineRule="exact"/>
        <w:rPr>
          <w:sz w:val="20"/>
          <w:szCs w:val="20"/>
          <w:color w:val="auto"/>
        </w:rPr>
      </w:pPr>
    </w:p>
    <w:p>
      <w:pPr>
        <w:ind w:left="300" w:right="419"/>
        <w:spacing w:after="0" w:line="271" w:lineRule="auto"/>
        <w:rPr>
          <w:sz w:val="20"/>
          <w:szCs w:val="20"/>
          <w:color w:val="auto"/>
        </w:rPr>
      </w:pPr>
      <w:r>
        <w:rPr>
          <w:rFonts w:ascii="Arial" w:cs="Arial" w:eastAsia="Arial" w:hAnsi="Arial"/>
          <w:sz w:val="18"/>
          <w:szCs w:val="18"/>
          <w:color w:val="auto"/>
        </w:rPr>
        <w:t>11.34  “</w:t>
      </w:r>
      <w:r>
        <w:rPr>
          <w:rFonts w:ascii="Arial" w:cs="Arial" w:eastAsia="Arial" w:hAnsi="Arial"/>
          <w:sz w:val="18"/>
          <w:szCs w:val="18"/>
          <w:b w:val="1"/>
          <w:bCs w:val="1"/>
          <w:i w:val="1"/>
          <w:iCs w:val="1"/>
          <w:color w:val="auto"/>
        </w:rPr>
        <w:t>Prior Plans</w:t>
      </w:r>
      <w:r>
        <w:rPr>
          <w:rFonts w:ascii="Arial" w:cs="Arial" w:eastAsia="Arial" w:hAnsi="Arial"/>
          <w:sz w:val="18"/>
          <w:szCs w:val="18"/>
          <w:color w:val="auto"/>
        </w:rPr>
        <w:t>” means the Rent the Runway, Inc. 2009 Stock Incentive Plan, as amended, and the Rent the Runway, Inc. 2019 Stock Incentive Plan, as amended.</w:t>
      </w:r>
    </w:p>
    <w:p>
      <w:pPr>
        <w:spacing w:after="0" w:line="46" w:lineRule="exact"/>
        <w:rPr>
          <w:sz w:val="20"/>
          <w:szCs w:val="20"/>
          <w:color w:val="auto"/>
        </w:rPr>
      </w:pPr>
    </w:p>
    <w:p>
      <w:pPr>
        <w:ind w:left="300" w:right="419"/>
        <w:spacing w:after="0" w:line="271" w:lineRule="auto"/>
        <w:rPr>
          <w:sz w:val="20"/>
          <w:szCs w:val="20"/>
          <w:color w:val="auto"/>
        </w:rPr>
      </w:pPr>
      <w:r>
        <w:rPr>
          <w:rFonts w:ascii="Arial" w:cs="Arial" w:eastAsia="Arial" w:hAnsi="Arial"/>
          <w:sz w:val="18"/>
          <w:szCs w:val="18"/>
          <w:color w:val="auto"/>
        </w:rPr>
        <w:t>11.35  “</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 award with respect to Common Stock outstanding under any Prior Plan as of the Effective Date.</w:t>
      </w:r>
    </w:p>
    <w:p>
      <w:pPr>
        <w:spacing w:after="0" w:line="46"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11.36  “</w:t>
      </w:r>
      <w:r>
        <w:rPr>
          <w:rFonts w:ascii="Arial" w:cs="Arial" w:eastAsia="Arial" w:hAnsi="Arial"/>
          <w:sz w:val="18"/>
          <w:szCs w:val="18"/>
          <w:b w:val="1"/>
          <w:bCs w:val="1"/>
          <w:i w:val="1"/>
          <w:iCs w:val="1"/>
          <w:color w:val="auto"/>
        </w:rPr>
        <w:t>Public Trading Date</w:t>
      </w:r>
      <w:r>
        <w:rPr>
          <w:rFonts w:ascii="Arial" w:cs="Arial" w:eastAsia="Arial" w:hAnsi="Arial"/>
          <w:sz w:val="18"/>
          <w:szCs w:val="18"/>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0" w:name="page301"/>
    <w:bookmarkEnd w:id="3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i w:val="1"/>
          <w:iCs w:val="1"/>
          <w:color w:val="auto"/>
        </w:rPr>
        <w:t>Recapitalization Transactions</w:t>
      </w:r>
      <w:r>
        <w:rPr>
          <w:rFonts w:ascii="Arial" w:cs="Arial" w:eastAsia="Arial" w:hAnsi="Arial"/>
          <w:sz w:val="18"/>
          <w:szCs w:val="18"/>
          <w:color w:val="auto"/>
        </w:rPr>
        <w:t>” means the transactions contemplated by that certain Exchange Agreement, dated as of August 20, 2025, by and between the Company and CHS US Investments LLC, a Delaware limited liability company, as may be amended from time to time.</w:t>
      </w:r>
    </w:p>
    <w:p>
      <w:pPr>
        <w:spacing w:after="0" w:line="61"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awarded to a Participant under Article VI subject to certain vesting conditions and other restrictions.</w:t>
      </w:r>
    </w:p>
    <w:p>
      <w:pPr>
        <w:spacing w:after="0" w:line="4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11.39 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11.40   “</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w:t>
      </w:r>
    </w:p>
    <w:p>
      <w:pPr>
        <w:spacing w:after="0" w:line="104" w:lineRule="exact"/>
        <w:rPr>
          <w:sz w:val="20"/>
          <w:szCs w:val="20"/>
          <w:color w:val="auto"/>
        </w:rPr>
      </w:pPr>
    </w:p>
    <w:p>
      <w:pPr>
        <w:ind w:left="300" w:right="819"/>
        <w:spacing w:after="0" w:line="271" w:lineRule="auto"/>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11.42 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11.43 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11.44 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11.45 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stock appreciation right granted under Article V.</w:t>
      </w:r>
    </w:p>
    <w:p>
      <w:pPr>
        <w:spacing w:after="0" w:line="104"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11.46 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8"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11.47 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11.48 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1" w:name="page302"/>
    <w:bookmarkEnd w:id="3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172085</wp:posOffset>
            </wp:positionV>
            <wp:extent cx="1722755" cy="4286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227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August 20, 2025</w:t>
      </w:r>
    </w:p>
    <w:p>
      <w:pPr>
        <w:spacing w:after="0" w:line="144" w:lineRule="exact"/>
        <w:rPr>
          <w:sz w:val="20"/>
          <w:szCs w:val="20"/>
          <w:color w:val="auto"/>
        </w:rPr>
      </w:pPr>
    </w:p>
    <w:p>
      <w:pPr>
        <w:ind w:left="300" w:right="3019"/>
        <w:spacing w:after="0" w:line="245" w:lineRule="auto"/>
        <w:rPr>
          <w:sz w:val="20"/>
          <w:szCs w:val="20"/>
          <w:color w:val="auto"/>
        </w:rPr>
      </w:pPr>
      <w:r>
        <w:rPr>
          <w:rFonts w:ascii="Arial" w:cs="Arial" w:eastAsia="Arial" w:hAnsi="Arial"/>
          <w:sz w:val="18"/>
          <w:szCs w:val="18"/>
          <w:color w:val="auto"/>
        </w:rPr>
        <w:t>Board of Directors and the Finance Committee of the Board of Directors Rent the Runway, Inc.</w:t>
      </w:r>
    </w:p>
    <w:p>
      <w:pPr>
        <w:ind w:left="300"/>
        <w:spacing w:after="0" w:line="235" w:lineRule="auto"/>
        <w:rPr>
          <w:sz w:val="20"/>
          <w:szCs w:val="20"/>
          <w:color w:val="auto"/>
        </w:rPr>
      </w:pPr>
      <w:r>
        <w:rPr>
          <w:rFonts w:ascii="Arial" w:cs="Arial" w:eastAsia="Arial" w:hAnsi="Arial"/>
          <w:sz w:val="18"/>
          <w:szCs w:val="18"/>
          <w:color w:val="auto"/>
        </w:rPr>
        <w:t>10 Jay Street</w:t>
      </w:r>
    </w:p>
    <w:p>
      <w:pPr>
        <w:ind w:left="300"/>
        <w:spacing w:after="0"/>
        <w:rPr>
          <w:sz w:val="20"/>
          <w:szCs w:val="20"/>
          <w:color w:val="auto"/>
        </w:rPr>
      </w:pPr>
      <w:r>
        <w:rPr>
          <w:rFonts w:ascii="Arial" w:cs="Arial" w:eastAsia="Arial" w:hAnsi="Arial"/>
          <w:sz w:val="18"/>
          <w:szCs w:val="18"/>
          <w:color w:val="auto"/>
        </w:rPr>
        <w:t>Brooklyn, New York 11201</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of the Board and the Finance Committee:</w:t>
      </w:r>
    </w:p>
    <w:p>
      <w:pPr>
        <w:spacing w:after="0" w:line="104" w:lineRule="exact"/>
        <w:rPr>
          <w:sz w:val="20"/>
          <w:szCs w:val="20"/>
          <w:color w:val="auto"/>
        </w:rPr>
      </w:pPr>
    </w:p>
    <w:p>
      <w:pPr>
        <w:ind w:left="300" w:right="339"/>
        <w:spacing w:after="0" w:line="236" w:lineRule="auto"/>
        <w:rPr>
          <w:sz w:val="20"/>
          <w:szCs w:val="20"/>
          <w:color w:val="auto"/>
        </w:rPr>
      </w:pPr>
      <w:r>
        <w:rPr>
          <w:rFonts w:ascii="Arial" w:cs="Arial" w:eastAsia="Arial" w:hAnsi="Arial"/>
          <w:sz w:val="18"/>
          <w:szCs w:val="18"/>
          <w:color w:val="auto"/>
        </w:rPr>
        <w:t>BTIG, LLC (“BTIG” or “we”) has been advised that Rent the Runway, Inc. (“RTR” or the “Company”) proposes to enter into an Exchange Agreement, to be dated as of August 20, 2025 (the “Exchange Agreement”), with CHS US Investments LLC (“Lender”), pursuant to which, among other things, Lender will contribute, transfer, assign and convey to RTR all of its rights, title and interest in, to and under all indebtedness in excess of $100 million outstanding under that certain Credit Agreement, dated as of July 23, 2018, by and among RTR, as borrower, Lender, in its capacity as lender, and CHS (US) Management LLC (as successor-in-interest to Double Helix Pte Ltd), in its capacity as the administrative agent for Lender (the “Agent”, and such Credit Agreement, as amended, restated, amended and restated, supplemented or otherwise modified to date, the “Existing Credit Agreement”) (the “Equity Exchange Obligations”), in exchange for the issuance to Lender of newly issued shares of Class A Common Stock representing 86% of the shares of Company Common Stock as of the Closing (after giving effect to the Conversion and the issuance of awards in accordance with Section 5.01(a)(iv)(B) of the Exchange Agreement but before giving effect to the Rights Offering and the MIP) on a Fully Diluted Basis (the “Exchange Stock” and such transaction, the “Exchange”). The capitalized terms “Class A Common Stock”, “Company Common Stock”, “Closing”, “Conversion”, “Rights Offering”, “MIP” and “Fully Diluted Basis”, when used herein, shall have the respective meanings ascribed to such terms in the Exchange Agreement. We have been advised that the Equity Exchange Obligations are in the aggregate amount of $223 million as of the Company’s second quarter fiscal quarter end date of July 31, 2025 (with interest continuing to accrue through Closing pursuant to the terms of the Existing Credit Agreement, which interest we did not estimate and have not considered in forming our opinions expressed herein). We have further been advised that, concurrently with the execution of the Exchange Agreement, Lender, Gateway Runway, LLC (“Nexus”) and S3 RR Aggregator, LLC (“Story3”) propose to enter into a Debt and Equity Purchase Agreement, to be acknowledged and agreed by the Agent and, solely for purposes of Article I and Sections 5.1(b), 5.2, 7.2, 7.9, 7.11, 7.12, 7.13 and 7.14 thereto, the Company (the “Debt and Equity Purchase Agreement”), pursuant to which, among other things, Nexus and Story3 will purchase from Lender certain Exchange Stock and certain New Term Loans (as defined in the Exchange Agreement). The summary of the transaction set forth above is qualified in its entirety by the terms of the Exchange Agreement.</w:t>
      </w:r>
    </w:p>
    <w:p>
      <w:pPr>
        <w:spacing w:after="0" w:line="79"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The Board of Directors and the Finance Committee of the Board of Directors of RTR (the “Board” and the “Committee”) have requested BTIG’s opinion, as investment bankers, as to the fairness, from a financial point of view, to the holders of Class A Common Stock (exclusive of any Class A Common Stock held by Lender or its affiliates) of the issuance of the Exchange Stock to Lender by RTR in exchange for the Equity Exchange Obligations pursuant to the Exchange Agreement (the “Opinion”).</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rendering our Opinion, we have, among other things:</w:t>
      </w:r>
    </w:p>
    <w:p>
      <w:pPr>
        <w:spacing w:after="0" w:line="104" w:lineRule="exact"/>
        <w:rPr>
          <w:sz w:val="20"/>
          <w:szCs w:val="20"/>
          <w:color w:val="auto"/>
        </w:rPr>
      </w:pPr>
    </w:p>
    <w:p>
      <w:pPr>
        <w:ind w:left="1200" w:hanging="548"/>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reviewed an execution version of the Exchange Agreement;</w:t>
      </w:r>
    </w:p>
    <w:p>
      <w:pPr>
        <w:spacing w:after="0" w:line="103" w:lineRule="exact"/>
        <w:rPr>
          <w:rFonts w:ascii="Arial" w:cs="Arial" w:eastAsia="Arial" w:hAnsi="Arial"/>
          <w:sz w:val="18"/>
          <w:szCs w:val="18"/>
          <w:color w:val="auto"/>
        </w:rPr>
      </w:pPr>
    </w:p>
    <w:p>
      <w:pPr>
        <w:ind w:left="1200" w:hanging="548"/>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discussed the Exchange and related matters with RTR’s management;</w:t>
      </w:r>
    </w:p>
    <w:p>
      <w:pPr>
        <w:spacing w:after="0" w:line="103" w:lineRule="exact"/>
        <w:rPr>
          <w:rFonts w:ascii="Arial" w:cs="Arial" w:eastAsia="Arial" w:hAnsi="Arial"/>
          <w:sz w:val="18"/>
          <w:szCs w:val="18"/>
          <w:color w:val="auto"/>
        </w:rPr>
      </w:pPr>
    </w:p>
    <w:p>
      <w:pPr>
        <w:ind w:left="1200" w:right="819" w:hanging="548"/>
        <w:spacing w:after="0" w:line="271" w:lineRule="auto"/>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reviewed the audited financial statements of the Company for the two fiscal years ended January 31, 2025;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2" w:name="page303"/>
    <w:bookmarkEnd w:id="3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200" w:right="499" w:hanging="548"/>
        <w:spacing w:after="0" w:line="271"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other publicly available information concerning RTR;</w:t>
      </w:r>
    </w:p>
    <w:p>
      <w:pPr>
        <w:spacing w:after="0" w:line="45" w:lineRule="exact"/>
        <w:rPr>
          <w:rFonts w:ascii="Arial" w:cs="Arial" w:eastAsia="Arial" w:hAnsi="Arial"/>
          <w:sz w:val="18"/>
          <w:szCs w:val="18"/>
          <w:color w:val="auto"/>
        </w:rPr>
      </w:pPr>
    </w:p>
    <w:p>
      <w:pPr>
        <w:jc w:val="both"/>
        <w:ind w:left="1200" w:right="519" w:hanging="548"/>
        <w:spacing w:after="0" w:line="253"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non-public projected financial and operating data relating to the Company prepared and furnished to us by management of the Company (the “Company Projections”);</w:t>
      </w:r>
    </w:p>
    <w:p>
      <w:pPr>
        <w:spacing w:after="0" w:line="60" w:lineRule="exact"/>
        <w:rPr>
          <w:rFonts w:ascii="Arial" w:cs="Arial" w:eastAsia="Arial" w:hAnsi="Arial"/>
          <w:sz w:val="18"/>
          <w:szCs w:val="18"/>
          <w:color w:val="auto"/>
        </w:rPr>
      </w:pPr>
    </w:p>
    <w:p>
      <w:pPr>
        <w:ind w:left="1200" w:right="499" w:hanging="548"/>
        <w:spacing w:after="0" w:line="275" w:lineRule="auto"/>
        <w:tabs>
          <w:tab w:leader="none" w:pos="12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discussed with RTR’s management the historical and current business operations, financial condition and prospects of the Company (including their views on the risks and uncertainties of achieving the Company Projections) and such other matters as we deemed relevant;</w:t>
      </w:r>
    </w:p>
    <w:p>
      <w:pPr>
        <w:spacing w:after="0" w:line="43" w:lineRule="exact"/>
        <w:rPr>
          <w:rFonts w:ascii="Arial" w:cs="Arial" w:eastAsia="Arial" w:hAnsi="Arial"/>
          <w:sz w:val="17"/>
          <w:szCs w:val="17"/>
          <w:color w:val="auto"/>
        </w:rPr>
      </w:pPr>
    </w:p>
    <w:p>
      <w:pPr>
        <w:ind w:left="1200" w:right="399" w:hanging="548"/>
        <w:spacing w:after="0" w:line="271"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concerning the terms of selected transactions that we considered relevant to our analysis;</w:t>
      </w:r>
    </w:p>
    <w:p>
      <w:pPr>
        <w:spacing w:after="0" w:line="45" w:lineRule="exact"/>
        <w:rPr>
          <w:rFonts w:ascii="Arial" w:cs="Arial" w:eastAsia="Arial" w:hAnsi="Arial"/>
          <w:sz w:val="18"/>
          <w:szCs w:val="18"/>
          <w:color w:val="auto"/>
        </w:rPr>
      </w:pPr>
    </w:p>
    <w:p>
      <w:pPr>
        <w:ind w:left="1200" w:right="619" w:hanging="548"/>
        <w:spacing w:after="0" w:line="271"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stock market data relating to selected public companies that we considered relevant to our analysis;</w:t>
      </w:r>
    </w:p>
    <w:p>
      <w:pPr>
        <w:spacing w:after="0" w:line="45" w:lineRule="exact"/>
        <w:rPr>
          <w:rFonts w:ascii="Arial" w:cs="Arial" w:eastAsia="Arial" w:hAnsi="Arial"/>
          <w:sz w:val="18"/>
          <w:szCs w:val="18"/>
          <w:color w:val="auto"/>
        </w:rPr>
      </w:pPr>
    </w:p>
    <w:p>
      <w:pPr>
        <w:ind w:left="1200" w:right="839" w:hanging="548"/>
        <w:spacing w:after="0" w:line="271"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the Company’s Class A Common Stock;</w:t>
      </w:r>
    </w:p>
    <w:p>
      <w:pPr>
        <w:spacing w:after="0" w:line="45" w:lineRule="exact"/>
        <w:rPr>
          <w:rFonts w:ascii="Arial" w:cs="Arial" w:eastAsia="Arial" w:hAnsi="Arial"/>
          <w:sz w:val="18"/>
          <w:szCs w:val="18"/>
          <w:color w:val="auto"/>
        </w:rPr>
      </w:pPr>
    </w:p>
    <w:p>
      <w:pPr>
        <w:ind w:left="1200" w:hanging="548"/>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evaluated the enterprise value of RTR implied by the various financial analyses we conducted;</w:t>
      </w:r>
    </w:p>
    <w:p>
      <w:pPr>
        <w:spacing w:after="0" w:line="103" w:lineRule="exact"/>
        <w:rPr>
          <w:rFonts w:ascii="Arial" w:cs="Arial" w:eastAsia="Arial" w:hAnsi="Arial"/>
          <w:sz w:val="18"/>
          <w:szCs w:val="18"/>
          <w:color w:val="auto"/>
        </w:rPr>
      </w:pPr>
    </w:p>
    <w:p>
      <w:pPr>
        <w:ind w:left="1200" w:right="619" w:hanging="548"/>
        <w:spacing w:after="0" w:line="301" w:lineRule="auto"/>
        <w:tabs>
          <w:tab w:leader="none" w:pos="12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conducted such other financial studies, analyses and investigations and considered such other information as we deemed necessary or appropriate for purposes of our opinion; and</w:t>
      </w:r>
    </w:p>
    <w:p>
      <w:pPr>
        <w:spacing w:after="0" w:line="22" w:lineRule="exact"/>
        <w:rPr>
          <w:rFonts w:ascii="Arial" w:cs="Arial" w:eastAsia="Arial" w:hAnsi="Arial"/>
          <w:sz w:val="17"/>
          <w:szCs w:val="17"/>
          <w:color w:val="auto"/>
        </w:rPr>
      </w:pPr>
    </w:p>
    <w:p>
      <w:pPr>
        <w:ind w:left="1200" w:right="319" w:hanging="548"/>
        <w:spacing w:after="0" w:line="253"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taken into account our assessment of general economic, market and financial conditions and our experience in other transactions, as well as our experience in securities valuations and our knowledge of the Company’s industry generally.</w:t>
      </w:r>
    </w:p>
    <w:p>
      <w:pPr>
        <w:spacing w:after="0" w:line="61"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In rendering our Opinion, we have relied upon and assumed, with your acknowledgement and consent, without independent investigation or verification, the accuracy and completeness of all of the financial and other information that was provided to BTIG by or on behalf of the Company, or that was otherwise reviewed by BTIG, and have not assumed any responsibility for independently verifying any of such information. With respect to the Company Projections, we have assumed, at the direction of RTR, that they were reasonably prepared on the basis of reflecting the best currently available estimates and judgments of the management of the Company as to the future operating and financial performance of the Company and that they provided a reasonable basis upon which we could form our opinion. All such projected financial information is based on numerous variables and assumptions that are inherently uncertain, including, without limitation, factors related to general economic and competitive conditions. Accordingly, actual results could vary significantly from those set forth in such projected financial information. BTIG has relied on this projected information without independent verification or analysis and does not in any respect assume any responsibility for the accuracy or completeness thereof.</w:t>
      </w:r>
    </w:p>
    <w:p>
      <w:pPr>
        <w:spacing w:after="0" w:line="72"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We have assumed that there were no material changes in the assets, liabilities, financial condition, results of operations, business or prospects of the Company since the date of the last financial statements made available to us. We did not make or obtain any independent evaluation, appraisal or physical inspection of RTR’s assets or liabilities, nor have we been furnished with any such evaluation or appraisal. Estimates of values of companies and assets do not purport to be appraisals or necessarily reflect the prices at which companies or assets may actually be sold. Because such estimates are inherently subject to uncertainty, BTIG assumes no responsibility for their accuracy.</w:t>
      </w:r>
    </w:p>
    <w:p>
      <w:pPr>
        <w:spacing w:after="0" w:line="77"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We have assumed, with your consent, that there are no factors that would delay or subject to any adverse conditions any necessary regulatory or governmental approval and that all conditions to the Exchange will be satisfied and not waived. We have also assumed that the Exchange will be consummated substantially on the terms and conditions described in the Exchange Agreement, including the Rights Offering, the Conversion and the issuance of awards in accordance with Section 5.01(a)(iv)(B) of the Exchange Agreement, without any waiver of material terms or conditions by RTR or any other party, and that obtaining any necessary regulatory approvals or satisfying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3" w:name="page304"/>
    <w:bookmarkEnd w:id="3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57" w:lineRule="auto"/>
        <w:rPr>
          <w:sz w:val="20"/>
          <w:szCs w:val="20"/>
          <w:color w:val="auto"/>
        </w:rPr>
      </w:pPr>
      <w:r>
        <w:rPr>
          <w:rFonts w:ascii="Arial" w:cs="Arial" w:eastAsia="Arial" w:hAnsi="Arial"/>
          <w:sz w:val="17"/>
          <w:szCs w:val="17"/>
          <w:color w:val="auto"/>
        </w:rPr>
        <w:t>other conditions for consummation of the Exchange will not have an adverse effect on RTR or the Exchange. We have also assumed that the Exchange will be consummated in a manner that complies with the applicable provisions of the Securities Act of 1933, as amended, the Securities Exchange Act of 1934, as amended, and all other applicable federal and state statutes, rules and regulations and all other laws applicable to RTR. We have further assumed that RTR has relied upon the advice of its counsel, independent accountants and other advisors (other than BTIG) as to all legal, financial reporting, tax, accounting and regulatory matters with respect to RTR, the Exchange and the Exchange Agreement.</w:t>
      </w:r>
    </w:p>
    <w:p>
      <w:pPr>
        <w:spacing w:after="0" w:line="60" w:lineRule="exact"/>
        <w:rPr>
          <w:sz w:val="20"/>
          <w:szCs w:val="20"/>
          <w:color w:val="auto"/>
        </w:rPr>
      </w:pPr>
    </w:p>
    <w:p>
      <w:pPr>
        <w:ind w:left="300" w:right="299"/>
        <w:spacing w:after="0" w:line="251" w:lineRule="auto"/>
        <w:rPr>
          <w:sz w:val="20"/>
          <w:szCs w:val="20"/>
          <w:color w:val="auto"/>
        </w:rPr>
      </w:pPr>
      <w:r>
        <w:rPr>
          <w:rFonts w:ascii="Arial" w:cs="Arial" w:eastAsia="Arial" w:hAnsi="Arial"/>
          <w:sz w:val="17"/>
          <w:szCs w:val="17"/>
          <w:color w:val="auto"/>
        </w:rPr>
        <w:t>Our Opinion is limited to whether, as of the date hereof, the issuance of the Exchange Stock to Lender by RTR in exchange for the Equity Exchange Obligations pursuant to the Exchange Agreement is fair, from a financial point of view, to the holders of Class A Common Stock (exclusive of any Class A Common Stock held by Lender or its affiliates), and does not address any other terms, aspects or implications of the Exchange or any other transactions including, without limitation, the form or structure of the Exchange, any consequences of the Exchange or any other transactions on RTR, its stockholders, creditors or any other constituencies of RTR, or any terms, aspects or implications of any voting, support, stockholder, credit or other agreements, arrangements or understandings contemplated or entered into in connection with the Exchange or otherwise, including the Debt and Equity Purchase Agreement, the Investor Rights Agreement (as defined in the Exchange Agreement) or the New Credit Agreement (as defined in the Exchange Agreement). Our Opinion also does not consider, address or include: (i) any other strategic alternatives currently (or which have been or may be) contemplated by RTR; (ii) the legal, tax or accounting consequences of the Exchange on RTR, its stockholders or any other party; (iii) the fairness of the amount or nature of any compensation to any officers, directors or employees of RTR, or any class of any such person, including pursuant to the MIP as contemplated by the Exchange Agreement, relative to the compensation paid to any other party; or (iv) the fairness of the amount or nature of any securities being sold by RTR pursuant to the Rights Offering or the Rights Offering Backstop Agreement. Furthermore, we are not expressing any opinion herein as to the prices, trading range or volume at which RTR’s securities will trade following public announcement or consummation of the Exchange or other transactions contemplated by the Agreement or related agreements. We also have not been requested to, and have not, participated in the structuring or negotiation of the Exchange or of such transactions.</w:t>
      </w:r>
    </w:p>
    <w:p>
      <w:pPr>
        <w:spacing w:after="0" w:line="272"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Our Opinion is necessarily based on economic, market, financial and other conditions as they exist on the date hereof, and on the information made available to us by or on behalf of the Company or its advisors, or information otherwise reviewed by BTIG, as of the date of this Opinion. It is understood that subsequent developments may affect the conclusion reached in this Opinion and that BTIG does not have any obligation to update, revise or reaffirm this Opinion. Further, the credit, financial and stock markets are often affected by periods of volatility, and we express no opinion or view as to any potential effects of such volatility on RTR or the terms of the Exchange. Our Opinion is for the information of, and directed to, the Board and the Committee for its information and assistance in connection with its consideration of the financial terms of the Exchange. Our Opinion does not constitute a recommendation to the Board or the Committee as to how the Board or the Committee should vote on the Exchange or to any stockholder of RTR as to how any such stockholder should vote at any stockholders’ meeting at which the Exchange or any related transactions may be considered, or whether or not any stockholder of RTR should enter into a proxy, conversion, voting, stockholders’ or affiliates’ agreement with respect to or following the Exchange, or exercise any redemption, repurchase, exchange or similar rights that may be available to such stockholder. In addition, the Opinion does not compare the relative merits of the Exchange with any other alternative transactions or business strategies which may have been available to RTR and does not address the underlying business decision of the Board and the Committee or RTR to proceed with or effect the Exchange.</w:t>
      </w:r>
    </w:p>
    <w:p>
      <w:pPr>
        <w:spacing w:after="0" w:line="74"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We are not legal, tax, regulatory or bankruptcy advisors. We have not considered any potential legislative or regulatory changes currently being considered or recently enacted by the United States Congress, the Securities and Exchange Commission (the “SEC”), or any other regulatory bodies,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4" w:name="page305"/>
    <w:bookmarkEnd w:id="3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any changes in accounting methods or generally accepted accounting principles that may be adopted by the SEC or the Financial Accounting Standards Board. Our Opinion is not a solvency opinion and does not in any way address the solvency or financial condition of the Company.</w:t>
      </w:r>
    </w:p>
    <w:p>
      <w:pPr>
        <w:spacing w:after="0" w:line="61" w:lineRule="exact"/>
        <w:rPr>
          <w:sz w:val="20"/>
          <w:szCs w:val="20"/>
          <w:color w:val="auto"/>
        </w:rPr>
      </w:pPr>
    </w:p>
    <w:p>
      <w:pPr>
        <w:ind w:left="300" w:right="359"/>
        <w:spacing w:after="0" w:line="253" w:lineRule="auto"/>
        <w:rPr>
          <w:sz w:val="20"/>
          <w:szCs w:val="20"/>
          <w:color w:val="auto"/>
        </w:rPr>
      </w:pPr>
      <w:r>
        <w:rPr>
          <w:rFonts w:ascii="Arial" w:cs="Arial" w:eastAsia="Arial" w:hAnsi="Arial"/>
          <w:sz w:val="17"/>
          <w:szCs w:val="17"/>
          <w:color w:val="auto"/>
        </w:rPr>
        <w:t>BTIG, as part of its investment banking services, is regularly engaged in the independent valuation of businesses and securities in connection with mergers, acquisitions, underwritings, sales and distributions of listed and unlisted securities, and private placements. We have acted as financial advisor to the Board and the Committee and will receive a fee, which will be due upon delivery of this Opinion, that is not contingent upon consummation of the Exchange. We will not receive any other significant payment or compensation contingent upon the successful consummation of the Exchange. In addition, the Company has agreed to reimburse certain of our expenses and indemnify us for certain liabilities arising out of our engagement. BTIG may seek to provide investment banking services to the Company, Lender or their respective affiliates in the future, for which we would seek customary compensation. In the ordinary course of business, BTIG and our clients may effect transactions in the equity securities of the Company or Lender or their respective affiliates and may at any time hold a long or short position in such securities.</w:t>
      </w:r>
    </w:p>
    <w:p>
      <w:pPr>
        <w:spacing w:after="0" w:line="69" w:lineRule="exact"/>
        <w:rPr>
          <w:sz w:val="20"/>
          <w:szCs w:val="20"/>
          <w:color w:val="auto"/>
        </w:rPr>
      </w:pPr>
    </w:p>
    <w:p>
      <w:pPr>
        <w:ind w:left="300" w:right="439"/>
        <w:spacing w:after="0" w:line="244" w:lineRule="auto"/>
        <w:rPr>
          <w:sz w:val="20"/>
          <w:szCs w:val="20"/>
          <w:color w:val="auto"/>
        </w:rPr>
      </w:pPr>
      <w:r>
        <w:rPr>
          <w:rFonts w:ascii="Arial" w:cs="Arial" w:eastAsia="Arial" w:hAnsi="Arial"/>
          <w:sz w:val="18"/>
          <w:szCs w:val="18"/>
          <w:color w:val="auto"/>
        </w:rPr>
        <w:t>BTIG’s Fairness Opinion Committee has approved the issuance of this Opinion. Our Opinion may not be published or otherwise used or referred to, nor shall any public reference to BTIG be made, without our prior written consent, except in accordance with the terms and conditions of BTIG’s engagement letter agreement with RTR. This Opinion supersedes in its entirety any other written analyses or materials previously furnished by BTIG to the Company or its representatives.</w:t>
      </w:r>
    </w:p>
    <w:p>
      <w:pPr>
        <w:spacing w:after="0" w:line="68"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Based upon and subject to the foregoing, we are of the opinion that, as of the date hereof, the issuance of the Exchange Stock to Lender by RTR in exchange for the Equity Exchange Obligations pursuant to the Exchange Agreement is fair, from a financial point of view, to the holders of Class A Common Stock (exclusive of any Class A Common Stock held by Lender or its affiliates).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Very truly yours,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BTIG, LLC</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BTIG, LLC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06" w:name="page307"/>
    <w:bookmarkEnd w:id="3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lvl w:ilvl="1">
      <w:lvlJc w:val="left"/>
      <w:lvlText w:val="☐"/>
      <w:numFmt w:val="bullet"/>
      <w:start w:val="1"/>
    </w:lvl>
  </w:abstractNum>
  <w:abstractNum w:abstractNumId="1">
    <w:nsid w:val="15B5AF5C"/>
    <w:multiLevelType w:val="hybridMultilevel"/>
    <w:lvl w:ilvl="0">
      <w:lvlJc w:val="left"/>
      <w:lvlText w:val="☒"/>
      <w:numFmt w:val="bullet"/>
      <w:start w:val="1"/>
    </w:lvl>
    <w:lvl w:ilvl="1">
      <w:lvlJc w:val="left"/>
      <w:lvlText w:val="☐"/>
      <w:numFmt w:val="bullet"/>
      <w:start w:val="1"/>
    </w:lvl>
  </w:abstractNum>
  <w:abstractNum w:abstractNumId="2">
    <w:nsid w:val="741226BB"/>
    <w:multiLevelType w:val="hybridMultilevel"/>
    <w:lvl w:ilvl="0">
      <w:lvlJc w:val="left"/>
      <w:lvlText w:val="%1."/>
      <w:numFmt w:val="decimal"/>
      <w:start w:val="1"/>
    </w:lvl>
  </w:abstractNum>
  <w:abstractNum w:abstractNumId="3">
    <w:nsid w:val="D34B6A8"/>
    <w:multiLevelType w:val="hybridMultilevel"/>
    <w:lvl w:ilvl="0">
      <w:lvlJc w:val="left"/>
      <w:lvlText w:val="%1."/>
      <w:numFmt w:val="decimal"/>
      <w:start w:val="4"/>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1)"/>
      <w:numFmt w:val="lowerRoman"/>
      <w:start w:val="2"/>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
      <w:numFmt w:val="bullet"/>
      <w:start w:val="1"/>
    </w:lvl>
  </w:abstractNum>
  <w:abstractNum w:abstractNumId="8">
    <w:nsid w:val="77AE35EB"/>
    <w:multiLevelType w:val="hybridMultilevel"/>
    <w:lvl w:ilvl="0">
      <w:lvlJc w:val="left"/>
      <w:lvlText w:val=" "/>
      <w:numFmt w:val="bullet"/>
      <w:start w:val="1"/>
    </w:lvl>
  </w:abstractNum>
  <w:abstractNum w:abstractNumId="9">
    <w:nsid w:val="579BE4F1"/>
    <w:multiLevelType w:val="hybridMultilevel"/>
    <w:lvl w:ilvl="0">
      <w:lvlJc w:val="left"/>
      <w:lvlText w:val="(%1)"/>
      <w:numFmt w:val="lowerRoman"/>
      <w:start w:val="5"/>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1)"/>
      <w:numFmt w:val="lowerRoman"/>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1)"/>
      <w:numFmt w:val="decimal"/>
      <w:start w:val="1"/>
    </w:lvl>
  </w:abstractNum>
  <w:abstractNum w:abstractNumId="19">
    <w:nsid w:val="100F8FCA"/>
    <w:multiLevelType w:val="hybridMultilevel"/>
    <w:lvl w:ilvl="0">
      <w:lvlJc w:val="left"/>
      <w:lvlText w:val="(%1)"/>
      <w:numFmt w:val="decimal"/>
      <w:start w:val="1"/>
    </w:lvl>
  </w:abstractNum>
  <w:abstractNum w:abstractNumId="20">
    <w:nsid w:val="6590700B"/>
    <w:multiLevelType w:val="hybridMultilevel"/>
    <w:lvl w:ilvl="0">
      <w:lvlJc w:val="left"/>
      <w:lvlText w:val="(%1)"/>
      <w:numFmt w:val="lowerRoman"/>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1)"/>
      <w:numFmt w:val="decimal"/>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1)"/>
      <w:numFmt w:val="decimal"/>
      <w:start w:val="1"/>
    </w:lvl>
  </w:abstractNum>
  <w:abstractNum w:abstractNumId="26">
    <w:nsid w:val="42C296BD"/>
    <w:multiLevelType w:val="hybridMultilevel"/>
    <w:lvl w:ilvl="0">
      <w:lvlJc w:val="left"/>
      <w:lvlText w:val="(%1)"/>
      <w:numFmt w:val="decimal"/>
      <w:start w:val="1"/>
    </w:lvl>
  </w:abstractNum>
  <w:abstractNum w:abstractNumId="27">
    <w:nsid w:val="168E121F"/>
    <w:multiLevelType w:val="hybridMultilevel"/>
    <w:lvl w:ilvl="0">
      <w:lvlJc w:val="left"/>
      <w:lvlText w:val="(%1)"/>
      <w:numFmt w:val="lowerRoman"/>
      <w:start w:val="2"/>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1)"/>
      <w:numFmt w:val="decimal"/>
      <w:start w:val="1"/>
    </w:lvl>
  </w:abstractNum>
  <w:abstractNum w:abstractNumId="31">
    <w:nsid w:val="540A471C"/>
    <w:multiLevelType w:val="hybridMultilevel"/>
    <w:lvl w:ilvl="0">
      <w:lvlJc w:val="left"/>
      <w:lvlText w:val="(%1)"/>
      <w:numFmt w:val="decimal"/>
      <w:start w:val="13"/>
    </w:lvl>
  </w:abstractNum>
  <w:abstractNum w:abstractNumId="32">
    <w:nsid w:val="7BD3EE7B"/>
    <w:multiLevelType w:val="hybridMultilevel"/>
    <w:lvl w:ilvl="0">
      <w:lvlJc w:val="left"/>
      <w:lvlText w:val="(%1)"/>
      <w:numFmt w:val="upperLetter"/>
      <w:start w:val="6"/>
    </w:lvl>
  </w:abstractNum>
  <w:abstractNum w:abstractNumId="33">
    <w:nsid w:val="51D9C564"/>
    <w:multiLevelType w:val="hybridMultilevel"/>
    <w:lvl w:ilvl="0">
      <w:lvlJc w:val="left"/>
      <w:lvlText w:val="(%1)"/>
      <w:numFmt w:val="lowerRoman"/>
      <w:start w:val="6"/>
    </w:lvl>
  </w:abstractNum>
  <w:abstractNum w:abstractNumId="34">
    <w:nsid w:val="613EFDC5"/>
    <w:multiLevelType w:val="hybridMultilevel"/>
    <w:lvl w:ilvl="0">
      <w:lvlJc w:val="left"/>
      <w:lvlText w:val="(%1)"/>
      <w:numFmt w:val="lowerRoman"/>
      <w:start w:val="1"/>
    </w:lvl>
  </w:abstractNum>
  <w:abstractNum w:abstractNumId="35">
    <w:nsid w:val="BF72B14"/>
    <w:multiLevelType w:val="hybridMultilevel"/>
    <w:lvl w:ilvl="0">
      <w:lvlJc w:val="left"/>
      <w:lvlText w:val="(%1)"/>
      <w:numFmt w:val="lowerRoman"/>
      <w:start w:val="3"/>
    </w:lvl>
  </w:abstractNum>
  <w:abstractNum w:abstractNumId="36">
    <w:nsid w:val="11447B73"/>
    <w:multiLevelType w:val="hybridMultilevel"/>
    <w:lvl w:ilvl="0">
      <w:lvlJc w:val="left"/>
      <w:lvlText w:val="(%1)"/>
      <w:numFmt w:val="decimal"/>
      <w:start w:val="6"/>
    </w:lvl>
  </w:abstractNum>
  <w:abstractNum w:abstractNumId="37">
    <w:nsid w:val="42963E5A"/>
    <w:multiLevelType w:val="hybridMultilevel"/>
    <w:lvl w:ilvl="0">
      <w:lvlJc w:val="left"/>
      <w:lvlText w:val="(%1)"/>
      <w:numFmt w:val="lowerLetter"/>
      <w:start w:val="1"/>
    </w:lvl>
  </w:abstractNum>
  <w:abstractNum w:abstractNumId="38">
    <w:nsid w:val="A0382C5"/>
    <w:multiLevelType w:val="hybridMultilevel"/>
    <w:lvl w:ilvl="0">
      <w:lvlJc w:val="left"/>
      <w:lvlText w:val="(%1)"/>
      <w:numFmt w:val="upperLetter"/>
      <w:start w:val="3"/>
    </w:lvl>
  </w:abstractNum>
  <w:abstractNum w:abstractNumId="39">
    <w:nsid w:val="8F2B15E"/>
    <w:multiLevelType w:val="hybridMultilevel"/>
    <w:lvl w:ilvl="0">
      <w:lvlJc w:val="left"/>
      <w:lvlText w:val="(%1)"/>
      <w:numFmt w:val="upperLetter"/>
      <w:start w:val="6"/>
    </w:lvl>
  </w:abstractNum>
  <w:abstractNum w:abstractNumId="40">
    <w:nsid w:val="1A32234B"/>
    <w:multiLevelType w:val="hybridMultilevel"/>
    <w:lvl w:ilvl="0">
      <w:lvlJc w:val="left"/>
      <w:lvlText w:val="(%1)"/>
      <w:numFmt w:val="upperLetter"/>
      <w:start w:val="61"/>
    </w:lvl>
  </w:abstractNum>
  <w:abstractNum w:abstractNumId="41">
    <w:nsid w:val="3B0FD379"/>
    <w:multiLevelType w:val="hybridMultilevel"/>
    <w:lvl w:ilvl="0">
      <w:lvlJc w:val="left"/>
      <w:lvlText w:val="(%1)"/>
      <w:numFmt w:val="lowerRoman"/>
      <w:start w:val="4"/>
    </w:lvl>
  </w:abstractNum>
  <w:abstractNum w:abstractNumId="42">
    <w:nsid w:val="68EB2F63"/>
    <w:multiLevelType w:val="hybridMultilevel"/>
    <w:lvl w:ilvl="0">
      <w:lvlJc w:val="left"/>
      <w:lvlText w:val="(%1)"/>
      <w:numFmt w:val="upperLetter"/>
      <w:start w:val="3"/>
    </w:lvl>
  </w:abstractNum>
  <w:abstractNum w:abstractNumId="43">
    <w:nsid w:val="4962813B"/>
    <w:multiLevelType w:val="hybridMultilevel"/>
    <w:lvl w:ilvl="0">
      <w:lvlJc w:val="left"/>
      <w:lvlText w:val="(%1)"/>
      <w:numFmt w:val="lowerLetter"/>
      <w:start w:val="2"/>
    </w:lvl>
  </w:abstractNum>
  <w:abstractNum w:abstractNumId="44">
    <w:nsid w:val="60B6DF70"/>
    <w:multiLevelType w:val="hybridMultilevel"/>
    <w:lvl w:ilvl="0">
      <w:lvlJc w:val="left"/>
      <w:lvlText w:val="1"/>
      <w:numFmt w:val="bullet"/>
      <w:start w:val="1"/>
    </w:lvl>
  </w:abstractNum>
  <w:abstractNum w:abstractNumId="45">
    <w:nsid w:val="6A5EE64"/>
    <w:multiLevelType w:val="hybridMultilevel"/>
    <w:lvl w:ilvl="0">
      <w:lvlJc w:val="left"/>
      <w:lvlText w:val="2"/>
      <w:numFmt w:val="bullet"/>
      <w:start w:val="1"/>
    </w:lvl>
  </w:abstractNum>
  <w:abstractNum w:abstractNumId="46">
    <w:nsid w:val="14330624"/>
    <w:multiLevelType w:val="hybridMultilevel"/>
    <w:lvl w:ilvl="0">
      <w:lvlJc w:val="left"/>
      <w:lvlText w:val="3"/>
      <w:numFmt w:val="bullet"/>
      <w:start w:val="1"/>
    </w:lvl>
  </w:abstractNum>
  <w:abstractNum w:abstractNumId="47">
    <w:nsid w:val="7FFFCA11"/>
    <w:multiLevelType w:val="hybridMultilevel"/>
    <w:lvl w:ilvl="0">
      <w:lvlJc w:val="left"/>
      <w:lvlText w:val="4"/>
      <w:numFmt w:val="bullet"/>
      <w:start w:val="1"/>
    </w:lvl>
  </w:abstractNum>
  <w:abstractNum w:abstractNumId="48">
    <w:nsid w:val="1A27709E"/>
    <w:multiLevelType w:val="hybridMultilevel"/>
    <w:lvl w:ilvl="0">
      <w:lvlJc w:val="left"/>
      <w:lvlText w:val="5"/>
      <w:numFmt w:val="bullet"/>
      <w:start w:val="1"/>
    </w:lvl>
  </w:abstractNum>
  <w:abstractNum w:abstractNumId="49">
    <w:nsid w:val="71EA1109"/>
    <w:multiLevelType w:val="hybridMultilevel"/>
    <w:lvl w:ilvl="0">
      <w:lvlJc w:val="left"/>
      <w:lvlText w:val="6"/>
      <w:numFmt w:val="bullet"/>
      <w:start w:val="1"/>
    </w:lvl>
  </w:abstractNum>
  <w:abstractNum w:abstractNumId="50">
    <w:nsid w:val="100F59DC"/>
    <w:multiLevelType w:val="hybridMultilevel"/>
    <w:lvl w:ilvl="0">
      <w:lvlJc w:val="left"/>
      <w:lvlText w:val="A"/>
      <w:numFmt w:val="bullet"/>
      <w:start w:val="1"/>
    </w:lvl>
  </w:abstractNum>
  <w:abstractNum w:abstractNumId="51">
    <w:nsid w:val="7FB7E0AA"/>
    <w:multiLevelType w:val="hybridMultilevel"/>
    <w:lvl w:ilvl="0">
      <w:lvlJc w:val="left"/>
      <w:lvlText w:val="B"/>
      <w:numFmt w:val="bullet"/>
      <w:start w:val="1"/>
    </w:lvl>
  </w:abstractNum>
  <w:abstractNum w:abstractNumId="52">
    <w:nsid w:val="6EB5BD4"/>
    <w:multiLevelType w:val="hybridMultilevel"/>
    <w:lvl w:ilvl="0">
      <w:lvlJc w:val="left"/>
      <w:lvlText w:val="I"/>
      <w:numFmt w:val="bullet"/>
      <w:start w:val="1"/>
    </w:lvl>
  </w:abstractNum>
  <w:abstractNum w:abstractNumId="53">
    <w:nsid w:val="6F6DD9AC"/>
    <w:multiLevelType w:val="hybridMultilevel"/>
    <w:lvl w:ilvl="0">
      <w:lvlJc w:val="left"/>
      <w:lvlText w:val="(%1)"/>
      <w:numFmt w:val="lowerLetter"/>
      <w:start w:val="1"/>
    </w:lvl>
  </w:abstractNum>
  <w:abstractNum w:abstractNumId="54">
    <w:nsid w:val="94211F2"/>
    <w:multiLevelType w:val="hybridMultilevel"/>
    <w:lvl w:ilvl="0">
      <w:lvlJc w:val="left"/>
      <w:lvlText w:val="(%1)"/>
      <w:numFmt w:val="decimal"/>
      <w:start w:val="5"/>
    </w:lvl>
  </w:abstractNum>
  <w:abstractNum w:abstractNumId="55">
    <w:nsid w:val="885E1B"/>
    <w:multiLevelType w:val="hybridMultilevel"/>
    <w:lvl w:ilvl="0">
      <w:lvlJc w:val="left"/>
      <w:lvlText w:val="(%1)"/>
      <w:numFmt w:val="lowerRoman"/>
      <w:start w:val="1"/>
    </w:lvl>
  </w:abstractNum>
  <w:abstractNum w:abstractNumId="56">
    <w:nsid w:val="76272110"/>
    <w:multiLevelType w:val="hybridMultilevel"/>
    <w:lvl w:ilvl="0">
      <w:lvlJc w:val="left"/>
      <w:lvlText w:val="(%1)"/>
      <w:numFmt w:val="lowerLetter"/>
      <w:start w:val="2"/>
    </w:lvl>
  </w:abstractNum>
  <w:abstractNum w:abstractNumId="57">
    <w:nsid w:val="4C04A8AF"/>
    <w:multiLevelType w:val="hybridMultilevel"/>
    <w:lvl w:ilvl="0">
      <w:lvlJc w:val="left"/>
      <w:lvlText w:val="1"/>
      <w:numFmt w:val="bullet"/>
      <w:start w:val="1"/>
    </w:lvl>
  </w:abstractNum>
  <w:abstractNum w:abstractNumId="58">
    <w:nsid w:val="1716703B"/>
    <w:multiLevelType w:val="hybridMultilevel"/>
    <w:lvl w:ilvl="0">
      <w:lvlJc w:val="left"/>
      <w:lvlText w:val="(%1)"/>
      <w:numFmt w:val="lowerLetter"/>
      <w:start w:val="4"/>
    </w:lvl>
  </w:abstractNum>
  <w:abstractNum w:abstractNumId="59">
    <w:nsid w:val="14E17E33"/>
    <w:multiLevelType w:val="hybridMultilevel"/>
    <w:lvl w:ilvl="0">
      <w:lvlJc w:val="left"/>
      <w:lvlText w:val="(%1)"/>
      <w:numFmt w:val="decimal"/>
      <w:start w:val="2"/>
    </w:lvl>
  </w:abstractNum>
  <w:abstractNum w:abstractNumId="60">
    <w:nsid w:val="3222E7CD"/>
    <w:multiLevelType w:val="hybridMultilevel"/>
    <w:lvl w:ilvl="0">
      <w:lvlJc w:val="left"/>
      <w:lvlText w:val="(%1)"/>
      <w:numFmt w:val="upperLetter"/>
      <w:start w:val="1"/>
    </w:lvl>
  </w:abstractNum>
  <w:abstractNum w:abstractNumId="61">
    <w:nsid w:val="74DE0EE3"/>
    <w:multiLevelType w:val="hybridMultilevel"/>
    <w:lvl w:ilvl="0">
      <w:lvlJc w:val="left"/>
      <w:lvlText w:val="(%1)"/>
      <w:numFmt w:val="lowerRoman"/>
      <w:start w:val="3"/>
    </w:lvl>
  </w:abstractNum>
  <w:abstractNum w:abstractNumId="62">
    <w:nsid w:val="68EBC550"/>
    <w:multiLevelType w:val="hybridMultilevel"/>
    <w:lvl w:ilvl="0">
      <w:lvlJc w:val="left"/>
      <w:lvlText w:val="(%1)"/>
      <w:numFmt w:val="lowerRoman"/>
      <w:start w:val="3"/>
    </w:lvl>
  </w:abstractNum>
  <w:abstractNum w:abstractNumId="63">
    <w:nsid w:val="2DF6D648"/>
    <w:multiLevelType w:val="hybridMultilevel"/>
    <w:lvl w:ilvl="0">
      <w:lvlJc w:val="left"/>
      <w:lvlText w:val="(%1)"/>
      <w:numFmt w:val="upperLetter"/>
      <w:start w:val="3"/>
    </w:lvl>
  </w:abstractNum>
  <w:abstractNum w:abstractNumId="64">
    <w:nsid w:val="46B7D447"/>
    <w:multiLevelType w:val="hybridMultilevel"/>
    <w:lvl w:ilvl="0">
      <w:lvlJc w:val="left"/>
      <w:lvlText w:val="(%1)"/>
      <w:numFmt w:val="decimal"/>
      <w:start w:val="45"/>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Roman"/>
      <w:start w:val="1"/>
    </w:lvl>
  </w:abstractNum>
  <w:abstractNum w:abstractNumId="67">
    <w:nsid w:val="57FC4FBB"/>
    <w:multiLevelType w:val="hybridMultilevel"/>
    <w:lvl w:ilvl="0">
      <w:lvlJc w:val="left"/>
      <w:lvlText w:val="(%1)"/>
      <w:numFmt w:val="lowerRoman"/>
      <w:start w:val="1"/>
    </w:lvl>
  </w:abstractNum>
  <w:abstractNum w:abstractNumId="68">
    <w:nsid w:val="CC1016F"/>
    <w:multiLevelType w:val="hybridMultilevel"/>
    <w:lvl w:ilvl="0">
      <w:lvlJc w:val="left"/>
      <w:lvlText w:val="(%1)"/>
      <w:numFmt w:val="lowerLetter"/>
      <w:start w:val="2"/>
    </w:lvl>
  </w:abstractNum>
  <w:abstractNum w:abstractNumId="69">
    <w:nsid w:val="43F18422"/>
    <w:multiLevelType w:val="hybridMultilevel"/>
    <w:lvl w:ilvl="0">
      <w:lvlJc w:val="left"/>
      <w:lvlText w:val="(%1)"/>
      <w:numFmt w:val="lowerRoman"/>
      <w:start w:val="2"/>
    </w:lvl>
  </w:abstractNum>
  <w:abstractNum w:abstractNumId="70">
    <w:nsid w:val="60EF0119"/>
    <w:multiLevelType w:val="hybridMultilevel"/>
    <w:lvl w:ilvl="0">
      <w:lvlJc w:val="left"/>
      <w:lvlText w:val="(%1)"/>
      <w:numFmt w:val="lowerRoman"/>
      <w:start w:val="1"/>
    </w:lvl>
  </w:abstractNum>
  <w:abstractNum w:abstractNumId="71">
    <w:nsid w:val="26F324BA"/>
    <w:multiLevelType w:val="hybridMultilevel"/>
    <w:lvl w:ilvl="0">
      <w:lvlJc w:val="left"/>
      <w:lvlText w:val="(%1)"/>
      <w:numFmt w:val="lowerLetter"/>
      <w:start w:val="1"/>
    </w:lvl>
  </w:abstractNum>
  <w:abstractNum w:abstractNumId="72">
    <w:nsid w:val="7F01579B"/>
    <w:multiLevelType w:val="hybridMultilevel"/>
    <w:lvl w:ilvl="0">
      <w:lvlJc w:val="left"/>
      <w:lvlText w:val="(%1)"/>
      <w:numFmt w:val="lowerRoman"/>
      <w:start w:val="1"/>
    </w:lvl>
  </w:abstractNum>
  <w:abstractNum w:abstractNumId="73">
    <w:nsid w:val="49DA307D"/>
    <w:multiLevelType w:val="hybridMultilevel"/>
    <w:lvl w:ilvl="0">
      <w:lvlJc w:val="left"/>
      <w:lvlText w:val="(%1)"/>
      <w:numFmt w:val="decimal"/>
      <w:start w:val="1"/>
    </w:lvl>
  </w:abstractNum>
  <w:abstractNum w:abstractNumId="74">
    <w:nsid w:val="7055A5F5"/>
    <w:multiLevelType w:val="hybridMultilevel"/>
    <w:lvl w:ilvl="0">
      <w:lvlJc w:val="left"/>
      <w:lvlText w:val="1"/>
      <w:numFmt w:val="bullet"/>
      <w:start w:val="1"/>
    </w:lvl>
  </w:abstractNum>
  <w:abstractNum w:abstractNumId="75">
    <w:nsid w:val="5FB8370B"/>
    <w:multiLevelType w:val="hybridMultilevel"/>
    <w:lvl w:ilvl="0">
      <w:lvlJc w:val="left"/>
      <w:lvlText w:val="2"/>
      <w:numFmt w:val="bullet"/>
      <w:start w:val="1"/>
    </w:lvl>
  </w:abstractNum>
  <w:abstractNum w:abstractNumId="76">
    <w:nsid w:val="50801EE1"/>
    <w:multiLevelType w:val="hybridMultilevel"/>
    <w:lvl w:ilvl="0">
      <w:lvlJc w:val="left"/>
      <w:lvlText w:val="3"/>
      <w:numFmt w:val="bullet"/>
      <w:start w:val="1"/>
    </w:lvl>
  </w:abstractNum>
  <w:abstractNum w:abstractNumId="77">
    <w:nsid w:val="488AC1A"/>
    <w:multiLevelType w:val="hybridMultilevel"/>
    <w:lvl w:ilvl="0">
      <w:lvlJc w:val="left"/>
      <w:lvlText w:val="4"/>
      <w:numFmt w:val="bullet"/>
      <w:start w:val="1"/>
    </w:lvl>
  </w:abstractNum>
  <w:abstractNum w:abstractNumId="78">
    <w:nsid w:val="5FB8011C"/>
    <w:multiLevelType w:val="hybridMultilevel"/>
    <w:lvl w:ilvl="0">
      <w:lvlJc w:val="left"/>
      <w:lvlText w:val="5"/>
      <w:numFmt w:val="bullet"/>
      <w:start w:val="1"/>
    </w:lvl>
  </w:abstractNum>
  <w:abstractNum w:abstractNumId="79">
    <w:nsid w:val="6AA78F7F"/>
    <w:multiLevelType w:val="hybridMultilevel"/>
    <w:lvl w:ilvl="0">
      <w:lvlJc w:val="left"/>
      <w:lvlText w:val="6"/>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1)"/>
      <w:numFmt w:val="lowerRoman"/>
      <w:start w:val="2"/>
    </w:lvl>
  </w:abstractNum>
  <w:abstractNum w:abstractNumId="82">
    <w:nsid w:val="6A5F7029"/>
    <w:multiLevelType w:val="hybridMultilevel"/>
    <w:lvl w:ilvl="0">
      <w:lvlJc w:val="left"/>
      <w:lvlText w:val="(%1)"/>
      <w:numFmt w:val="upperLetter"/>
      <w:start w:val="3"/>
    </w:lvl>
  </w:abstractNum>
  <w:abstractNum w:abstractNumId="83">
    <w:nsid w:val="7D5E18F8"/>
    <w:multiLevelType w:val="hybridMultilevel"/>
    <w:lvl w:ilvl="0">
      <w:lvlJc w:val="left"/>
      <w:lvlText w:val="(%1)"/>
      <w:numFmt w:val="lowerRoman"/>
      <w:start w:val="1"/>
    </w:lvl>
  </w:abstractNum>
  <w:abstractNum w:abstractNumId="84">
    <w:nsid w:val="5F3534A4"/>
    <w:multiLevelType w:val="hybridMultilevel"/>
    <w:lvl w:ilvl="0">
      <w:lvlJc w:val="left"/>
      <w:lvlText w:val="(%1)"/>
      <w:numFmt w:val="lowerRoman"/>
      <w:start w:val="2"/>
    </w:lvl>
  </w:abstractNum>
  <w:abstractNum w:abstractNumId="85">
    <w:nsid w:val="73A1821B"/>
    <w:multiLevelType w:val="hybridMultilevel"/>
    <w:lvl w:ilvl="0">
      <w:lvlJc w:val="left"/>
      <w:lvlText w:val="(%1)"/>
      <w:numFmt w:val="lowerRoman"/>
      <w:start w:val="2"/>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1)"/>
      <w:numFmt w:val="lowerLetter"/>
      <w:start w:val="1"/>
    </w:lvl>
    <w:lvl w:ilvl="1">
      <w:lvlJc w:val="left"/>
      <w:lvlText w:val="(%2)"/>
      <w:numFmt w:val="lowerLetter"/>
      <w:start w:val="2"/>
    </w:lvl>
  </w:abstractNum>
  <w:abstractNum w:abstractNumId="88">
    <w:nsid w:val="3FA62ACA"/>
    <w:multiLevelType w:val="hybridMultilevel"/>
    <w:lvl w:ilvl="0">
      <w:lvlJc w:val="left"/>
      <w:lvlText w:val="(%1)"/>
      <w:numFmt w:val="lowerLetter"/>
      <w:start w:val="1"/>
    </w:lvl>
    <w:lvl w:ilvl="1">
      <w:lvlJc w:val="left"/>
      <w:lvlText w:val="(%2)"/>
      <w:numFmt w:val="lowerRoman"/>
      <w:start w:val="1"/>
    </w:lvl>
  </w:abstractNum>
  <w:abstractNum w:abstractNumId="89">
    <w:nsid w:val="14FCE74E"/>
    <w:multiLevelType w:val="hybridMultilevel"/>
    <w:lvl w:ilvl="0">
      <w:lvlJc w:val="left"/>
      <w:lvlText w:val="(%1)"/>
      <w:numFmt w:val="lowerLetter"/>
      <w:start w:val="4"/>
    </w:lvl>
    <w:lvl w:ilvl="1">
      <w:lvlJc w:val="left"/>
      <w:lvlText w:val="(%2)"/>
      <w:numFmt w:val="lowerRoman"/>
      <w:start w:val="1"/>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Letter"/>
      <w:start w:val="4"/>
    </w:lvl>
  </w:abstractNum>
  <w:abstractNum w:abstractNumId="92">
    <w:nsid w:val="9DAF632"/>
    <w:multiLevelType w:val="hybridMultilevel"/>
    <w:lvl w:ilvl="0">
      <w:lvlJc w:val="left"/>
      <w:lvlText w:val="(%1)"/>
      <w:numFmt w:val="lowerLetter"/>
      <w:start w:val="1"/>
    </w:lvl>
  </w:abstractNum>
  <w:abstractNum w:abstractNumId="93">
    <w:nsid w:val="53299938"/>
    <w:multiLevelType w:val="hybridMultilevel"/>
    <w:lvl w:ilvl="0">
      <w:lvlJc w:val="left"/>
      <w:lvlText w:val="(%1)"/>
      <w:numFmt w:val="lowerLetter"/>
      <w:start w:val="3"/>
    </w:lvl>
  </w:abstractNum>
  <w:abstractNum w:abstractNumId="94">
    <w:nsid w:val="1FBFE8E0"/>
    <w:multiLevelType w:val="hybridMultilevel"/>
    <w:lvl w:ilvl="0">
      <w:lvlJc w:val="left"/>
      <w:lvlText w:val="(%1)"/>
      <w:numFmt w:val="lowerLetter"/>
      <w:start w:val="1"/>
    </w:lvl>
  </w:abstractNum>
  <w:abstractNum w:abstractNumId="95">
    <w:nsid w:val="5092CA79"/>
    <w:multiLevelType w:val="hybridMultilevel"/>
    <w:lvl w:ilvl="0">
      <w:lvlJc w:val="left"/>
      <w:lvlText w:val="(%1)"/>
      <w:numFmt w:val="lowerLetter"/>
      <w:start w:val="1"/>
    </w:lvl>
  </w:abstractNum>
  <w:abstractNum w:abstractNumId="96">
    <w:nsid w:val="1D545C4D"/>
    <w:multiLevelType w:val="hybridMultilevel"/>
    <w:lvl w:ilvl="0">
      <w:lvlJc w:val="left"/>
      <w:lvlText w:val="(%1)"/>
      <w:numFmt w:val="lowerLetter"/>
      <w:start w:val="1"/>
    </w:lvl>
  </w:abstractNum>
  <w:abstractNum w:abstractNumId="97">
    <w:nsid w:val="59ADEA3D"/>
    <w:multiLevelType w:val="hybridMultilevel"/>
    <w:lvl w:ilvl="0">
      <w:lvlJc w:val="left"/>
      <w:lvlText w:val="(%1)"/>
      <w:numFmt w:val="lowerLetter"/>
      <w:start w:val="2"/>
    </w:lvl>
  </w:abstractNum>
  <w:abstractNum w:abstractNumId="98">
    <w:nsid w:val="288F1A34"/>
    <w:multiLevelType w:val="hybridMultilevel"/>
    <w:lvl w:ilvl="0">
      <w:lvlJc w:val="left"/>
      <w:lvlText w:val="(%1)"/>
      <w:numFmt w:val="lowerLetter"/>
      <w:start w:val="1"/>
    </w:lvl>
  </w:abstractNum>
  <w:abstractNum w:abstractNumId="99">
    <w:nsid w:val="2A155DBC"/>
    <w:multiLevelType w:val="hybridMultilevel"/>
    <w:lvl w:ilvl="0">
      <w:lvlJc w:val="left"/>
      <w:lvlText w:val="(%1)"/>
      <w:numFmt w:val="lowerLetter"/>
      <w:start w:val="4"/>
    </w:lvl>
  </w:abstractNum>
  <w:abstractNum w:abstractNumId="100">
    <w:nsid w:val="1D9F6E5F"/>
    <w:multiLevelType w:val="hybridMultilevel"/>
    <w:lvl w:ilvl="0">
      <w:lvlJc w:val="left"/>
      <w:lvlText w:val="(%1)"/>
      <w:numFmt w:val="lowerLetter"/>
      <w:start w:val="5"/>
    </w:lvl>
    <w:lvl w:ilvl="1">
      <w:lvlJc w:val="left"/>
      <w:lvlText w:val="(%2)"/>
      <w:numFmt w:val="lowerRoman"/>
      <w:start w:val="1"/>
    </w:lvl>
  </w:abstractNum>
  <w:abstractNum w:abstractNumId="101">
    <w:nsid w:val="97E1B4E"/>
    <w:multiLevelType w:val="hybridMultilevel"/>
    <w:lvl w:ilvl="0">
      <w:lvlJc w:val="left"/>
      <w:lvlText w:val="(%1)"/>
      <w:numFmt w:val="lowerLetter"/>
      <w:start w:val="1"/>
    </w:lvl>
  </w:abstractNum>
  <w:abstractNum w:abstractNumId="102">
    <w:nsid w:val="51088277"/>
    <w:multiLevelType w:val="hybridMultilevel"/>
    <w:lvl w:ilvl="0">
      <w:lvlJc w:val="left"/>
      <w:lvlText w:val="(%1)"/>
      <w:numFmt w:val="lowerLetter"/>
      <w:start w:val="2"/>
    </w:lvl>
  </w:abstractNum>
  <w:abstractNum w:abstractNumId="103">
    <w:nsid w:val="1CA0C5FA"/>
    <w:multiLevelType w:val="hybridMultilevel"/>
    <w:lvl w:ilvl="0">
      <w:lvlJc w:val="left"/>
      <w:lvlText w:val="(%1)"/>
      <w:numFmt w:val="lowerLetter"/>
      <w:start w:val="5"/>
    </w:lvl>
  </w:abstractNum>
  <w:abstractNum w:abstractNumId="104">
    <w:nsid w:val="53584BCB"/>
    <w:multiLevelType w:val="hybridMultilevel"/>
    <w:lvl w:ilvl="0">
      <w:lvlJc w:val="left"/>
      <w:lvlText w:val="(%1)"/>
      <w:numFmt w:val="lowerLetter"/>
      <w:start w:val="3"/>
    </w:lvl>
  </w:abstractNum>
  <w:abstractNum w:abstractNumId="105">
    <w:nsid w:val="415E286C"/>
    <w:multiLevelType w:val="hybridMultilevel"/>
    <w:lvl w:ilvl="0">
      <w:lvlJc w:val="left"/>
      <w:lvlText w:val="(%1)"/>
      <w:numFmt w:val="lowerLetter"/>
      <w:start w:val="4"/>
    </w:lvl>
  </w:abstractNum>
  <w:abstractNum w:abstractNumId="106">
    <w:nsid w:val="7C58FD05"/>
    <w:multiLevelType w:val="hybridMultilevel"/>
    <w:lvl w:ilvl="0">
      <w:lvlJc w:val="left"/>
      <w:lvlText w:val="(%1)"/>
      <w:numFmt w:val="lowerLetter"/>
      <w:start w:val="7"/>
    </w:lvl>
  </w:abstractNum>
  <w:abstractNum w:abstractNumId="107">
    <w:nsid w:val="23D86AAC"/>
    <w:multiLevelType w:val="hybridMultilevel"/>
    <w:lvl w:ilvl="0">
      <w:lvlJc w:val="left"/>
      <w:lvlText w:val="(%1)"/>
      <w:numFmt w:val="lowerLetter"/>
      <w:start w:val="5"/>
    </w:lvl>
  </w:abstractNum>
  <w:abstractNum w:abstractNumId="108">
    <w:nsid w:val="45E6D486"/>
    <w:multiLevelType w:val="hybridMultilevel"/>
    <w:lvl w:ilvl="0">
      <w:lvlJc w:val="left"/>
      <w:lvlText w:val="(%1)"/>
      <w:numFmt w:val="lowerLetter"/>
      <w:start w:val="6"/>
    </w:lvl>
  </w:abstractNum>
  <w:abstractNum w:abstractNumId="109">
    <w:nsid w:val="5C10FE21"/>
    <w:multiLevelType w:val="hybridMultilevel"/>
    <w:lvl w:ilvl="0">
      <w:lvlJc w:val="left"/>
      <w:lvlText w:val="(%1)"/>
      <w:numFmt w:val="lowerLetter"/>
      <w:start w:val="7"/>
    </w:lvl>
  </w:abstractNum>
  <w:abstractNum w:abstractNumId="110">
    <w:nsid w:val="E7FFA2B"/>
    <w:multiLevelType w:val="hybridMultilevel"/>
    <w:lvl w:ilvl="0">
      <w:lvlJc w:val="left"/>
      <w:lvlText w:val="(%1)"/>
      <w:numFmt w:val="lowerLetter"/>
      <w:start w:val="8"/>
    </w:lvl>
  </w:abstractNum>
  <w:abstractNum w:abstractNumId="111">
    <w:nsid w:val="3C5991AA"/>
    <w:multiLevelType w:val="hybridMultilevel"/>
    <w:lvl w:ilvl="0">
      <w:lvlJc w:val="left"/>
      <w:lvlText w:val="(%1)"/>
      <w:numFmt w:val="lowerLetter"/>
      <w:start w:val="9"/>
    </w:lvl>
  </w:abstractNum>
  <w:abstractNum w:abstractNumId="112">
    <w:nsid w:val="4BD8591A"/>
    <w:multiLevelType w:val="hybridMultilevel"/>
    <w:lvl w:ilvl="0">
      <w:lvlJc w:val="left"/>
      <w:lvlText w:val="(%1)"/>
      <w:numFmt w:val="lowerLetter"/>
      <w:start w:val="2"/>
    </w:lvl>
  </w:abstractNum>
  <w:abstractNum w:abstractNumId="113">
    <w:nsid w:val="78DF6A55"/>
    <w:multiLevelType w:val="hybridMultilevel"/>
    <w:lvl w:ilvl="0">
      <w:lvlJc w:val="left"/>
      <w:lvlText w:val="(%1)"/>
      <w:numFmt w:val="lowerLetter"/>
      <w:start w:val="4"/>
    </w:lvl>
  </w:abstractNum>
  <w:abstractNum w:abstractNumId="114">
    <w:nsid w:val="39B7AAA2"/>
    <w:multiLevelType w:val="hybridMultilevel"/>
    <w:lvl w:ilvl="0">
      <w:lvlJc w:val="left"/>
      <w:lvlText w:val="(%1)"/>
      <w:numFmt w:val="lowerLetter"/>
      <w:start w:val="3"/>
    </w:lvl>
  </w:abstractNum>
  <w:abstractNum w:abstractNumId="115">
    <w:nsid w:val="2B0D8DBE"/>
    <w:multiLevelType w:val="hybridMultilevel"/>
    <w:lvl w:ilvl="0">
      <w:lvlJc w:val="left"/>
      <w:lvlText w:val="(%1)"/>
      <w:numFmt w:val="lowerRoman"/>
      <w:start w:val="1"/>
    </w:lvl>
  </w:abstractNum>
  <w:abstractNum w:abstractNumId="116">
    <w:nsid w:val="6C80EC70"/>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2025-09-29T05:16:29Z</dcterms:created>
  <dcterms:modified xsi:type="dcterms:W3CDTF">2025-09-29T05:16:29Z</dcterms:modified>
</cp:coreProperties>
</file>