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149860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9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182245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6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spacing w:after="0" w:line="230" w:lineRule="auto"/>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September 24,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149860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Rent the Runway, Inc.</w:t>
      </w:r>
    </w:p>
    <w:p>
      <w:pPr>
        <w:spacing w:after="0" w:line="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30"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4140" w:type="dxa"/>
            <w:vAlign w:val="bottom"/>
            <w:tcBorders>
              <w:top w:val="single" w:sz="8" w:color="auto"/>
            </w:tcBorders>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260" w:type="dxa"/>
            <w:vAlign w:val="bottom"/>
            <w:tcBorders>
              <w:top w:val="single" w:sz="8" w:color="auto"/>
            </w:tcBorders>
          </w:tcPr>
          <w:p>
            <w:pPr>
              <w:jc w:val="right"/>
              <w:ind w:right="1230"/>
              <w:spacing w:after="0"/>
              <w:rPr>
                <w:sz w:val="20"/>
                <w:szCs w:val="20"/>
                <w:color w:val="auto"/>
              </w:rPr>
            </w:pPr>
            <w:r>
              <w:rPr>
                <w:rFonts w:ascii="Times New Roman" w:cs="Times New Roman" w:eastAsia="Times New Roman" w:hAnsi="Times New Roman"/>
                <w:sz w:val="18"/>
                <w:szCs w:val="18"/>
                <w:b w:val="1"/>
                <w:bCs w:val="1"/>
                <w:color w:val="auto"/>
              </w:rPr>
              <w:t>001-40958</w:t>
            </w:r>
          </w:p>
        </w:tc>
        <w:tc>
          <w:tcPr>
            <w:tcW w:w="3840" w:type="dxa"/>
            <w:vAlign w:val="bottom"/>
            <w:tcBorders>
              <w:top w:val="single" w:sz="8" w:color="auto"/>
            </w:tcBorders>
          </w:tcPr>
          <w:p>
            <w:pPr>
              <w:jc w:val="right"/>
              <w:ind w:right="1330"/>
              <w:spacing w:after="0"/>
              <w:rPr>
                <w:sz w:val="20"/>
                <w:szCs w:val="20"/>
                <w:color w:val="auto"/>
              </w:rPr>
            </w:pPr>
            <w:r>
              <w:rPr>
                <w:rFonts w:ascii="Times New Roman" w:cs="Times New Roman" w:eastAsia="Times New Roman" w:hAnsi="Times New Roman"/>
                <w:sz w:val="18"/>
                <w:szCs w:val="18"/>
                <w:b w:val="1"/>
                <w:bCs w:val="1"/>
                <w:color w:val="auto"/>
              </w:rPr>
              <w:t>80-0376379</w:t>
            </w:r>
          </w:p>
        </w:tc>
      </w:tr>
      <w:tr>
        <w:trPr>
          <w:trHeight w:val="238"/>
        </w:trPr>
        <w:tc>
          <w:tcPr>
            <w:tcW w:w="4140" w:type="dxa"/>
            <w:vAlign w:val="bottom"/>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9"/>
              </w:rPr>
              <w:t>(State or other jurisdiction of incorporation)</w:t>
            </w:r>
          </w:p>
        </w:tc>
        <w:tc>
          <w:tcPr>
            <w:tcW w:w="326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(Commission File Number)</w:t>
            </w:r>
          </w:p>
        </w:tc>
        <w:tc>
          <w:tcPr>
            <w:tcW w:w="3840" w:type="dxa"/>
            <w:vAlign w:val="bottom"/>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9"/>
              </w:rPr>
              <w:t>(IRS Employer Identification No.)</w:t>
            </w: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Rent the Runway, Inc.</w:t>
      </w:r>
    </w:p>
    <w:p>
      <w:pPr>
        <w:spacing w:after="0" w:line="3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10 Jay Street</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Brooklyn, New York 11201</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 including zip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(212) 524-6860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w:t>
      </w:r>
    </w:p>
    <w:p>
      <w:pPr>
        <w:spacing w:after="0" w:line="247"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-305435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42" w:lineRule="exact"/>
        <w:rPr>
          <w:sz w:val="24"/>
          <w:szCs w:val="24"/>
          <w:color w:val="auto"/>
        </w:rPr>
      </w:pPr>
    </w:p>
    <w:p>
      <w:pPr>
        <w:ind w:left="340" w:hanging="211"/>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340" w:hanging="211"/>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40" w:hanging="211"/>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40" w:hanging="211"/>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Securities Exchange Act of 1934:</w:t>
      </w:r>
    </w:p>
    <w:p>
      <w:pPr>
        <w:spacing w:after="0" w:line="243"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5180" w:type="dxa"/>
            <w:vAlign w:val="bottom"/>
            <w:shd w:val="clear" w:color="auto" w:fill="FEFEFE"/>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20" w:type="dxa"/>
            <w:vAlign w:val="bottom"/>
            <w:shd w:val="clear" w:color="auto" w:fill="FEFEFE"/>
          </w:tcPr>
          <w:p>
            <w:pPr>
              <w:spacing w:after="0"/>
              <w:rPr>
                <w:sz w:val="18"/>
                <w:szCs w:val="18"/>
                <w:color w:val="auto"/>
              </w:rPr>
            </w:pPr>
          </w:p>
        </w:tc>
        <w:tc>
          <w:tcPr>
            <w:tcW w:w="1680" w:type="dxa"/>
            <w:vAlign w:val="bottom"/>
            <w:gridSpan w:val="2"/>
            <w:shd w:val="clear" w:color="auto" w:fill="FEFEFE"/>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Trading Symbol</w:t>
            </w:r>
          </w:p>
        </w:tc>
        <w:tc>
          <w:tcPr>
            <w:tcW w:w="4260" w:type="dxa"/>
            <w:vAlign w:val="bottom"/>
            <w:shd w:val="clear" w:color="auto" w:fill="FEFEFE"/>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09"/>
        </w:trPr>
        <w:tc>
          <w:tcPr>
            <w:tcW w:w="5180" w:type="dxa"/>
            <w:vAlign w:val="bottom"/>
            <w:tcBorders>
              <w:top w:val="single" w:sz="8" w:color="auto"/>
            </w:tcBorders>
            <w:shd w:val="clear" w:color="auto" w:fill="FEFEFE"/>
          </w:tcPr>
          <w:p>
            <w:pPr>
              <w:jc w:val="center"/>
              <w:spacing w:after="0"/>
              <w:rPr>
                <w:sz w:val="20"/>
                <w:szCs w:val="20"/>
                <w:color w:val="auto"/>
              </w:rPr>
            </w:pPr>
            <w:r>
              <w:rPr>
                <w:rFonts w:ascii="Times New Roman" w:cs="Times New Roman" w:eastAsia="Times New Roman" w:hAnsi="Times New Roman"/>
                <w:sz w:val="18"/>
                <w:szCs w:val="18"/>
                <w:color w:val="auto"/>
              </w:rPr>
              <w:t>Class A Common Stock, $0.001 par value per share</w:t>
            </w:r>
          </w:p>
        </w:tc>
        <w:tc>
          <w:tcPr>
            <w:tcW w:w="120" w:type="dxa"/>
            <w:vAlign w:val="bottom"/>
            <w:tcBorders>
              <w:top w:val="single" w:sz="8" w:color="FEFEFE"/>
            </w:tcBorders>
            <w:shd w:val="clear" w:color="auto" w:fill="FEFEFE"/>
          </w:tcPr>
          <w:p>
            <w:pPr>
              <w:spacing w:after="0"/>
              <w:rPr>
                <w:sz w:val="18"/>
                <w:szCs w:val="18"/>
                <w:color w:val="auto"/>
              </w:rPr>
            </w:pPr>
          </w:p>
        </w:tc>
        <w:tc>
          <w:tcPr>
            <w:tcW w:w="1560" w:type="dxa"/>
            <w:vAlign w:val="bottom"/>
            <w:tcBorders>
              <w:top w:val="single" w:sz="8" w:color="auto"/>
            </w:tcBorders>
            <w:shd w:val="clear" w:color="auto" w:fill="FEFEFE"/>
          </w:tcPr>
          <w:p>
            <w:pPr>
              <w:jc w:val="center"/>
              <w:spacing w:after="0"/>
              <w:rPr>
                <w:sz w:val="20"/>
                <w:szCs w:val="20"/>
                <w:color w:val="auto"/>
              </w:rPr>
            </w:pPr>
            <w:r>
              <w:rPr>
                <w:rFonts w:ascii="Times New Roman" w:cs="Times New Roman" w:eastAsia="Times New Roman" w:hAnsi="Times New Roman"/>
                <w:sz w:val="18"/>
                <w:szCs w:val="18"/>
                <w:color w:val="auto"/>
              </w:rPr>
              <w:t>RENT</w:t>
            </w:r>
          </w:p>
        </w:tc>
        <w:tc>
          <w:tcPr>
            <w:tcW w:w="120" w:type="dxa"/>
            <w:vAlign w:val="bottom"/>
            <w:tcBorders>
              <w:top w:val="single" w:sz="8" w:color="FEFEFE"/>
            </w:tcBorders>
            <w:shd w:val="clear" w:color="auto" w:fill="FEFEFE"/>
          </w:tcPr>
          <w:p>
            <w:pPr>
              <w:spacing w:after="0"/>
              <w:rPr>
                <w:sz w:val="18"/>
                <w:szCs w:val="18"/>
                <w:color w:val="auto"/>
              </w:rPr>
            </w:pPr>
          </w:p>
        </w:tc>
        <w:tc>
          <w:tcPr>
            <w:tcW w:w="4260" w:type="dxa"/>
            <w:vAlign w:val="bottom"/>
            <w:tcBorders>
              <w:top w:val="single" w:sz="8" w:color="auto"/>
            </w:tcBorders>
            <w:shd w:val="clear" w:color="auto" w:fill="FEFEFE"/>
          </w:tcPr>
          <w:p>
            <w:pPr>
              <w:jc w:val="center"/>
              <w:spacing w:after="0"/>
              <w:rPr>
                <w:sz w:val="20"/>
                <w:szCs w:val="20"/>
                <w:color w:val="auto"/>
              </w:rPr>
            </w:pPr>
            <w:r>
              <w:rPr>
                <w:rFonts w:ascii="Times New Roman" w:cs="Times New Roman" w:eastAsia="Times New Roman" w:hAnsi="Times New Roman"/>
                <w:sz w:val="18"/>
                <w:szCs w:val="18"/>
                <w:color w:val="auto"/>
                <w:w w:val="98"/>
              </w:rPr>
              <w:t>NASDAQ</w:t>
            </w:r>
          </w:p>
        </w:tc>
      </w:tr>
    </w:tbl>
    <w:p>
      <w:pPr>
        <w:spacing w:after="0" w:line="198" w:lineRule="exact"/>
        <w:rPr>
          <w:sz w:val="24"/>
          <w:szCs w:val="24"/>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or Rule 12b-2 of the Securities Exchange Act of 1934 (§240.12b-2).</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257175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497205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1" w:name="page2"/>
    <w:bookmarkEnd w:id="1"/>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8"/>
          <w:szCs w:val="18"/>
          <w:b w:val="1"/>
          <w:bCs w:val="1"/>
          <w:color w:val="auto"/>
        </w:rPr>
        <w:t>Regulation FD Disclosure.</w:t>
      </w:r>
    </w:p>
    <w:p>
      <w:pPr>
        <w:spacing w:after="0" w:line="229"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On September 24, 2025, Rent the Runway, Inc. (the “Company”) announced a record date of October 6, 2025 (the “Record Date”) in connection with the previously announced $12,500,000 rights offering. Under the terms of the rights offering, the Company intends to distribute at no charge to holders of its Class A common stock and Class B common stock as of the close of business on the Record Date, transferable subscription rights to purchase up to an aggregate of 3,063,725 shares of the Company’s Class A common stock, par value $0.001 per share, at a subscription price of $4.08 per share. More details of the rights offering will be included in a prospectus supplement to be filed with the U.S. Securities and Exchange Commission when the offering is launched.</w:t>
      </w:r>
    </w:p>
    <w:p>
      <w:pPr>
        <w:spacing w:after="0" w:line="187"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This Current Report shall not constitute an offer to sell or the solicitation of an offer to buy any securities, nor shall there be any offer, solicitation or sale of securities in any state in which such offer, solicitation or sale would be unlawful prior to registration or qualification under the securities laws of any such state.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346075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576" w:right="359" w:bottom="1440" w:gutter="0" w:footer="0" w:header="0"/>
        </w:sectPr>
      </w:pPr>
    </w:p>
    <w:bookmarkStart w:id="2" w:name="page3"/>
    <w:bookmarkEnd w:id="2"/>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360"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374"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8"/>
          <w:szCs w:val="18"/>
          <w:b w:val="1"/>
          <w:bCs w:val="1"/>
          <w:color w:val="auto"/>
        </w:rPr>
        <w:t>RENT THE RUNWAY, INC.</w:t>
      </w:r>
    </w:p>
    <w:p>
      <w:pPr>
        <w:spacing w:after="0" w:line="200" w:lineRule="exact"/>
        <w:rPr>
          <w:sz w:val="20"/>
          <w:szCs w:val="20"/>
          <w:color w:val="auto"/>
        </w:rPr>
      </w:pPr>
    </w:p>
    <w:p>
      <w:pPr>
        <w:spacing w:after="0" w:line="245" w:lineRule="exact"/>
        <w:rPr>
          <w:sz w:val="20"/>
          <w:szCs w:val="20"/>
          <w:color w:val="auto"/>
        </w:rPr>
      </w:pPr>
    </w:p>
    <w:p>
      <w:pPr>
        <w:ind w:left="6600"/>
        <w:spacing w:after="0"/>
        <w:tabs>
          <w:tab w:leader="none" w:pos="7020" w:val="left"/>
        </w:tabs>
        <w:rPr>
          <w:sz w:val="20"/>
          <w:szCs w:val="20"/>
          <w:color w:val="auto"/>
        </w:rPr>
      </w:pPr>
      <w:r>
        <w:rPr>
          <w:rFonts w:ascii="Times New Roman" w:cs="Times New Roman" w:eastAsia="Times New Roman" w:hAnsi="Times New Roman"/>
          <w:sz w:val="18"/>
          <w:szCs w:val="18"/>
          <w:color w:val="auto"/>
        </w:rPr>
        <w:t>By:</w:t>
        <w:tab/>
        <w:t>/s/ Cara Schembri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4471035</wp:posOffset>
            </wp:positionH>
            <wp:positionV relativeFrom="paragraph">
              <wp:posOffset>17145</wp:posOffset>
            </wp:positionV>
            <wp:extent cx="266573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665730" cy="8255"/>
                    </a:xfrm>
                    <a:prstGeom prst="rect">
                      <a:avLst/>
                    </a:prstGeom>
                    <a:noFill/>
                  </pic:spPr>
                </pic:pic>
              </a:graphicData>
            </a:graphic>
          </wp:anchor>
        </w:drawing>
      </w:r>
    </w:p>
    <w:p>
      <w:pPr>
        <w:spacing w:after="0" w:line="7" w:lineRule="exact"/>
        <w:rPr>
          <w:sz w:val="20"/>
          <w:szCs w:val="20"/>
          <w:color w:val="auto"/>
        </w:rPr>
      </w:pPr>
    </w:p>
    <w:p>
      <w:pPr>
        <w:ind w:left="7040"/>
        <w:spacing w:after="0"/>
        <w:rPr>
          <w:sz w:val="20"/>
          <w:szCs w:val="20"/>
          <w:color w:val="auto"/>
        </w:rPr>
      </w:pPr>
      <w:r>
        <w:rPr>
          <w:rFonts w:ascii="Times New Roman" w:cs="Times New Roman" w:eastAsia="Times New Roman" w:hAnsi="Times New Roman"/>
          <w:sz w:val="18"/>
          <w:szCs w:val="18"/>
          <w:color w:val="auto"/>
        </w:rPr>
        <w:t>Name: Cara Schembri</w:t>
      </w:r>
    </w:p>
    <w:p>
      <w:pPr>
        <w:spacing w:after="0" w:line="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Title: Chief Legal &amp; Administrative Officer; Secretary</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September 24,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788670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0960"/>
      </w:cols>
      <w:pgMar w:left="320" w:top="576" w:right="6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2025-09-24T15:47:24Z</dcterms:created>
  <dcterms:modified xsi:type="dcterms:W3CDTF">2025-09-24T15:47:24Z</dcterms:modified>
</cp:coreProperties>
</file>