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795"/>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7" w:lineRule="exact"/>
        <w:rPr>
          <w:rFonts w:ascii="Wingdings" w:cs="Wingdings" w:eastAsia="Wingdings" w:hAnsi="Wingdings"/>
          <w:sz w:val="18"/>
          <w:szCs w:val="18"/>
          <w:b w:val="1"/>
          <w:bCs w:val="1"/>
          <w:color w:val="auto"/>
        </w:rPr>
      </w:pPr>
    </w:p>
    <w:p>
      <w:pPr>
        <w:ind w:left="100"/>
        <w:spacing w:after="0"/>
        <w:rPr>
          <w:rFonts w:ascii="Wingdings" w:cs="Wingdings" w:eastAsia="Wingdings" w:hAnsi="Wingdings"/>
          <w:sz w:val="18"/>
          <w:szCs w:val="18"/>
          <w:b w:val="1"/>
          <w:bCs w:val="1"/>
          <w:color w:val="auto"/>
        </w:rPr>
      </w:pPr>
      <w:r>
        <w:rPr>
          <w:rFonts w:ascii="Wingdings" w:cs="Wingdings" w:eastAsia="Wingdings" w:hAnsi="Wingdings"/>
          <w:sz w:val="18"/>
          <w:szCs w:val="18"/>
          <w:b w:val="1"/>
          <w:bCs w:val="1"/>
          <w:color w:val="auto"/>
        </w:rPr>
        <w:t>x</w:t>
      </w:r>
      <w:r>
        <w:rPr>
          <w:rFonts w:ascii="Times New Roman" w:cs="Times New Roman" w:eastAsia="Times New Roman" w:hAnsi="Times New Roman"/>
          <w:sz w:val="17"/>
          <w:szCs w:val="17"/>
          <w:color w:val="auto"/>
        </w:rPr>
        <w:t>Rule 13d-1(c)</w:t>
      </w:r>
    </w:p>
    <w:p>
      <w:pPr>
        <w:spacing w:after="0" w:line="18" w:lineRule="exact"/>
        <w:rPr>
          <w:rFonts w:ascii="Wingdings" w:cs="Wingdings" w:eastAsia="Wingdings" w:hAnsi="Wingdings"/>
          <w:sz w:val="18"/>
          <w:szCs w:val="18"/>
          <w:b w:val="1"/>
          <w:bCs w:val="1"/>
          <w:color w:val="auto"/>
        </w:rPr>
      </w:pPr>
    </w:p>
    <w:p>
      <w:pPr>
        <w:ind w:left="900" w:hanging="795"/>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1020" w:right="7520" w:hanging="627"/>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098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098030"/>
                    </a:xfrm>
                    <a:prstGeom prst="rect">
                      <a:avLst/>
                    </a:prstGeom>
                    <a:noFill/>
                  </pic:spPr>
                </pic:pic>
              </a:graphicData>
            </a:graphic>
          </wp:anchor>
        </w:drawing>
        <w:t>NAME OF REPORTING PERSONS Divisar Partners QP, L.P.</w:t>
      </w:r>
    </w:p>
    <w:p>
      <w:pPr>
        <w:spacing w:after="0" w:line="391" w:lineRule="exact"/>
        <w:rPr>
          <w:rFonts w:ascii="Times New Roman" w:cs="Times New Roman" w:eastAsia="Times New Roman" w:hAnsi="Times New Roman"/>
          <w:sz w:val="18"/>
          <w:szCs w:val="18"/>
          <w:color w:val="auto"/>
        </w:rPr>
      </w:pPr>
    </w:p>
    <w:p>
      <w:pPr>
        <w:ind w:left="1020" w:right="5240" w:hanging="627"/>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6200" w:hanging="423"/>
        <w:spacing w:after="0" w:line="229" w:lineRule="auto"/>
        <w:tabs>
          <w:tab w:leader="none" w:pos="6200" w:val="left"/>
        </w:tabs>
        <w:numPr>
          <w:ilvl w:val="2"/>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6200" w:hanging="428"/>
        <w:spacing w:after="0" w:line="229" w:lineRule="auto"/>
        <w:tabs>
          <w:tab w:leader="none" w:pos="6200" w:val="left"/>
        </w:tabs>
        <w:numPr>
          <w:ilvl w:val="2"/>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020" w:hanging="627"/>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20" w:right="6540" w:hanging="627"/>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91" w:lineRule="exact"/>
        <w:rPr>
          <w:rFonts w:ascii="Times New Roman" w:cs="Times New Roman" w:eastAsia="Times New Roman" w:hAnsi="Times New Roman"/>
          <w:sz w:val="18"/>
          <w:szCs w:val="18"/>
          <w:color w:val="auto"/>
        </w:rPr>
      </w:pPr>
    </w:p>
    <w:p>
      <w:pPr>
        <w:ind w:left="3440" w:right="5940" w:hanging="570"/>
        <w:spacing w:after="0" w:line="282" w:lineRule="auto"/>
        <w:tabs>
          <w:tab w:leader="none" w:pos="34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9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2"/>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vMerge w:val="continue"/>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3,318,293 (See Note 2)</w:t>
            </w:r>
          </w:p>
        </w:tc>
        <w:tc>
          <w:tcPr>
            <w:tcW w:w="0" w:type="dxa"/>
            <w:vAlign w:val="bottom"/>
          </w:tcPr>
          <w:p>
            <w:pPr>
              <w:spacing w:after="0"/>
              <w:rPr>
                <w:sz w:val="1"/>
                <w:szCs w:val="1"/>
                <w:color w:val="auto"/>
              </w:rPr>
            </w:pPr>
          </w:p>
        </w:tc>
      </w:tr>
      <w:tr>
        <w:trPr>
          <w:trHeight w:val="140"/>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tcBorders>
          </w:tcPr>
          <w:p>
            <w:pPr>
              <w:spacing w:after="0"/>
              <w:rPr>
                <w:sz w:val="12"/>
                <w:szCs w:val="12"/>
                <w:color w:val="auto"/>
              </w:rPr>
            </w:pPr>
          </w:p>
        </w:tc>
        <w:tc>
          <w:tcPr>
            <w:tcW w:w="8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9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Pr>
          <w:p>
            <w:pPr>
              <w:spacing w:after="0"/>
              <w:rPr>
                <w:sz w:val="13"/>
                <w:szCs w:val="13"/>
                <w:color w:val="auto"/>
              </w:rPr>
            </w:pPr>
          </w:p>
        </w:tc>
        <w:tc>
          <w:tcPr>
            <w:tcW w:w="8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bottom w:val="single" w:sz="8" w:color="auto"/>
            </w:tcBorders>
          </w:tcPr>
          <w:p>
            <w:pPr>
              <w:spacing w:after="0"/>
              <w:rPr>
                <w:sz w:val="13"/>
                <w:szCs w:val="13"/>
                <w:color w:val="auto"/>
              </w:rPr>
            </w:pPr>
          </w:p>
        </w:tc>
        <w:tc>
          <w:tcPr>
            <w:tcW w:w="8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9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40" w:right="5260" w:hanging="570"/>
        <w:spacing w:after="0" w:line="282" w:lineRule="auto"/>
        <w:tabs>
          <w:tab w:leader="none" w:pos="3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3,318,293 (See Note 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1020" w:right="3660" w:hanging="627"/>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3,318,293 (See Note 2)</w:t>
      </w:r>
    </w:p>
    <w:p>
      <w:pPr>
        <w:spacing w:after="0" w:line="391" w:lineRule="exact"/>
        <w:rPr>
          <w:sz w:val="20"/>
          <w:szCs w:val="20"/>
          <w:color w:val="auto"/>
        </w:rPr>
      </w:pPr>
    </w:p>
    <w:p>
      <w:pPr>
        <w:ind w:left="1020" w:right="3580" w:hanging="672"/>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ind w:left="598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32" w:lineRule="exact"/>
        <w:rPr>
          <w:sz w:val="20"/>
          <w:szCs w:val="20"/>
          <w:color w:val="auto"/>
        </w:rPr>
      </w:pPr>
    </w:p>
    <w:p>
      <w:pPr>
        <w:ind w:left="1020" w:hanging="669"/>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(See Note 1)</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1020" w:right="5880" w:hanging="672"/>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39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61,647,599 shares of Class A Common Stock (as defined below) outstanding as of September 6, 2022, as represented by the Issuer in the Form 10-Q filed with the Securities and Exchange Commission ("SEC") on September 13, 2022.</w:t>
      </w:r>
    </w:p>
    <w:p>
      <w:pPr>
        <w:spacing w:after="0" w:line="161" w:lineRule="exact"/>
        <w:rPr>
          <w:rFonts w:ascii="Times New Roman" w:cs="Times New Roman" w:eastAsia="Times New Roman" w:hAnsi="Times New Roman"/>
          <w:sz w:val="18"/>
          <w:szCs w:val="18"/>
          <w:color w:val="auto"/>
        </w:rPr>
      </w:pPr>
    </w:p>
    <w:p>
      <w:pPr>
        <w:jc w:val="both"/>
        <w:ind w:left="340" w:right="30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13d-4 under the Securities Exchange Act of 1934, as amended, Divisar Partners QP, L.P. expressly disclaims beneficial ownership over any of the securities reported in this statement, and the filing of this statement shall not be construed as an admission that Divisar Partners QP, L.P. is the beneficial owner of any of the securities reported herein.</w:t>
      </w:r>
    </w:p>
    <w:p>
      <w:pPr>
        <w:spacing w:after="0" w:line="200" w:lineRule="exact"/>
        <w:rPr>
          <w:sz w:val="20"/>
          <w:szCs w:val="20"/>
          <w:color w:val="auto"/>
        </w:rPr>
      </w:pPr>
    </w:p>
    <w:p>
      <w:pPr>
        <w:spacing w:after="0" w:line="215" w:lineRule="exact"/>
        <w:rPr>
          <w:sz w:val="20"/>
          <w:szCs w:val="20"/>
          <w:color w:val="auto"/>
        </w:rPr>
      </w:pPr>
    </w:p>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427"/>
        </w:trPr>
        <w:tc>
          <w:tcPr>
            <w:tcW w:w="620" w:type="dxa"/>
            <w:vAlign w:val="bottom"/>
            <w:tcBorders>
              <w:top w:val="single" w:sz="8" w:color="auto"/>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top w:val="single" w:sz="8" w:color="auto"/>
              <w:right w:val="single" w:sz="8" w:color="auto"/>
            </w:tcBorders>
          </w:tcPr>
          <w:p>
            <w:pPr>
              <w:spacing w:after="0"/>
              <w:rPr>
                <w:sz w:val="24"/>
                <w:szCs w:val="24"/>
                <w:color w:val="auto"/>
              </w:rPr>
            </w:pPr>
          </w:p>
        </w:tc>
        <w:tc>
          <w:tcPr>
            <w:tcW w:w="52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Divisar Capital Management, LLC</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60" w:type="dxa"/>
            <w:vAlign w:val="bottom"/>
            <w:tcBorders>
              <w:right w:val="single" w:sz="8" w:color="auto"/>
            </w:tcBorders>
          </w:tcPr>
          <w:p>
            <w:pPr>
              <w:ind w:left="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tcPr>
          <w:p>
            <w:pPr>
              <w:ind w:left="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2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20" w:type="dxa"/>
            <w:vAlign w:val="bottom"/>
            <w:tcBorders>
              <w:left w:val="single" w:sz="8" w:color="auto"/>
            </w:tcBorders>
          </w:tcPr>
          <w:p>
            <w:pPr>
              <w:spacing w:after="0"/>
              <w:rPr>
                <w:sz w:val="2"/>
                <w:szCs w:val="2"/>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Borders>
              <w:left w:val="single" w:sz="8" w:color="auto"/>
            </w:tcBorders>
          </w:tcPr>
          <w:p>
            <w:pPr>
              <w:spacing w:after="0"/>
              <w:rPr>
                <w:sz w:val="14"/>
                <w:szCs w:val="14"/>
                <w:color w:val="auto"/>
              </w:rPr>
            </w:pPr>
          </w:p>
        </w:tc>
        <w:tc>
          <w:tcPr>
            <w:tcW w:w="1940" w:type="dxa"/>
            <w:vAlign w:val="bottom"/>
            <w:tcBorders>
              <w:righ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62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2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2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790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tcPr>
          <w:p>
            <w:pPr>
              <w:ind w:left="2640"/>
              <w:spacing w:after="0" w:line="198" w:lineRule="exact"/>
              <w:rPr>
                <w:sz w:val="20"/>
                <w:szCs w:val="20"/>
                <w:color w:val="auto"/>
              </w:rPr>
            </w:pPr>
            <w:r>
              <w:rPr>
                <w:rFonts w:ascii="Wingdings" w:cs="Wingdings" w:eastAsia="Wingdings" w:hAnsi="Wingdings"/>
                <w:sz w:val="18"/>
                <w:szCs w:val="18"/>
                <w:b w:val="1"/>
                <w:bCs w:val="1"/>
                <w:color w:val="auto"/>
              </w:rPr>
              <w:t>o</w:t>
            </w:r>
          </w:p>
        </w:tc>
        <w:tc>
          <w:tcPr>
            <w:tcW w:w="5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 (See Note 3)</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 OO, HC</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See Note (1) Above</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6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b w:val="1"/>
                <w:bCs w:val="1"/>
                <w:color w:val="auto"/>
                <w:w w:val="96"/>
              </w:rPr>
              <w:t>Page 3 of 9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Steven Baughman</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92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5060" w:type="dxa"/>
            <w:vAlign w:val="bottom"/>
            <w:tcBorders>
              <w:right w:val="single" w:sz="8" w:color="auto"/>
            </w:tcBorders>
          </w:tcPr>
          <w:p>
            <w:pPr>
              <w:ind w:left="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tcPr>
          <w:p>
            <w:pPr>
              <w:ind w:left="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920" w:type="dxa"/>
            <w:vAlign w:val="bottom"/>
            <w:tcBorders>
              <w:left w:val="single" w:sz="8" w:color="auto"/>
            </w:tcBorders>
          </w:tcPr>
          <w:p>
            <w:pPr>
              <w:spacing w:after="0"/>
              <w:rPr>
                <w:sz w:val="3"/>
                <w:szCs w:val="3"/>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9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8"/>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69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gridSpan w:val="2"/>
          </w:tcPr>
          <w:p>
            <w:pPr>
              <w:spacing w:after="0"/>
              <w:rPr>
                <w:sz w:val="24"/>
                <w:szCs w:val="24"/>
                <w:color w:val="auto"/>
              </w:rPr>
            </w:pPr>
          </w:p>
        </w:tc>
        <w:tc>
          <w:tcPr>
            <w:tcW w:w="69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3,575,782</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Pr>
          <w:p>
            <w:pPr>
              <w:ind w:left="1720"/>
              <w:spacing w:after="0" w:line="198" w:lineRule="exact"/>
              <w:rPr>
                <w:sz w:val="20"/>
                <w:szCs w:val="20"/>
                <w:color w:val="auto"/>
              </w:rPr>
            </w:pPr>
            <w:r>
              <w:rPr>
                <w:rFonts w:ascii="Wingdings" w:cs="Wingdings" w:eastAsia="Wingdings" w:hAnsi="Wingdings"/>
                <w:sz w:val="18"/>
                <w:szCs w:val="18"/>
                <w:b w:val="1"/>
                <w:bCs w:val="1"/>
                <w:color w:val="auto"/>
              </w:rPr>
              <w:t>o</w:t>
            </w:r>
          </w:p>
        </w:tc>
        <w:tc>
          <w:tcPr>
            <w:tcW w:w="5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 (See Note 4)</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HC</w:t>
            </w:r>
          </w:p>
        </w:tc>
        <w:tc>
          <w:tcPr>
            <w:tcW w:w="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See Note (1) Above</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6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b w:val="1"/>
                <w:bCs w:val="1"/>
                <w:color w:val="auto"/>
                <w:w w:val="96"/>
              </w:rPr>
              <w:t>Page 4 of 9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272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Rent the Runway, Inc. (the “Issuer”)</w:t>
            </w:r>
          </w:p>
        </w:tc>
        <w:tc>
          <w:tcPr>
            <w:tcW w:w="2720" w:type="dxa"/>
            <w:vAlign w:val="bottom"/>
          </w:tcPr>
          <w:p>
            <w:pPr>
              <w:spacing w:after="0"/>
              <w:rPr>
                <w:sz w:val="24"/>
                <w:szCs w:val="24"/>
                <w:color w:val="auto"/>
              </w:rPr>
            </w:pPr>
          </w:p>
        </w:tc>
      </w:tr>
      <w:tr>
        <w:trPr>
          <w:trHeight w:val="432"/>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272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 Jay Street, Suite 900</w:t>
            </w:r>
          </w:p>
        </w:tc>
        <w:tc>
          <w:tcPr>
            <w:tcW w:w="2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Brooklyn, NY 11201</w:t>
            </w:r>
          </w:p>
        </w:tc>
        <w:tc>
          <w:tcPr>
            <w:tcW w:w="2720" w:type="dxa"/>
            <w:vAlign w:val="bottom"/>
          </w:tcPr>
          <w:p>
            <w:pPr>
              <w:spacing w:after="0"/>
              <w:rPr>
                <w:sz w:val="20"/>
                <w:szCs w:val="20"/>
                <w:color w:val="auto"/>
              </w:rPr>
            </w:pPr>
          </w:p>
        </w:tc>
      </w:tr>
      <w:tr>
        <w:trPr>
          <w:trHeight w:val="432"/>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Name of Persons Filing:</w:t>
            </w:r>
          </w:p>
        </w:tc>
        <w:tc>
          <w:tcPr>
            <w:tcW w:w="272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9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This statement is filed by the entities and persons listed below, who are collectively referred herein as "Reporting</w:t>
            </w:r>
          </w:p>
        </w:tc>
      </w:tr>
      <w:tr>
        <w:trPr>
          <w:trHeight w:val="234"/>
        </w:trPr>
        <w:tc>
          <w:tcPr>
            <w:tcW w:w="2180" w:type="dxa"/>
            <w:vAlign w:val="bottom"/>
          </w:tcPr>
          <w:p>
            <w:pPr>
              <w:spacing w:after="0"/>
              <w:rPr>
                <w:sz w:val="20"/>
                <w:szCs w:val="20"/>
                <w:color w:val="auto"/>
              </w:rPr>
            </w:pPr>
          </w:p>
        </w:tc>
        <w:tc>
          <w:tcPr>
            <w:tcW w:w="9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Persons", with respect to the shares of Common Stock (as defined in Item 2(d) below) of the Company:</w:t>
            </w:r>
          </w:p>
        </w:tc>
      </w:tr>
      <w:tr>
        <w:trPr>
          <w:trHeight w:val="432"/>
        </w:trPr>
        <w:tc>
          <w:tcPr>
            <w:tcW w:w="218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w:t>
            </w:r>
          </w:p>
        </w:tc>
        <w:tc>
          <w:tcPr>
            <w:tcW w:w="4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Divisar Partners QP, L.P.</w:t>
            </w:r>
          </w:p>
        </w:tc>
        <w:tc>
          <w:tcPr>
            <w:tcW w:w="272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(ii)</w:t>
            </w:r>
          </w:p>
        </w:tc>
        <w:tc>
          <w:tcPr>
            <w:tcW w:w="4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Divisar Capital Management, LLC</w:t>
            </w:r>
          </w:p>
        </w:tc>
        <w:tc>
          <w:tcPr>
            <w:tcW w:w="272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(iii)</w:t>
            </w:r>
          </w:p>
        </w:tc>
        <w:tc>
          <w:tcPr>
            <w:tcW w:w="4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Mr. Steven Baughman</w:t>
            </w:r>
          </w:p>
        </w:tc>
        <w:tc>
          <w:tcPr>
            <w:tcW w:w="2720" w:type="dxa"/>
            <w:vAlign w:val="bottom"/>
          </w:tcPr>
          <w:p>
            <w:pPr>
              <w:spacing w:after="0"/>
              <w:rPr>
                <w:sz w:val="24"/>
                <w:szCs w:val="24"/>
                <w:color w:val="auto"/>
              </w:rPr>
            </w:pPr>
          </w:p>
        </w:tc>
      </w:tr>
      <w:tr>
        <w:trPr>
          <w:trHeight w:val="432"/>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272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Divisar Partners QP, L.P.</w:t>
            </w:r>
          </w:p>
        </w:tc>
        <w:tc>
          <w:tcPr>
            <w:tcW w:w="272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275 Sacramento Street, 8th Floor</w:t>
            </w:r>
          </w:p>
        </w:tc>
        <w:tc>
          <w:tcPr>
            <w:tcW w:w="272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94111</w:t>
            </w:r>
          </w:p>
        </w:tc>
        <w:tc>
          <w:tcPr>
            <w:tcW w:w="272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Divisar Capital Management, LLC</w:t>
            </w:r>
          </w:p>
        </w:tc>
        <w:tc>
          <w:tcPr>
            <w:tcW w:w="272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275 Sacramento Street, 8th Floor</w:t>
            </w:r>
          </w:p>
        </w:tc>
        <w:tc>
          <w:tcPr>
            <w:tcW w:w="272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94111</w:t>
            </w:r>
          </w:p>
        </w:tc>
        <w:tc>
          <w:tcPr>
            <w:tcW w:w="272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(iii)</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Mr. Steven Baughman</w:t>
            </w:r>
          </w:p>
        </w:tc>
        <w:tc>
          <w:tcPr>
            <w:tcW w:w="272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 Divisar Capital Management, LLC</w:t>
            </w:r>
          </w:p>
        </w:tc>
        <w:tc>
          <w:tcPr>
            <w:tcW w:w="272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275 Sacramento Street, 8th Floor</w:t>
            </w:r>
          </w:p>
        </w:tc>
        <w:tc>
          <w:tcPr>
            <w:tcW w:w="272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Francisco, CA 94111</w:t>
            </w:r>
          </w:p>
        </w:tc>
        <w:tc>
          <w:tcPr>
            <w:tcW w:w="2720" w:type="dxa"/>
            <w:vAlign w:val="bottom"/>
          </w:tcPr>
          <w:p>
            <w:pPr>
              <w:spacing w:after="0"/>
              <w:rPr>
                <w:sz w:val="20"/>
                <w:szCs w:val="20"/>
                <w:color w:val="auto"/>
              </w:rPr>
            </w:pPr>
          </w:p>
        </w:tc>
      </w:tr>
      <w:tr>
        <w:trPr>
          <w:trHeight w:val="432"/>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49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w:t>
            </w: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Divisar Partners QP, L.P. – DE</w:t>
            </w:r>
          </w:p>
        </w:tc>
        <w:tc>
          <w:tcPr>
            <w:tcW w:w="272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w:t>
            </w: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Divisar Capital Management, LLC – DE</w:t>
            </w:r>
          </w:p>
        </w:tc>
        <w:tc>
          <w:tcPr>
            <w:tcW w:w="2720" w:type="dxa"/>
            <w:vAlign w:val="bottom"/>
          </w:tcPr>
          <w:p>
            <w:pPr>
              <w:spacing w:after="0"/>
              <w:rPr>
                <w:sz w:val="24"/>
                <w:szCs w:val="24"/>
                <w:color w:val="auto"/>
              </w:rPr>
            </w:pPr>
          </w:p>
        </w:tc>
      </w:tr>
      <w:tr>
        <w:trPr>
          <w:trHeight w:val="432"/>
        </w:trPr>
        <w:tc>
          <w:tcPr>
            <w:tcW w:w="21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(iii)</w:t>
            </w:r>
          </w:p>
        </w:tc>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Steven Baughman – USA</w:t>
            </w:r>
          </w:p>
        </w:tc>
        <w:tc>
          <w:tcPr>
            <w:tcW w:w="2720" w:type="dxa"/>
            <w:vAlign w:val="bottom"/>
          </w:tcPr>
          <w:p>
            <w:pPr>
              <w:spacing w:after="0"/>
              <w:rPr>
                <w:sz w:val="24"/>
                <w:szCs w:val="24"/>
                <w:color w:val="auto"/>
              </w:rPr>
            </w:pPr>
          </w:p>
        </w:tc>
      </w:tr>
      <w:tr>
        <w:trPr>
          <w:trHeight w:val="414"/>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2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Class A Common Stock, par value $0.001 (“Common Stock”)</w:t>
            </w:r>
          </w:p>
        </w:tc>
        <w:tc>
          <w:tcPr>
            <w:tcW w:w="2720" w:type="dxa"/>
            <w:vAlign w:val="bottom"/>
          </w:tcPr>
          <w:p>
            <w:pPr>
              <w:spacing w:after="0"/>
              <w:rPr>
                <w:sz w:val="20"/>
                <w:szCs w:val="20"/>
                <w:color w:val="auto"/>
              </w:rPr>
            </w:pPr>
          </w:p>
        </w:tc>
      </w:tr>
      <w:tr>
        <w:trPr>
          <w:trHeight w:val="414"/>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2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1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76010Y103</w:t>
            </w:r>
          </w:p>
        </w:tc>
        <w:tc>
          <w:tcPr>
            <w:tcW w:w="49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0"/>
        </w:trPr>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0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w:t>
            </w:r>
          </w:p>
        </w:tc>
      </w:tr>
      <w:tr>
        <w:trPr>
          <w:trHeight w:val="238"/>
        </w:trPr>
        <w:tc>
          <w:tcPr>
            <w:tcW w:w="2180" w:type="dxa"/>
            <w:vAlign w:val="bottom"/>
          </w:tcPr>
          <w:p>
            <w:pPr>
              <w:spacing w:after="0"/>
              <w:rPr>
                <w:sz w:val="20"/>
                <w:szCs w:val="20"/>
                <w:color w:val="auto"/>
              </w:rPr>
            </w:pPr>
          </w:p>
        </w:tc>
        <w:tc>
          <w:tcPr>
            <w:tcW w:w="1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w:t>
            </w:r>
          </w:p>
        </w:tc>
        <w:tc>
          <w:tcPr>
            <w:tcW w:w="49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c>
          <w:tcPr>
            <w:tcW w:w="2720" w:type="dxa"/>
            <w:vAlign w:val="bottom"/>
          </w:tcPr>
          <w:p>
            <w:pPr>
              <w:spacing w:after="0"/>
              <w:rPr>
                <w:sz w:val="24"/>
                <w:szCs w:val="24"/>
                <w:color w:val="auto"/>
              </w:rPr>
            </w:pPr>
          </w:p>
        </w:tc>
      </w:tr>
      <w:tr>
        <w:trPr>
          <w:trHeight w:val="86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1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7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w w:val="98"/>
              </w:rPr>
              <w:t>Page 5 of 9 Pages</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780" w:hanging="318"/>
        <w:spacing w:after="0"/>
        <w:tabs>
          <w:tab w:leader="none" w:pos="1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Divisar Partners QP, LP</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3,318,293 (see Note 5)</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5.4% (See Note 6)</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3,318,293 (see Note 5)</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440" w:right="2760" w:firstLine="863"/>
        <w:spacing w:after="0" w:line="500" w:lineRule="auto"/>
        <w:tabs>
          <w:tab w:leader="none" w:pos="284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3,318,293 (see Note 5) (ii) Divisar Capital Management, LLC</w:t>
      </w:r>
    </w:p>
    <w:p>
      <w:pPr>
        <w:spacing w:after="0" w:line="2" w:lineRule="exact"/>
        <w:rPr>
          <w:sz w:val="20"/>
          <w:szCs w:val="20"/>
          <w:color w:val="auto"/>
        </w:rPr>
      </w:pPr>
    </w:p>
    <w:p>
      <w:pPr>
        <w:ind w:left="2300" w:hanging="524"/>
        <w:spacing w:after="0"/>
        <w:tabs>
          <w:tab w:leader="none" w:pos="2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3,575,782 (see Note 5)</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5.8% (See Note 6)</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3,575,782 (see Note 5)</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3,575,782 (see Note 5)</w:t>
      </w:r>
    </w:p>
    <w:p>
      <w:pPr>
        <w:spacing w:after="0" w:line="225" w:lineRule="exact"/>
        <w:rPr>
          <w:rFonts w:ascii="Times New Roman" w:cs="Times New Roman" w:eastAsia="Times New Roman" w:hAnsi="Times New Roman"/>
          <w:sz w:val="18"/>
          <w:szCs w:val="18"/>
          <w:color w:val="auto"/>
        </w:rPr>
      </w:pPr>
    </w:p>
    <w:p>
      <w:pPr>
        <w:ind w:left="1880" w:hanging="482"/>
        <w:spacing w:after="0"/>
        <w:tabs>
          <w:tab w:leader="none" w:pos="1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Baughman</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3,575,782 (See Note 5)</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5.8% (See Note 6)</w:t>
      </w:r>
    </w:p>
    <w:p>
      <w:pPr>
        <w:spacing w:after="0" w:line="225" w:lineRule="exact"/>
        <w:rPr>
          <w:rFonts w:ascii="Times New Roman" w:cs="Times New Roman" w:eastAsia="Times New Roman" w:hAnsi="Times New Roman"/>
          <w:sz w:val="18"/>
          <w:szCs w:val="18"/>
          <w:color w:val="auto"/>
        </w:rPr>
      </w:pPr>
    </w:p>
    <w:p>
      <w:pPr>
        <w:ind w:left="2300" w:hanging="524"/>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3,575,782 (see Note 5)</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840" w:hanging="537"/>
        <w:spacing w:after="0"/>
        <w:tabs>
          <w:tab w:leader="none" w:pos="28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3,575,782 (see Note 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Note 5:</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Divisar Capital Management, LLC is an investment advisor that is registered under the Investment Advisors Act of 1940. Divisar Capital Management, LLC, which serves as the general partner and investment manager to each of Divisar Partners QP, L.P. and Divisar Partners, L.P., (collectively the "Funds"), may be deemed to be the beneficial owner of all shares of Common Stock held by the Funds. Mr. Steven Baughman, as CEO of Divisar Capital Management, LLC, with the power to exercise investment and voting discretion, may be deemed to be the beneficial owner of all shares of Common Stock held by the Funds. Pursuant to Rule 13d-4 under the Securities Exchange Act of 1934, as amended, each of the Funds expressly disclaims beneficial ownership over any of the securities reported in this statement, and the filing of this statement shall not be construed as an admission that either of the Funds are the beneficial owner of any of the securities reported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61,647,599 shares of Class A Common Stock outstanding as of September 6, 2022, as represented by the Issuer in the Form 10-Q filed with the Securities and Exchange Commission on September 13,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520" w:type="dxa"/>
            <w:vAlign w:val="bottom"/>
          </w:tcPr>
          <w:p>
            <w:pPr>
              <w:spacing w:after="0"/>
              <w:rPr>
                <w:sz w:val="20"/>
                <w:szCs w:val="20"/>
                <w:color w:val="auto"/>
              </w:rPr>
            </w:pPr>
          </w:p>
        </w:tc>
      </w:tr>
      <w:tr>
        <w:trPr>
          <w:trHeight w:val="432"/>
        </w:trPr>
        <w:tc>
          <w:tcPr>
            <w:tcW w:w="2000" w:type="dxa"/>
            <w:vAlign w:val="bottom"/>
          </w:tcPr>
          <w:p>
            <w:pPr>
              <w:spacing w:after="0"/>
              <w:rPr>
                <w:sz w:val="24"/>
                <w:szCs w:val="24"/>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2520" w:type="dxa"/>
            <w:vAlign w:val="bottom"/>
          </w:tcPr>
          <w:p>
            <w:pPr>
              <w:spacing w:after="0"/>
              <w:rPr>
                <w:sz w:val="24"/>
                <w:szCs w:val="24"/>
                <w:color w:val="auto"/>
              </w:rPr>
            </w:pPr>
          </w:p>
        </w:tc>
      </w:tr>
      <w:tr>
        <w:trPr>
          <w:trHeight w:val="432"/>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520" w:type="dxa"/>
            <w:vAlign w:val="bottom"/>
          </w:tcPr>
          <w:p>
            <w:pPr>
              <w:spacing w:after="0"/>
              <w:rPr>
                <w:sz w:val="24"/>
                <w:szCs w:val="24"/>
                <w:color w:val="auto"/>
              </w:rPr>
            </w:pPr>
          </w:p>
        </w:tc>
      </w:tr>
      <w:tr>
        <w:trPr>
          <w:trHeight w:val="414"/>
        </w:trPr>
        <w:tc>
          <w:tcPr>
            <w:tcW w:w="2000" w:type="dxa"/>
            <w:vAlign w:val="bottom"/>
          </w:tcPr>
          <w:p>
            <w:pPr>
              <w:spacing w:after="0"/>
              <w:rPr>
                <w:sz w:val="24"/>
                <w:szCs w:val="24"/>
                <w:color w:val="auto"/>
              </w:rPr>
            </w:pPr>
          </w:p>
        </w:tc>
        <w:tc>
          <w:tcPr>
            <w:tcW w:w="9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See Note 5 above. The Funds have the right to receive or the power to direct the receipt of dividends from, or the proceeds</w:t>
            </w:r>
          </w:p>
        </w:tc>
      </w:tr>
      <w:tr>
        <w:trPr>
          <w:trHeight w:val="234"/>
        </w:trPr>
        <w:tc>
          <w:tcPr>
            <w:tcW w:w="200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the sale of, the shares of Common Stock covered by this Statement.</w:t>
            </w:r>
          </w:p>
        </w:tc>
        <w:tc>
          <w:tcPr>
            <w:tcW w:w="2520" w:type="dxa"/>
            <w:vAlign w:val="bottom"/>
          </w:tcPr>
          <w:p>
            <w:pPr>
              <w:spacing w:after="0"/>
              <w:rPr>
                <w:sz w:val="20"/>
                <w:szCs w:val="20"/>
                <w:color w:val="auto"/>
              </w:rPr>
            </w:pPr>
          </w:p>
        </w:tc>
      </w:tr>
      <w:tr>
        <w:trPr>
          <w:trHeight w:val="410"/>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w:t>
            </w:r>
          </w:p>
        </w:tc>
      </w:tr>
      <w:tr>
        <w:trPr>
          <w:trHeight w:val="238"/>
        </w:trPr>
        <w:tc>
          <w:tcPr>
            <w:tcW w:w="200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520" w:type="dxa"/>
            <w:vAlign w:val="bottom"/>
          </w:tcPr>
          <w:p>
            <w:pPr>
              <w:spacing w:after="0"/>
              <w:rPr>
                <w:sz w:val="20"/>
                <w:szCs w:val="20"/>
                <w:color w:val="auto"/>
              </w:rPr>
            </w:pPr>
          </w:p>
        </w:tc>
      </w:tr>
      <w:tr>
        <w:trPr>
          <w:trHeight w:val="432"/>
        </w:trPr>
        <w:tc>
          <w:tcPr>
            <w:tcW w:w="2000" w:type="dxa"/>
            <w:vAlign w:val="bottom"/>
          </w:tcPr>
          <w:p>
            <w:pPr>
              <w:spacing w:after="0"/>
              <w:rPr>
                <w:sz w:val="24"/>
                <w:szCs w:val="24"/>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Note 5 above.</w:t>
            </w:r>
          </w:p>
        </w:tc>
        <w:tc>
          <w:tcPr>
            <w:tcW w:w="2520" w:type="dxa"/>
            <w:vAlign w:val="bottom"/>
          </w:tcPr>
          <w:p>
            <w:pPr>
              <w:spacing w:after="0"/>
              <w:rPr>
                <w:sz w:val="24"/>
                <w:szCs w:val="24"/>
                <w:color w:val="auto"/>
              </w:rPr>
            </w:pPr>
          </w:p>
        </w:tc>
      </w:tr>
      <w:tr>
        <w:trPr>
          <w:trHeight w:val="432"/>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520" w:type="dxa"/>
            <w:vAlign w:val="bottom"/>
          </w:tcPr>
          <w:p>
            <w:pPr>
              <w:spacing w:after="0"/>
              <w:rPr>
                <w:sz w:val="24"/>
                <w:szCs w:val="24"/>
                <w:color w:val="auto"/>
              </w:rPr>
            </w:pPr>
          </w:p>
        </w:tc>
      </w:tr>
      <w:tr>
        <w:trPr>
          <w:trHeight w:val="432"/>
        </w:trPr>
        <w:tc>
          <w:tcPr>
            <w:tcW w:w="2000" w:type="dxa"/>
            <w:vAlign w:val="bottom"/>
          </w:tcPr>
          <w:p>
            <w:pPr>
              <w:spacing w:after="0"/>
              <w:rPr>
                <w:sz w:val="24"/>
                <w:szCs w:val="24"/>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2520" w:type="dxa"/>
            <w:vAlign w:val="bottom"/>
          </w:tcPr>
          <w:p>
            <w:pPr>
              <w:spacing w:after="0"/>
              <w:rPr>
                <w:sz w:val="24"/>
                <w:szCs w:val="24"/>
                <w:color w:val="auto"/>
              </w:rPr>
            </w:pPr>
          </w:p>
        </w:tc>
      </w:tr>
      <w:tr>
        <w:trPr>
          <w:trHeight w:val="432"/>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520" w:type="dxa"/>
            <w:vAlign w:val="bottom"/>
          </w:tcPr>
          <w:p>
            <w:pPr>
              <w:spacing w:after="0"/>
              <w:rPr>
                <w:sz w:val="24"/>
                <w:szCs w:val="24"/>
                <w:color w:val="auto"/>
              </w:rPr>
            </w:pPr>
          </w:p>
        </w:tc>
      </w:tr>
      <w:tr>
        <w:trPr>
          <w:trHeight w:val="432"/>
        </w:trPr>
        <w:tc>
          <w:tcPr>
            <w:tcW w:w="2000" w:type="dxa"/>
            <w:vAlign w:val="bottom"/>
          </w:tcPr>
          <w:p>
            <w:pPr>
              <w:spacing w:after="0"/>
              <w:rPr>
                <w:sz w:val="24"/>
                <w:szCs w:val="24"/>
                <w:color w:val="auto"/>
              </w:rPr>
            </w:pP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2520" w:type="dxa"/>
            <w:vAlign w:val="bottom"/>
          </w:tcPr>
          <w:p>
            <w:pPr>
              <w:spacing w:after="0"/>
              <w:rPr>
                <w:sz w:val="24"/>
                <w:szCs w:val="24"/>
                <w:color w:val="auto"/>
              </w:rPr>
            </w:pPr>
          </w:p>
        </w:tc>
      </w:tr>
      <w:tr>
        <w:trPr>
          <w:trHeight w:val="864"/>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672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Page 7 of 9 Pages</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Each of the Reporting Persons makes the following certification:</w:t>
      </w:r>
    </w:p>
    <w:p>
      <w:pPr>
        <w:spacing w:after="0" w:line="225" w:lineRule="exact"/>
        <w:rPr>
          <w:sz w:val="20"/>
          <w:szCs w:val="20"/>
          <w:color w:val="auto"/>
        </w:rPr>
      </w:pPr>
    </w:p>
    <w:p>
      <w:pPr>
        <w:jc w:val="both"/>
        <w:ind w:left="2260" w:right="100"/>
        <w:spacing w:after="0" w:line="258"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After reasonable inquiry and to the best of my knowledge and belief, the undersigned certify that the information set forth in this statement is true, complete and correct.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PARTNERS QP,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DIVISAR CAPITAL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BAUGHMAN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200" w:lineRule="exact"/>
        <w:rPr>
          <w:sz w:val="20"/>
          <w:szCs w:val="20"/>
          <w:color w:val="auto"/>
        </w:rPr>
      </w:pPr>
    </w:p>
    <w:p>
      <w:pPr>
        <w:spacing w:after="0" w:line="219" w:lineRule="exact"/>
        <w:rPr>
          <w:sz w:val="20"/>
          <w:szCs w:val="20"/>
          <w:color w:val="auto"/>
        </w:rPr>
      </w:pPr>
    </w:p>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Filing Agreement Pursuant to Rule 13d-1</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agreement is made pursuant to Rule 13d-l(k)(1) under the Securities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his, her or its behalf on Schedule 13G or Schedule 13D, as appropriate, and that said joint filing may thereafter be amended by further joint filings. The Joint Filers state that they each satisfy the requirements for making a joint filing under Rule 13d-1(k).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DIVISAR PARTNERS QP,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DIVISAR CAPITAL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BAUGHMAN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Steven Baughman</w:t>
      </w:r>
    </w:p>
    <w:p>
      <w:pPr>
        <w:spacing w:after="0" w:line="200" w:lineRule="exact"/>
        <w:rPr>
          <w:sz w:val="20"/>
          <w:szCs w:val="20"/>
          <w:color w:val="auto"/>
        </w:rPr>
      </w:pPr>
    </w:p>
    <w:p>
      <w:pPr>
        <w:spacing w:after="0" w:line="219" w:lineRule="exact"/>
        <w:rPr>
          <w:sz w:val="20"/>
          <w:szCs w:val="20"/>
          <w:color w:val="auto"/>
        </w:rPr>
      </w:pPr>
    </w:p>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lvl w:ilvl="1">
      <w:lvlJc w:val="left"/>
      <w:lvlText w:val="%2."/>
      <w:numFmt w:val="decimal"/>
      <w:start w:val="11"/>
    </w:lvl>
  </w:abstractNum>
  <w:abstractNum w:abstractNumId="6">
    <w:nsid w:val="515F007C"/>
    <w:multiLevelType w:val="hybridMultilevel"/>
    <w:lvl w:ilvl="0">
      <w:lvlJc w:val="left"/>
      <w:lvlText w:val="(%1)"/>
      <w:numFmt w:val="decimal"/>
      <w:start w:val="1"/>
    </w:lvl>
    <w:lvl w:ilvl="1">
      <w:lvlJc w:val="left"/>
      <w:lvlText w:val="%2"/>
      <w:numFmt w:val="decimal"/>
      <w:start w:val="1"/>
    </w:lvl>
  </w:abstractNum>
  <w:abstractNum w:abstractNumId="7">
    <w:nsid w:val="5BD062C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
    <w:nsid w:val="122008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
    <w:nsid w:val="4DB127F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2022-12-02T15:58:17Z</dcterms:created>
  <dcterms:modified xsi:type="dcterms:W3CDTF">2022-12-02T15:58:17Z</dcterms:modified>
</cp:coreProperties>
</file>