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32"/>
          <w:szCs w:val="32"/>
          <w:b w:val="1"/>
          <w:bCs w:val="1"/>
          <w:color w:val="auto"/>
        </w:rPr>
        <w:drawing>
          <wp:anchor simplePos="0" relativeHeight="251657728" behindDoc="1" locked="0" layoutInCell="0" allowOverlap="1">
            <wp:simplePos x="0" y="0"/>
            <wp:positionH relativeFrom="page">
              <wp:posOffset>208280</wp:posOffset>
            </wp:positionH>
            <wp:positionV relativeFrom="page">
              <wp:posOffset>620395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586105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46990</wp:posOffset>
            </wp:positionV>
            <wp:extent cx="2425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425700" cy="8890"/>
                    </a:xfrm>
                    <a:prstGeom prst="rect">
                      <a:avLst/>
                    </a:prstGeom>
                    <a:noFill/>
                  </pic:spPr>
                </pic:pic>
              </a:graphicData>
            </a:graphic>
          </wp:anchor>
        </w:drawing>
      </w:r>
    </w:p>
    <w:p>
      <w:pPr>
        <w:spacing w:after="0" w:line="22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79375</wp:posOffset>
            </wp:positionV>
            <wp:extent cx="242570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7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CURRENT REPORT</w:t>
      </w:r>
    </w:p>
    <w:p>
      <w:pPr>
        <w:spacing w:after="0" w:line="8"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Pursuant to Section 13 or 15(d) of the</w:t>
      </w:r>
    </w:p>
    <w:p>
      <w:pPr>
        <w:jc w:val="center"/>
        <w:spacing w:after="0"/>
        <w:rPr>
          <w:sz w:val="20"/>
          <w:szCs w:val="20"/>
          <w:color w:val="auto"/>
        </w:rPr>
      </w:pPr>
      <w:r>
        <w:rPr>
          <w:rFonts w:ascii="Times New Roman" w:cs="Times New Roman" w:eastAsia="Times New Roman" w:hAnsi="Times New Roman"/>
          <w:sz w:val="22"/>
          <w:szCs w:val="22"/>
          <w:b w:val="1"/>
          <w:bCs w:val="1"/>
          <w:color w:val="auto"/>
        </w:rPr>
        <w:t>Securities Exchange Act of 1934</w:t>
      </w:r>
    </w:p>
    <w:p>
      <w:pPr>
        <w:spacing w:after="0" w:line="7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Date of Report (Date of earliest event reported): April 13, 2022</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64770</wp:posOffset>
            </wp:positionV>
            <wp:extent cx="242570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4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43"/>
          <w:szCs w:val="43"/>
          <w:b w:val="1"/>
          <w:bCs w:val="1"/>
          <w:color w:val="auto"/>
        </w:rPr>
        <w:t>Rent the Runway, Inc.</w:t>
      </w:r>
    </w:p>
    <w:p>
      <w:pPr>
        <w:spacing w:after="0" w:line="4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2362200</wp:posOffset>
            </wp:positionH>
            <wp:positionV relativeFrom="paragraph">
              <wp:posOffset>47625</wp:posOffset>
            </wp:positionV>
            <wp:extent cx="242570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25700" cy="8255"/>
                    </a:xfrm>
                    <a:prstGeom prst="rect">
                      <a:avLst/>
                    </a:prstGeom>
                    <a:noFill/>
                  </pic:spPr>
                </pic:pic>
              </a:graphicData>
            </a:graphic>
          </wp:anchor>
        </w:drawing>
      </w:r>
    </w:p>
    <w:p>
      <w:pPr>
        <w:spacing w:after="0" w:line="289" w:lineRule="exact"/>
        <w:rPr>
          <w:sz w:val="24"/>
          <w:szCs w:val="24"/>
          <w:color w:val="auto"/>
        </w:rPr>
      </w:pPr>
    </w:p>
    <w:tbl>
      <w:tblPr>
        <w:tblLayout w:type="fixed"/>
        <w:tblInd w:w="1000" w:type="dxa"/>
        <w:tblCellMar>
          <w:top w:w="0" w:type="dxa"/>
          <w:left w:w="0" w:type="dxa"/>
          <w:bottom w:w="0" w:type="dxa"/>
          <w:right w:w="0" w:type="dxa"/>
        </w:tblCellMar>
      </w:tblPr>
      <w:tr>
        <w:trPr>
          <w:trHeight w:val="238"/>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8"/>
                <w:szCs w:val="18"/>
                <w:b w:val="1"/>
                <w:bCs w:val="1"/>
                <w:color w:val="auto"/>
                <w:w w:val="98"/>
              </w:rPr>
              <w:t>Delaware</w:t>
            </w:r>
          </w:p>
        </w:tc>
        <w:tc>
          <w:tcPr>
            <w:tcW w:w="4700" w:type="dxa"/>
            <w:vAlign w:val="bottom"/>
            <w:gridSpan w:val="2"/>
          </w:tcPr>
          <w:p>
            <w:pPr>
              <w:ind w:left="2360"/>
              <w:spacing w:after="0"/>
              <w:rPr>
                <w:sz w:val="20"/>
                <w:szCs w:val="20"/>
                <w:color w:val="auto"/>
              </w:rPr>
            </w:pPr>
            <w:r>
              <w:rPr>
                <w:rFonts w:ascii="Times New Roman" w:cs="Times New Roman" w:eastAsia="Times New Roman" w:hAnsi="Times New Roman"/>
                <w:sz w:val="18"/>
                <w:szCs w:val="18"/>
                <w:b w:val="1"/>
                <w:bCs w:val="1"/>
                <w:color w:val="auto"/>
              </w:rPr>
              <w:t>001-40958</w:t>
            </w:r>
          </w:p>
        </w:tc>
        <w:tc>
          <w:tcPr>
            <w:tcW w:w="900" w:type="dxa"/>
            <w:vAlign w:val="bottom"/>
          </w:tcPr>
          <w:p>
            <w:pPr>
              <w:spacing w:after="0"/>
              <w:rPr>
                <w:sz w:val="20"/>
                <w:szCs w:val="20"/>
                <w:color w:val="auto"/>
              </w:rPr>
            </w:pP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8"/>
                <w:szCs w:val="18"/>
                <w:b w:val="1"/>
                <w:bCs w:val="1"/>
                <w:color w:val="auto"/>
                <w:w w:val="98"/>
              </w:rPr>
              <w:t>80-0376379</w:t>
            </w:r>
          </w:p>
        </w:tc>
      </w:tr>
      <w:tr>
        <w:trPr>
          <w:trHeight w:val="164"/>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(State or other jurisdiction</w:t>
            </w:r>
          </w:p>
        </w:tc>
        <w:tc>
          <w:tcPr>
            <w:tcW w:w="880" w:type="dxa"/>
            <w:vAlign w:val="bottom"/>
          </w:tcPr>
          <w:p>
            <w:pPr>
              <w:spacing w:after="0"/>
              <w:rPr>
                <w:sz w:val="14"/>
                <w:szCs w:val="14"/>
                <w:color w:val="auto"/>
              </w:rPr>
            </w:pPr>
          </w:p>
        </w:tc>
        <w:tc>
          <w:tcPr>
            <w:tcW w:w="4720" w:type="dxa"/>
            <w:vAlign w:val="bottom"/>
            <w:gridSpan w:val="2"/>
          </w:tcPr>
          <w:p>
            <w:pPr>
              <w:ind w:left="1480"/>
              <w:spacing w:after="0"/>
              <w:rPr>
                <w:sz w:val="20"/>
                <w:szCs w:val="20"/>
                <w:color w:val="auto"/>
              </w:rPr>
            </w:pPr>
            <w:r>
              <w:rPr>
                <w:rFonts w:ascii="Times New Roman" w:cs="Times New Roman" w:eastAsia="Times New Roman" w:hAnsi="Times New Roman"/>
                <w:sz w:val="14"/>
                <w:szCs w:val="14"/>
                <w:b w:val="1"/>
                <w:bCs w:val="1"/>
                <w:color w:val="auto"/>
              </w:rPr>
              <w:t>(Commission</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(IRS Employer</w:t>
            </w:r>
          </w:p>
        </w:tc>
      </w:tr>
      <w:tr>
        <w:trPr>
          <w:trHeight w:val="190"/>
        </w:trPr>
        <w:tc>
          <w:tcPr>
            <w:tcW w:w="1840" w:type="dxa"/>
            <w:vAlign w:val="bottom"/>
          </w:tcPr>
          <w:p>
            <w:pPr>
              <w:jc w:val="center"/>
              <w:ind w:right="122"/>
              <w:spacing w:after="0"/>
              <w:rPr>
                <w:sz w:val="20"/>
                <w:szCs w:val="20"/>
                <w:color w:val="auto"/>
              </w:rPr>
            </w:pPr>
            <w:r>
              <w:rPr>
                <w:rFonts w:ascii="Times New Roman" w:cs="Times New Roman" w:eastAsia="Times New Roman" w:hAnsi="Times New Roman"/>
                <w:sz w:val="14"/>
                <w:szCs w:val="14"/>
                <w:b w:val="1"/>
                <w:bCs w:val="1"/>
                <w:color w:val="auto"/>
              </w:rPr>
              <w:t>of incorporation)</w:t>
            </w:r>
          </w:p>
        </w:tc>
        <w:tc>
          <w:tcPr>
            <w:tcW w:w="880" w:type="dxa"/>
            <w:vAlign w:val="bottom"/>
          </w:tcPr>
          <w:p>
            <w:pPr>
              <w:spacing w:after="0"/>
              <w:rPr>
                <w:sz w:val="16"/>
                <w:szCs w:val="16"/>
                <w:color w:val="auto"/>
              </w:rPr>
            </w:pPr>
          </w:p>
        </w:tc>
        <w:tc>
          <w:tcPr>
            <w:tcW w:w="4720" w:type="dxa"/>
            <w:vAlign w:val="bottom"/>
            <w:gridSpan w:val="2"/>
          </w:tcPr>
          <w:p>
            <w:pPr>
              <w:ind w:left="1460"/>
              <w:spacing w:after="0"/>
              <w:rPr>
                <w:sz w:val="20"/>
                <w:szCs w:val="20"/>
                <w:color w:val="auto"/>
              </w:rPr>
            </w:pPr>
            <w:r>
              <w:rPr>
                <w:rFonts w:ascii="Times New Roman" w:cs="Times New Roman" w:eastAsia="Times New Roman" w:hAnsi="Times New Roman"/>
                <w:sz w:val="14"/>
                <w:szCs w:val="14"/>
                <w:b w:val="1"/>
                <w:bCs w:val="1"/>
                <w:color w:val="auto"/>
              </w:rPr>
              <w:t>File Number)</w:t>
            </w:r>
          </w:p>
        </w:tc>
        <w:tc>
          <w:tcPr>
            <w:tcW w:w="1660" w:type="dxa"/>
            <w:vAlign w:val="bottom"/>
          </w:tcPr>
          <w:p>
            <w:pPr>
              <w:jc w:val="center"/>
              <w:ind w:left="162"/>
              <w:spacing w:after="0"/>
              <w:rPr>
                <w:sz w:val="20"/>
                <w:szCs w:val="20"/>
                <w:color w:val="auto"/>
              </w:rPr>
            </w:pPr>
            <w:r>
              <w:rPr>
                <w:rFonts w:ascii="Times New Roman" w:cs="Times New Roman" w:eastAsia="Times New Roman" w:hAnsi="Times New Roman"/>
                <w:sz w:val="14"/>
                <w:szCs w:val="14"/>
                <w:b w:val="1"/>
                <w:bCs w:val="1"/>
                <w:color w:val="auto"/>
              </w:rPr>
              <w:t>Identification Number)</w:t>
            </w:r>
          </w:p>
        </w:tc>
      </w:tr>
      <w:tr>
        <w:trPr>
          <w:trHeight w:val="406"/>
        </w:trPr>
        <w:tc>
          <w:tcPr>
            <w:tcW w:w="18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b w:val="1"/>
                <w:bCs w:val="1"/>
                <w:color w:val="auto"/>
                <w:w w:val="99"/>
              </w:rPr>
              <w:t>Rent the Runway, Inc.</w:t>
            </w:r>
          </w:p>
        </w:tc>
        <w:tc>
          <w:tcPr>
            <w:tcW w:w="1660" w:type="dxa"/>
            <w:vAlign w:val="bottom"/>
          </w:tcPr>
          <w:p>
            <w:pPr>
              <w:spacing w:after="0"/>
              <w:rPr>
                <w:sz w:val="24"/>
                <w:szCs w:val="24"/>
                <w:color w:val="auto"/>
              </w:rPr>
            </w:pPr>
          </w:p>
        </w:tc>
      </w:tr>
      <w:tr>
        <w:trPr>
          <w:trHeight w:val="203"/>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20"/>
              <w:spacing w:after="0" w:line="202" w:lineRule="exact"/>
              <w:rPr>
                <w:sz w:val="20"/>
                <w:szCs w:val="20"/>
                <w:color w:val="auto"/>
              </w:rPr>
            </w:pPr>
            <w:r>
              <w:rPr>
                <w:rFonts w:ascii="Times New Roman" w:cs="Times New Roman" w:eastAsia="Times New Roman" w:hAnsi="Times New Roman"/>
                <w:sz w:val="18"/>
                <w:szCs w:val="18"/>
                <w:b w:val="1"/>
                <w:bCs w:val="1"/>
                <w:color w:val="auto"/>
                <w:w w:val="99"/>
              </w:rPr>
              <w:t>10 Jay Street</w:t>
            </w:r>
          </w:p>
        </w:tc>
        <w:tc>
          <w:tcPr>
            <w:tcW w:w="1660" w:type="dxa"/>
            <w:vAlign w:val="bottom"/>
          </w:tcPr>
          <w:p>
            <w:pPr>
              <w:spacing w:after="0"/>
              <w:rPr>
                <w:sz w:val="17"/>
                <w:szCs w:val="17"/>
                <w:color w:val="auto"/>
              </w:rPr>
            </w:pPr>
          </w:p>
        </w:tc>
      </w:tr>
      <w:tr>
        <w:trPr>
          <w:trHeight w:val="200"/>
        </w:trPr>
        <w:tc>
          <w:tcPr>
            <w:tcW w:w="18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4720" w:type="dxa"/>
            <w:vAlign w:val="bottom"/>
            <w:gridSpan w:val="2"/>
          </w:tcPr>
          <w:p>
            <w:pPr>
              <w:jc w:val="center"/>
              <w:ind w:right="900"/>
              <w:spacing w:after="0" w:line="201" w:lineRule="exact"/>
              <w:rPr>
                <w:sz w:val="20"/>
                <w:szCs w:val="20"/>
                <w:color w:val="auto"/>
              </w:rPr>
            </w:pPr>
            <w:r>
              <w:rPr>
                <w:rFonts w:ascii="Times New Roman" w:cs="Times New Roman" w:eastAsia="Times New Roman" w:hAnsi="Times New Roman"/>
                <w:sz w:val="18"/>
                <w:szCs w:val="18"/>
                <w:b w:val="1"/>
                <w:bCs w:val="1"/>
                <w:color w:val="auto"/>
                <w:w w:val="98"/>
              </w:rPr>
              <w:t>Brooklyn, New York 11201</w:t>
            </w:r>
          </w:p>
        </w:tc>
        <w:tc>
          <w:tcPr>
            <w:tcW w:w="1660" w:type="dxa"/>
            <w:vAlign w:val="bottom"/>
          </w:tcPr>
          <w:p>
            <w:pPr>
              <w:spacing w:after="0"/>
              <w:rPr>
                <w:sz w:val="17"/>
                <w:szCs w:val="17"/>
                <w:color w:val="auto"/>
              </w:rPr>
            </w:pPr>
          </w:p>
        </w:tc>
      </w:tr>
      <w:tr>
        <w:trPr>
          <w:trHeight w:val="190"/>
        </w:trPr>
        <w:tc>
          <w:tcPr>
            <w:tcW w:w="18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4720" w:type="dxa"/>
            <w:vAlign w:val="bottom"/>
            <w:gridSpan w:val="2"/>
          </w:tcPr>
          <w:p>
            <w:pPr>
              <w:jc w:val="center"/>
              <w:ind w:right="920"/>
              <w:spacing w:after="0"/>
              <w:rPr>
                <w:sz w:val="20"/>
                <w:szCs w:val="20"/>
                <w:color w:val="auto"/>
              </w:rPr>
            </w:pPr>
            <w:r>
              <w:rPr>
                <w:rFonts w:ascii="Times New Roman" w:cs="Times New Roman" w:eastAsia="Times New Roman" w:hAnsi="Times New Roman"/>
                <w:sz w:val="14"/>
                <w:szCs w:val="14"/>
                <w:b w:val="1"/>
                <w:bCs w:val="1"/>
                <w:color w:val="auto"/>
              </w:rPr>
              <w:t>(Address of principal executive offices, including Zip Code)</w:t>
            </w:r>
          </w:p>
        </w:tc>
        <w:tc>
          <w:tcPr>
            <w:tcW w:w="1660" w:type="dxa"/>
            <w:vAlign w:val="bottom"/>
          </w:tcPr>
          <w:p>
            <w:pPr>
              <w:spacing w:after="0"/>
              <w:rPr>
                <w:sz w:val="16"/>
                <w:szCs w:val="16"/>
                <w:color w:val="auto"/>
              </w:rPr>
            </w:pPr>
          </w:p>
        </w:tc>
      </w:tr>
      <w:tr>
        <w:trPr>
          <w:trHeight w:val="320"/>
        </w:trPr>
        <w:tc>
          <w:tcPr>
            <w:tcW w:w="1840" w:type="dxa"/>
            <w:vAlign w:val="bottom"/>
          </w:tcPr>
          <w:p>
            <w:pPr>
              <w:spacing w:after="0"/>
              <w:rPr>
                <w:sz w:val="24"/>
                <w:szCs w:val="24"/>
                <w:color w:val="auto"/>
              </w:rPr>
            </w:pPr>
          </w:p>
        </w:tc>
        <w:tc>
          <w:tcPr>
            <w:tcW w:w="5600" w:type="dxa"/>
            <w:vAlign w:val="bottom"/>
            <w:gridSpan w:val="3"/>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Registrant’s telephone number, including area code: (212) 524-6860</w:t>
            </w:r>
          </w:p>
        </w:tc>
        <w:tc>
          <w:tcPr>
            <w:tcW w:w="1660" w:type="dxa"/>
            <w:vAlign w:val="bottom"/>
          </w:tcPr>
          <w:p>
            <w:pPr>
              <w:spacing w:after="0"/>
              <w:rPr>
                <w:sz w:val="24"/>
                <w:szCs w:val="24"/>
                <w:color w:val="auto"/>
              </w:rPr>
            </w:pPr>
          </w:p>
        </w:tc>
      </w:tr>
      <w:tr>
        <w:trPr>
          <w:trHeight w:val="68"/>
        </w:trPr>
        <w:tc>
          <w:tcPr>
            <w:tcW w:w="1840" w:type="dxa"/>
            <w:vAlign w:val="bottom"/>
          </w:tcPr>
          <w:p>
            <w:pPr>
              <w:spacing w:after="0"/>
              <w:rPr>
                <w:sz w:val="5"/>
                <w:szCs w:val="5"/>
                <w:color w:val="auto"/>
              </w:rPr>
            </w:pPr>
          </w:p>
        </w:tc>
        <w:tc>
          <w:tcPr>
            <w:tcW w:w="880" w:type="dxa"/>
            <w:vAlign w:val="bottom"/>
          </w:tcPr>
          <w:p>
            <w:pPr>
              <w:spacing w:after="0"/>
              <w:rPr>
                <w:sz w:val="5"/>
                <w:szCs w:val="5"/>
                <w:color w:val="auto"/>
              </w:rPr>
            </w:pPr>
          </w:p>
        </w:tc>
        <w:tc>
          <w:tcPr>
            <w:tcW w:w="3820" w:type="dxa"/>
            <w:vAlign w:val="bottom"/>
            <w:tcBorders>
              <w:bottom w:val="single" w:sz="8" w:color="auto"/>
            </w:tcBorders>
          </w:tcPr>
          <w:p>
            <w:pPr>
              <w:spacing w:after="0"/>
              <w:rPr>
                <w:sz w:val="5"/>
                <w:szCs w:val="5"/>
                <w:color w:val="auto"/>
              </w:rPr>
            </w:pPr>
          </w:p>
        </w:tc>
        <w:tc>
          <w:tcPr>
            <w:tcW w:w="900" w:type="dxa"/>
            <w:vAlign w:val="bottom"/>
          </w:tcPr>
          <w:p>
            <w:pPr>
              <w:spacing w:after="0"/>
              <w:rPr>
                <w:sz w:val="5"/>
                <w:szCs w:val="5"/>
                <w:color w:val="auto"/>
              </w:rPr>
            </w:pPr>
          </w:p>
        </w:tc>
        <w:tc>
          <w:tcPr>
            <w:tcW w:w="1660" w:type="dxa"/>
            <w:vAlign w:val="bottom"/>
          </w:tcPr>
          <w:p>
            <w:pPr>
              <w:spacing w:after="0"/>
              <w:rPr>
                <w:sz w:val="5"/>
                <w:szCs w:val="5"/>
                <w:color w:val="auto"/>
              </w:rPr>
            </w:pPr>
          </w:p>
        </w:tc>
      </w:tr>
    </w:tbl>
    <w:p>
      <w:pPr>
        <w:spacing w:after="0" w:line="184" w:lineRule="exact"/>
        <w:rPr>
          <w:sz w:val="24"/>
          <w:szCs w:val="24"/>
          <w:color w:val="auto"/>
        </w:rPr>
      </w:pPr>
    </w:p>
    <w:p>
      <w:pPr>
        <w:ind w:right="680"/>
        <w:spacing w:after="0" w:line="266"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08" w:lineRule="exact"/>
        <w:rPr>
          <w:sz w:val="24"/>
          <w:szCs w:val="24"/>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38"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52" w:lineRule="exact"/>
        <w:rPr>
          <w:rFonts w:ascii="MS PGothic" w:cs="MS PGothic" w:eastAsia="MS PGothic" w:hAnsi="MS PGothic"/>
          <w:sz w:val="18"/>
          <w:szCs w:val="18"/>
          <w:color w:val="auto"/>
        </w:rPr>
      </w:pPr>
    </w:p>
    <w:p>
      <w:pPr>
        <w:ind w:left="1060" w:hanging="397"/>
        <w:spacing w:after="0"/>
        <w:tabs>
          <w:tab w:leader="none" w:pos="106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w:t>
      </w:r>
    </w:p>
    <w:p>
      <w:pPr>
        <w:spacing w:after="0" w:line="21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Securities registered pursuant to Section 12(b) of the Act:</w:t>
      </w:r>
    </w:p>
    <w:p>
      <w:pPr>
        <w:spacing w:after="0" w:line="165" w:lineRule="exact"/>
        <w:rPr>
          <w:sz w:val="24"/>
          <w:szCs w:val="24"/>
          <w:color w:val="auto"/>
        </w:rPr>
      </w:pPr>
    </w:p>
    <w:tbl>
      <w:tblPr>
        <w:tblLayout w:type="fixed"/>
        <w:tblInd w:w="0" w:type="dxa"/>
        <w:tblCellMar>
          <w:top w:w="0" w:type="dxa"/>
          <w:left w:w="0" w:type="dxa"/>
          <w:bottom w:w="0" w:type="dxa"/>
          <w:right w:w="0" w:type="dxa"/>
        </w:tblCellMar>
      </w:tblPr>
      <w:tr>
        <w:trPr>
          <w:trHeight w:val="162"/>
        </w:trPr>
        <w:tc>
          <w:tcPr>
            <w:tcW w:w="37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3580" w:type="dxa"/>
            <w:vAlign w:val="bottom"/>
          </w:tcPr>
          <w:p>
            <w:pPr>
              <w:spacing w:after="0"/>
              <w:rPr>
                <w:sz w:val="14"/>
                <w:szCs w:val="14"/>
                <w:color w:val="auto"/>
              </w:rPr>
            </w:pPr>
          </w:p>
        </w:tc>
      </w:tr>
      <w:tr>
        <w:trPr>
          <w:trHeight w:val="222"/>
        </w:trPr>
        <w:tc>
          <w:tcPr>
            <w:tcW w:w="394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3720" w:type="dxa"/>
            <w:vAlign w:val="bottom"/>
            <w:gridSpan w:val="2"/>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r>
      <w:tr>
        <w:trPr>
          <w:trHeight w:val="174"/>
        </w:trPr>
        <w:tc>
          <w:tcPr>
            <w:tcW w:w="37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Class A common stock, $0.001 par value per</w:t>
            </w:r>
          </w:p>
        </w:tc>
        <w:tc>
          <w:tcPr>
            <w:tcW w:w="16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w w:val="99"/>
              </w:rPr>
              <w:t>RENT</w:t>
            </w:r>
          </w:p>
        </w:tc>
        <w:tc>
          <w:tcPr>
            <w:tcW w:w="140" w:type="dxa"/>
            <w:vAlign w:val="bottom"/>
          </w:tcPr>
          <w:p>
            <w:pPr>
              <w:spacing w:after="0"/>
              <w:rPr>
                <w:sz w:val="15"/>
                <w:szCs w:val="15"/>
                <w:color w:val="auto"/>
              </w:rPr>
            </w:pPr>
          </w:p>
        </w:tc>
        <w:tc>
          <w:tcPr>
            <w:tcW w:w="3580" w:type="dxa"/>
            <w:vAlign w:val="bottom"/>
            <w:tcBorders>
              <w:top w:val="single" w:sz="8" w:color="auto"/>
            </w:tcBorders>
          </w:tcPr>
          <w:p>
            <w:pPr>
              <w:jc w:val="center"/>
              <w:spacing w:after="0" w:line="174" w:lineRule="exact"/>
              <w:rPr>
                <w:sz w:val="20"/>
                <w:szCs w:val="20"/>
                <w:color w:val="auto"/>
              </w:rPr>
            </w:pPr>
            <w:r>
              <w:rPr>
                <w:rFonts w:ascii="Times New Roman" w:cs="Times New Roman" w:eastAsia="Times New Roman" w:hAnsi="Times New Roman"/>
                <w:sz w:val="18"/>
                <w:szCs w:val="18"/>
                <w:b w:val="1"/>
                <w:bCs w:val="1"/>
                <w:color w:val="auto"/>
              </w:rPr>
              <w:t>The Nasdaq Global Select Market</w:t>
            </w:r>
          </w:p>
        </w:tc>
      </w:tr>
      <w:tr>
        <w:trPr>
          <w:trHeight w:val="238"/>
        </w:trPr>
        <w:tc>
          <w:tcPr>
            <w:tcW w:w="3940" w:type="dxa"/>
            <w:vAlign w:val="bottom"/>
            <w:gridSpan w:val="2"/>
          </w:tcPr>
          <w:p>
            <w:pPr>
              <w:jc w:val="center"/>
              <w:ind w:right="160"/>
              <w:spacing w:after="0"/>
              <w:rPr>
                <w:sz w:val="20"/>
                <w:szCs w:val="20"/>
                <w:color w:val="auto"/>
              </w:rPr>
            </w:pPr>
            <w:r>
              <w:rPr>
                <w:rFonts w:ascii="Times New Roman" w:cs="Times New Roman" w:eastAsia="Times New Roman" w:hAnsi="Times New Roman"/>
                <w:sz w:val="18"/>
                <w:szCs w:val="18"/>
                <w:b w:val="1"/>
                <w:bCs w:val="1"/>
                <w:color w:val="auto"/>
                <w:w w:val="99"/>
              </w:rPr>
              <w:t>share</w:t>
            </w:r>
          </w:p>
        </w:tc>
        <w:tc>
          <w:tcPr>
            <w:tcW w:w="35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580" w:type="dxa"/>
            <w:vAlign w:val="bottom"/>
          </w:tcPr>
          <w:p>
            <w:pPr>
              <w:spacing w:after="0"/>
              <w:rPr>
                <w:sz w:val="20"/>
                <w:szCs w:val="20"/>
                <w:color w:val="auto"/>
              </w:rPr>
            </w:pPr>
          </w:p>
        </w:tc>
      </w:tr>
    </w:tbl>
    <w:p>
      <w:pPr>
        <w:spacing w:after="0" w:line="162" w:lineRule="exact"/>
        <w:rPr>
          <w:sz w:val="24"/>
          <w:szCs w:val="24"/>
          <w:color w:val="auto"/>
        </w:rPr>
      </w:pPr>
    </w:p>
    <w:p>
      <w:pPr>
        <w:ind w:right="52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26" w:lineRule="exact"/>
        <w:rPr>
          <w:sz w:val="24"/>
          <w:szCs w:val="24"/>
          <w:color w:val="auto"/>
        </w:rPr>
      </w:pPr>
    </w:p>
    <w:p>
      <w:pPr>
        <w:spacing w:after="0" w:line="207" w:lineRule="exact"/>
        <w:tabs>
          <w:tab w:leader="none" w:pos="2080" w:val="left"/>
        </w:tabs>
        <w:rPr>
          <w:sz w:val="20"/>
          <w:szCs w:val="20"/>
          <w:color w:val="auto"/>
        </w:rPr>
      </w:pPr>
      <w:r>
        <w:rPr>
          <w:rFonts w:ascii="Times New Roman" w:cs="Times New Roman" w:eastAsia="Times New Roman" w:hAnsi="Times New Roman"/>
          <w:sz w:val="18"/>
          <w:szCs w:val="18"/>
          <w:color w:val="auto"/>
        </w:rPr>
        <w:t>Emerging growth company</w:t>
      </w:r>
      <w:r>
        <w:rPr>
          <w:sz w:val="20"/>
          <w:szCs w:val="20"/>
          <w:color w:val="auto"/>
        </w:rPr>
        <w:tab/>
      </w:r>
      <w:r>
        <w:rPr>
          <w:rFonts w:ascii="MS PGothic" w:cs="MS PGothic" w:eastAsia="MS PGothic" w:hAnsi="MS PGothic"/>
          <w:sz w:val="16"/>
          <w:szCs w:val="16"/>
          <w:color w:val="auto"/>
        </w:rPr>
        <w:t>☒</w:t>
      </w:r>
    </w:p>
    <w:p>
      <w:pPr>
        <w:spacing w:after="0" w:line="132" w:lineRule="exact"/>
        <w:rPr>
          <w:sz w:val="24"/>
          <w:szCs w:val="24"/>
          <w:color w:val="auto"/>
        </w:rPr>
      </w:pPr>
    </w:p>
    <w:p>
      <w:pPr>
        <w:ind w:right="160"/>
        <w:spacing w:after="0" w:line="228"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892810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288290</wp:posOffset>
            </wp:positionV>
            <wp:extent cx="71323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125095</wp:posOffset>
            </wp:positionV>
            <wp:extent cx="71323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1105" w:right="339" w:bottom="1440" w:gutter="0" w:footer="0" w:header="0"/>
        </w:sectPr>
      </w:pPr>
    </w:p>
    <w:bookmarkStart w:id="1" w:name="page2"/>
    <w:bookmarkEnd w:id="1"/>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2.02</w:t>
      </w:r>
      <w:r>
        <w:rPr>
          <w:sz w:val="20"/>
          <w:szCs w:val="20"/>
          <w:color w:val="auto"/>
        </w:rPr>
        <w:tab/>
      </w:r>
      <w:r>
        <w:rPr>
          <w:rFonts w:ascii="Times New Roman" w:cs="Times New Roman" w:eastAsia="Times New Roman" w:hAnsi="Times New Roman"/>
          <w:sz w:val="17"/>
          <w:szCs w:val="17"/>
          <w:b w:val="1"/>
          <w:bCs w:val="1"/>
          <w:color w:val="auto"/>
        </w:rPr>
        <w:t>Results of Operations and Financial Condition.</w:t>
      </w:r>
    </w:p>
    <w:p>
      <w:pPr>
        <w:spacing w:after="0" w:line="216" w:lineRule="exact"/>
        <w:rPr>
          <w:sz w:val="20"/>
          <w:szCs w:val="20"/>
          <w:color w:val="auto"/>
        </w:rPr>
      </w:pPr>
    </w:p>
    <w:p>
      <w:pPr>
        <w:ind w:right="260"/>
        <w:spacing w:after="0" w:line="266" w:lineRule="auto"/>
        <w:rPr>
          <w:sz w:val="20"/>
          <w:szCs w:val="20"/>
          <w:color w:val="auto"/>
        </w:rPr>
      </w:pPr>
      <w:r>
        <w:rPr>
          <w:rFonts w:ascii="Times New Roman" w:cs="Times New Roman" w:eastAsia="Times New Roman" w:hAnsi="Times New Roman"/>
          <w:sz w:val="18"/>
          <w:szCs w:val="18"/>
          <w:color w:val="auto"/>
        </w:rPr>
        <w:t>On April 13, 2022, Rent the Runway, Inc. (the “Company”) issued a press release announcing its financial results for the quarter and year ended January 31, 2022. A copy of the press release is furnished as Exhibit 99.1 to this Form 8-K and is incorporated by reference.</w:t>
      </w:r>
    </w:p>
    <w:p>
      <w:pPr>
        <w:spacing w:after="0" w:line="189" w:lineRule="exact"/>
        <w:rPr>
          <w:sz w:val="20"/>
          <w:szCs w:val="20"/>
          <w:color w:val="auto"/>
        </w:rPr>
      </w:pPr>
    </w:p>
    <w:p>
      <w:pPr>
        <w:ind w:right="80"/>
        <w:spacing w:after="0" w:line="264" w:lineRule="auto"/>
        <w:rPr>
          <w:sz w:val="20"/>
          <w:szCs w:val="20"/>
          <w:color w:val="auto"/>
        </w:rPr>
      </w:pPr>
      <w:r>
        <w:rPr>
          <w:rFonts w:ascii="Times New Roman" w:cs="Times New Roman" w:eastAsia="Times New Roman" w:hAnsi="Times New Roman"/>
          <w:sz w:val="18"/>
          <w:szCs w:val="18"/>
          <w:color w:val="auto"/>
        </w:rPr>
        <w:t>Information in Exhibit 99.1 of this Form 8-K shall not be deemed “filed” for the purposes of Section 18 of the Securities Exchange Act of 1934, as amended (the “Exchange Act”), or otherwise incorporated by reference into any filing pursuant to the Securities Act of 1933, as amended, or the Exchange Act, except as otherwise expressly stated in such filing.</w:t>
      </w:r>
    </w:p>
    <w:p>
      <w:pPr>
        <w:spacing w:after="0" w:line="1" w:lineRule="exact"/>
        <w:rPr>
          <w:sz w:val="20"/>
          <w:szCs w:val="20"/>
          <w:color w:val="auto"/>
        </w:rPr>
      </w:pPr>
    </w:p>
    <w:p>
      <w:pPr>
        <w:ind w:left="20"/>
        <w:spacing w:after="0"/>
        <w:tabs>
          <w:tab w:leader="none" w:pos="114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7"/>
          <w:szCs w:val="17"/>
          <w:b w:val="1"/>
          <w:bCs w:val="1"/>
          <w:color w:val="auto"/>
        </w:rPr>
        <w:t>Financial Statements and Exhibits.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 Exhibits.</w:t>
      </w:r>
    </w:p>
    <w:p>
      <w:pPr>
        <w:spacing w:after="0" w:line="273"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60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Exhibit No.</w:t>
            </w:r>
          </w:p>
        </w:tc>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6000" w:type="dxa"/>
            <w:vAlign w:val="bottom"/>
            <w:gridSpan w:val="2"/>
          </w:tcPr>
          <w:p>
            <w:pPr>
              <w:ind w:left="820"/>
              <w:spacing w:after="0"/>
              <w:rPr>
                <w:sz w:val="20"/>
                <w:szCs w:val="20"/>
                <w:color w:val="auto"/>
              </w:rPr>
            </w:pPr>
            <w:r>
              <w:rPr>
                <w:rFonts w:ascii="Times New Roman" w:cs="Times New Roman" w:eastAsia="Times New Roman" w:hAnsi="Times New Roman"/>
                <w:sz w:val="14"/>
                <w:szCs w:val="14"/>
                <w:b w:val="1"/>
                <w:bCs w:val="1"/>
                <w:color w:val="auto"/>
              </w:rPr>
              <w:t>Description</w:t>
            </w:r>
          </w:p>
        </w:tc>
      </w:tr>
      <w:tr>
        <w:trPr>
          <w:trHeight w:val="255"/>
        </w:trPr>
        <w:tc>
          <w:tcPr>
            <w:tcW w:w="96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8"/>
                <w:szCs w:val="18"/>
                <w:color w:val="auto"/>
              </w:rPr>
              <w:t>99.1</w:t>
            </w:r>
          </w:p>
        </w:tc>
        <w:tc>
          <w:tcPr>
            <w:tcW w:w="640" w:type="dxa"/>
            <w:vAlign w:val="bottom"/>
          </w:tcPr>
          <w:p>
            <w:pPr>
              <w:spacing w:after="0"/>
              <w:rPr>
                <w:sz w:val="22"/>
                <w:szCs w:val="22"/>
                <w:color w:val="auto"/>
              </w:rPr>
            </w:pPr>
          </w:p>
        </w:tc>
        <w:tc>
          <w:tcPr>
            <w:tcW w:w="20" w:type="dxa"/>
            <w:vAlign w:val="bottom"/>
            <w:tcBorders>
              <w:top w:val="single" w:sz="8" w:color="auto"/>
            </w:tcBorders>
          </w:tcPr>
          <w:p>
            <w:pPr>
              <w:spacing w:after="0"/>
              <w:rPr>
                <w:sz w:val="22"/>
                <w:szCs w:val="22"/>
                <w:color w:val="auto"/>
              </w:rPr>
            </w:pPr>
          </w:p>
        </w:tc>
        <w:tc>
          <w:tcPr>
            <w:tcW w:w="4720" w:type="dxa"/>
            <w:vAlign w:val="bottom"/>
            <w:tcBorders>
              <w:top w:val="single" w:sz="8" w:color="auto"/>
              <w:bottom w:val="single" w:sz="8" w:color="0000FF"/>
            </w:tcBorders>
            <w:gridSpan w:val="2"/>
          </w:tcPr>
          <w:p>
            <w:pPr>
              <w:spacing w:after="0"/>
              <w:rPr>
                <w:rFonts w:ascii="Times New Roman" w:cs="Times New Roman" w:eastAsia="Times New Roman" w:hAnsi="Times New Roman"/>
                <w:sz w:val="18"/>
                <w:szCs w:val="18"/>
                <w:color w:val="0000FF"/>
                <w:w w:val="99"/>
              </w:rPr>
            </w:pPr>
            <w:hyperlink w:anchor="page4">
              <w:r>
                <w:rPr>
                  <w:rFonts w:ascii="Times New Roman" w:cs="Times New Roman" w:eastAsia="Times New Roman" w:hAnsi="Times New Roman"/>
                  <w:sz w:val="18"/>
                  <w:szCs w:val="18"/>
                  <w:color w:val="0000FF"/>
                  <w:w w:val="99"/>
                </w:rPr>
                <w:t>Press Release issued by Rent the Runway, Inc. on April 13, 2022.</w:t>
              </w:r>
            </w:hyperlink>
          </w:p>
        </w:tc>
        <w:tc>
          <w:tcPr>
            <w:tcW w:w="4900" w:type="dxa"/>
            <w:vAlign w:val="bottom"/>
            <w:tcBorders>
              <w:top w:val="single" w:sz="8" w:color="auto"/>
            </w:tcBorders>
          </w:tcPr>
          <w:p>
            <w:pPr>
              <w:spacing w:after="0"/>
              <w:rPr>
                <w:sz w:val="22"/>
                <w:szCs w:val="22"/>
                <w:color w:val="auto"/>
              </w:rPr>
            </w:pPr>
          </w:p>
        </w:tc>
      </w:tr>
      <w:tr>
        <w:trPr>
          <w:trHeight w:val="331"/>
        </w:trPr>
        <w:tc>
          <w:tcPr>
            <w:tcW w:w="9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104</w:t>
            </w:r>
          </w:p>
        </w:tc>
        <w:tc>
          <w:tcPr>
            <w:tcW w:w="6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62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Cover Page Interactive Data File - the cover page XBRL tags are embedded within the Inline XBRL document</w:t>
            </w:r>
          </w:p>
        </w:tc>
      </w:tr>
      <w:tr>
        <w:trPr>
          <w:trHeight w:val="2464"/>
        </w:trPr>
        <w:tc>
          <w:tcPr>
            <w:tcW w:w="960" w:type="dxa"/>
            <w:vAlign w:val="bottom"/>
            <w:tcBorders>
              <w:bottom w:val="single" w:sz="8" w:color="9A9A9A"/>
            </w:tcBorders>
          </w:tcPr>
          <w:p>
            <w:pPr>
              <w:spacing w:after="0"/>
              <w:rPr>
                <w:sz w:val="24"/>
                <w:szCs w:val="24"/>
                <w:color w:val="auto"/>
              </w:rPr>
            </w:pPr>
          </w:p>
        </w:tc>
        <w:tc>
          <w:tcPr>
            <w:tcW w:w="640" w:type="dxa"/>
            <w:vAlign w:val="bottom"/>
            <w:tcBorders>
              <w:bottom w:val="single" w:sz="8" w:color="9A9A9A"/>
            </w:tcBorders>
          </w:tcPr>
          <w:p>
            <w:pPr>
              <w:spacing w:after="0"/>
              <w:rPr>
                <w:sz w:val="24"/>
                <w:szCs w:val="24"/>
                <w:color w:val="auto"/>
              </w:rPr>
            </w:pPr>
          </w:p>
        </w:tc>
        <w:tc>
          <w:tcPr>
            <w:tcW w:w="20" w:type="dxa"/>
            <w:vAlign w:val="bottom"/>
            <w:tcBorders>
              <w:bottom w:val="single" w:sz="8" w:color="9A9A9A"/>
            </w:tcBorders>
          </w:tcPr>
          <w:p>
            <w:pPr>
              <w:spacing w:after="0"/>
              <w:rPr>
                <w:sz w:val="24"/>
                <w:szCs w:val="24"/>
                <w:color w:val="auto"/>
              </w:rPr>
            </w:pPr>
          </w:p>
        </w:tc>
        <w:tc>
          <w:tcPr>
            <w:tcW w:w="3620" w:type="dxa"/>
            <w:vAlign w:val="bottom"/>
            <w:tcBorders>
              <w:bottom w:val="single" w:sz="8" w:color="9A9A9A"/>
            </w:tcBorders>
          </w:tcPr>
          <w:p>
            <w:pPr>
              <w:spacing w:after="0"/>
              <w:rPr>
                <w:sz w:val="24"/>
                <w:szCs w:val="24"/>
                <w:color w:val="auto"/>
              </w:rPr>
            </w:pPr>
          </w:p>
        </w:tc>
        <w:tc>
          <w:tcPr>
            <w:tcW w:w="1100" w:type="dxa"/>
            <w:vAlign w:val="bottom"/>
            <w:tcBorders>
              <w:bottom w:val="single" w:sz="8" w:color="9A9A9A"/>
            </w:tcBorders>
          </w:tcPr>
          <w:p>
            <w:pPr>
              <w:spacing w:after="0"/>
              <w:rPr>
                <w:sz w:val="24"/>
                <w:szCs w:val="24"/>
                <w:color w:val="auto"/>
              </w:rPr>
            </w:pPr>
          </w:p>
        </w:tc>
        <w:tc>
          <w:tcPr>
            <w:tcW w:w="490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06" w:right="339" w:bottom="1440" w:gutter="0" w:footer="0" w:header="0"/>
        </w:sectPr>
      </w:pPr>
    </w:p>
    <w:bookmarkStart w:id="2" w:name="page3"/>
    <w:bookmarkEnd w:id="2"/>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ind w:firstLine="441"/>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26" w:lineRule="exact"/>
        <w:rPr>
          <w:sz w:val="20"/>
          <w:szCs w:val="20"/>
          <w:color w:val="auto"/>
        </w:rPr>
      </w:pPr>
    </w:p>
    <w:p>
      <w:pPr>
        <w:ind w:left="5580"/>
        <w:spacing w:after="0"/>
        <w:rPr>
          <w:sz w:val="20"/>
          <w:szCs w:val="20"/>
          <w:color w:val="auto"/>
        </w:rPr>
      </w:pPr>
      <w:r>
        <w:rPr>
          <w:rFonts w:ascii="Times New Roman" w:cs="Times New Roman" w:eastAsia="Times New Roman" w:hAnsi="Times New Roman"/>
          <w:sz w:val="18"/>
          <w:szCs w:val="18"/>
          <w:b w:val="1"/>
          <w:bCs w:val="1"/>
          <w:color w:val="auto"/>
        </w:rPr>
        <w:t>RENT THE RUNWAY, INC.</w:t>
      </w:r>
    </w:p>
    <w:p>
      <w:pPr>
        <w:spacing w:after="0" w:line="135" w:lineRule="exact"/>
        <w:rPr>
          <w:sz w:val="20"/>
          <w:szCs w:val="20"/>
          <w:color w:val="auto"/>
        </w:rPr>
      </w:pPr>
    </w:p>
    <w:p>
      <w:pPr>
        <w:ind w:left="440"/>
        <w:spacing w:after="0"/>
        <w:tabs>
          <w:tab w:leader="none" w:pos="5560" w:val="left"/>
          <w:tab w:leader="none" w:pos="6180" w:val="left"/>
        </w:tabs>
        <w:rPr>
          <w:sz w:val="20"/>
          <w:szCs w:val="20"/>
          <w:color w:val="auto"/>
        </w:rPr>
      </w:pPr>
      <w:r>
        <w:rPr>
          <w:rFonts w:ascii="Times New Roman" w:cs="Times New Roman" w:eastAsia="Times New Roman" w:hAnsi="Times New Roman"/>
          <w:sz w:val="18"/>
          <w:szCs w:val="18"/>
          <w:color w:val="auto"/>
        </w:rPr>
        <w:t>Date: April 13,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Scarlett O’Sullivan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17145</wp:posOffset>
            </wp:positionV>
            <wp:extent cx="31889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188970" cy="8890"/>
                    </a:xfrm>
                    <a:prstGeom prst="rect">
                      <a:avLst/>
                    </a:prstGeom>
                    <a:noFill/>
                  </pic:spPr>
                </pic:pic>
              </a:graphicData>
            </a:graphic>
          </wp:anchor>
        </w:drawing>
      </w:r>
    </w:p>
    <w:p>
      <w:pPr>
        <w:spacing w:after="0" w:line="30"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Scarlett O’Sullivan</w:t>
      </w:r>
    </w:p>
    <w:p>
      <w:pPr>
        <w:spacing w:after="0" w:line="16" w:lineRule="exact"/>
        <w:rPr>
          <w:sz w:val="20"/>
          <w:szCs w:val="20"/>
          <w:color w:val="auto"/>
        </w:rPr>
      </w:pPr>
    </w:p>
    <w:p>
      <w:pPr>
        <w:ind w:left="6200"/>
        <w:spacing w:after="0"/>
        <w:rPr>
          <w:sz w:val="20"/>
          <w:szCs w:val="20"/>
          <w:color w:val="auto"/>
        </w:rPr>
      </w:pPr>
      <w:r>
        <w:rPr>
          <w:rFonts w:ascii="Times New Roman" w:cs="Times New Roman" w:eastAsia="Times New Roman" w:hAnsi="Times New Roman"/>
          <w:sz w:val="18"/>
          <w:szCs w:val="18"/>
          <w:color w:val="auto"/>
        </w:rPr>
        <w:t>Chief Financial Officer</w:t>
      </w:r>
    </w:p>
    <w:p>
      <w:pPr>
        <w:sectPr>
          <w:pgSz w:w="11900" w:h="16838" w:orient="portrait"/>
          <w:cols w:equalWidth="0" w:num="1">
            <w:col w:w="11160"/>
          </w:cols>
          <w:pgMar w:left="320" w:top="765" w:right="419" w:bottom="1440" w:gutter="0" w:footer="0" w:header="0"/>
        </w:sectPr>
      </w:pPr>
    </w:p>
    <w:bookmarkStart w:id="3" w:name="page4"/>
    <w:bookmarkEnd w:id="3"/>
    <w:p>
      <w:pPr>
        <w:jc w:val="right"/>
        <w:spacing w:after="0"/>
        <w:rPr>
          <w:sz w:val="20"/>
          <w:szCs w:val="20"/>
          <w:color w:val="auto"/>
        </w:rPr>
      </w:pPr>
      <w:r>
        <w:rPr>
          <w:rFonts w:ascii="Arial" w:cs="Arial" w:eastAsia="Arial" w:hAnsi="Arial"/>
          <w:sz w:val="20"/>
          <w:szCs w:val="20"/>
          <w:b w:val="1"/>
          <w:bCs w:val="1"/>
          <w:color w:val="auto"/>
        </w:rPr>
        <w:t>Exhibit 99.1</w:t>
      </w:r>
    </w:p>
    <w:p>
      <w:pPr>
        <w:spacing w:after="0" w:line="273" w:lineRule="exact"/>
        <w:rPr>
          <w:sz w:val="20"/>
          <w:szCs w:val="20"/>
          <w:color w:val="auto"/>
        </w:rPr>
      </w:pPr>
    </w:p>
    <w:p>
      <w:pPr>
        <w:jc w:val="center"/>
        <w:spacing w:after="0"/>
        <w:rPr>
          <w:sz w:val="20"/>
          <w:szCs w:val="20"/>
          <w:color w:val="auto"/>
        </w:rPr>
      </w:pPr>
      <w:r>
        <w:rPr>
          <w:rFonts w:ascii="Arial" w:cs="Arial" w:eastAsia="Arial" w:hAnsi="Arial"/>
          <w:sz w:val="23"/>
          <w:szCs w:val="23"/>
          <w:b w:val="1"/>
          <w:bCs w:val="1"/>
          <w:color w:val="auto"/>
        </w:rPr>
        <w:t>Rent the Runway, Inc. Announces Fourth Quarter and Full Year 2021 Results</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Q4 2021 revenue up 91% year-over-year, showcases business resilience</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Ending Active Subscribers up 110% year-over-year</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Significant increase in Gross Margin to 34% in fiscal year 2021, from 10% in fiscal year 2020</w:t>
      </w: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9"/>
          <w:szCs w:val="19"/>
          <w:b w:val="1"/>
          <w:bCs w:val="1"/>
          <w:color w:val="auto"/>
        </w:rPr>
        <w:t>Strong Q1 2022 Ending Active Subscriber guidance and full year revenue outlook reflect powerful momentum and 2022</w:t>
      </w:r>
    </w:p>
    <w:p>
      <w:pPr>
        <w:spacing w:after="0" w:line="241"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events boom</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right="20"/>
        <w:spacing w:after="0" w:line="302" w:lineRule="auto"/>
        <w:rPr>
          <w:sz w:val="20"/>
          <w:szCs w:val="20"/>
          <w:color w:val="auto"/>
        </w:rPr>
      </w:pPr>
      <w:r>
        <w:rPr>
          <w:rFonts w:ascii="Arial" w:cs="Arial" w:eastAsia="Arial" w:hAnsi="Arial"/>
          <w:sz w:val="20"/>
          <w:szCs w:val="20"/>
          <w:b w:val="1"/>
          <w:bCs w:val="1"/>
          <w:color w:val="auto"/>
        </w:rPr>
        <w:t xml:space="preserve">New York (April 13, 2022) </w:t>
      </w:r>
      <w:r>
        <w:rPr>
          <w:rFonts w:ascii="Arial" w:cs="Arial" w:eastAsia="Arial" w:hAnsi="Arial"/>
          <w:sz w:val="20"/>
          <w:szCs w:val="20"/>
          <w:color w:val="auto"/>
        </w:rPr>
        <w:t>- Rent the Runway, Inc. (“Rent the Runway”) (NASDAQ: RENT), the world’s first and largest shared</w:t>
      </w:r>
      <w:r>
        <w:rPr>
          <w:rFonts w:ascii="Arial" w:cs="Arial" w:eastAsia="Arial" w:hAnsi="Arial"/>
          <w:sz w:val="20"/>
          <w:szCs w:val="20"/>
          <w:b w:val="1"/>
          <w:bCs w:val="1"/>
          <w:color w:val="auto"/>
        </w:rPr>
        <w:t xml:space="preserve"> </w:t>
      </w:r>
      <w:r>
        <w:rPr>
          <w:rFonts w:ascii="Arial" w:cs="Arial" w:eastAsia="Arial" w:hAnsi="Arial"/>
          <w:sz w:val="20"/>
          <w:szCs w:val="20"/>
          <w:color w:val="auto"/>
        </w:rPr>
        <w:t>designer closet platform, today reported financial results for the fiscal year 2021 ended January 31, 2022.</w:t>
      </w:r>
    </w:p>
    <w:p>
      <w:pPr>
        <w:spacing w:after="0" w:line="179" w:lineRule="exact"/>
        <w:rPr>
          <w:sz w:val="20"/>
          <w:szCs w:val="20"/>
          <w:color w:val="auto"/>
        </w:rPr>
      </w:pPr>
    </w:p>
    <w:p>
      <w:pPr>
        <w:jc w:val="both"/>
        <w:spacing w:after="0" w:line="273" w:lineRule="auto"/>
        <w:rPr>
          <w:sz w:val="20"/>
          <w:szCs w:val="20"/>
          <w:color w:val="auto"/>
        </w:rPr>
      </w:pPr>
      <w:r>
        <w:rPr>
          <w:rFonts w:ascii="Arial" w:cs="Arial" w:eastAsia="Arial" w:hAnsi="Arial"/>
          <w:sz w:val="20"/>
          <w:szCs w:val="20"/>
          <w:color w:val="auto"/>
        </w:rPr>
        <w:t>"I’m proud that the strategic initiatives we focused on in 2021 paid off. We improved the overall financial profile of Rent the Runway, making progress across all key financial metrics and demonstrating the resilience of the business during a year that was anything but normal," said Jennifer Hyman, CEO and Co-Founder of Rent the Runway. "Looking ahead, our strong Q1 2022 subscriber guidance and fiscal year 2022 revenue guidance reflect our ongoing confidence in the business as we continue to grow significantly with an eye towards profitability. We look forward to capitalizing on one of the strongest potential macro environments for rental we’ve seen in recent years, with an outsized pipeline of weddings and social occasions in 2022, return to work and a resurgence of general social activity.”</w:t>
      </w:r>
    </w:p>
    <w:p>
      <w:pPr>
        <w:spacing w:after="0" w:line="207" w:lineRule="exact"/>
        <w:rPr>
          <w:sz w:val="20"/>
          <w:szCs w:val="20"/>
          <w:color w:val="auto"/>
        </w:rPr>
      </w:pPr>
    </w:p>
    <w:p>
      <w:pPr>
        <w:jc w:val="both"/>
        <w:spacing w:after="0" w:line="275" w:lineRule="auto"/>
        <w:rPr>
          <w:sz w:val="20"/>
          <w:szCs w:val="20"/>
          <w:color w:val="auto"/>
        </w:rPr>
      </w:pPr>
      <w:r>
        <w:rPr>
          <w:rFonts w:ascii="Arial" w:cs="Arial" w:eastAsia="Arial" w:hAnsi="Arial"/>
          <w:sz w:val="20"/>
          <w:szCs w:val="20"/>
          <w:color w:val="auto"/>
        </w:rPr>
        <w:t>CFO Scarlett O’Sullivan stated, “We are also pleased with the strong progression of our gross margins, Adjusted EBITDA, and free cash flow margins throughout fiscal year 2021. This momentum continues to carry over into fiscal year 2022, where we are on track to achieve 77% year-over-year growth in Active Subscribers at the end of Q1’22. We plan 45%-50% YoY revenue growth in fiscal year 2022, and we reiterate our target of Adjusted EBITDA breakeven in the next 3-5 quarters, while making continued progress towards our top priority of free cash flow breakeven in the mid-term.”</w:t>
      </w:r>
    </w:p>
    <w:p>
      <w:pPr>
        <w:spacing w:after="0" w:line="200" w:lineRule="exact"/>
        <w:rPr>
          <w:sz w:val="20"/>
          <w:szCs w:val="20"/>
          <w:color w:val="auto"/>
        </w:rPr>
      </w:pPr>
    </w:p>
    <w:p>
      <w:pPr>
        <w:spacing w:after="0" w:line="24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Fourth Quarter 2021 Key Metrics and Financial Highlights</w:t>
      </w:r>
    </w:p>
    <w:p>
      <w:pPr>
        <w:spacing w:after="0" w:line="43" w:lineRule="exact"/>
        <w:rPr>
          <w:sz w:val="20"/>
          <w:szCs w:val="20"/>
          <w:color w:val="auto"/>
        </w:rPr>
      </w:pPr>
    </w:p>
    <w:p>
      <w:pPr>
        <w:ind w:left="480" w:hanging="310"/>
        <w:spacing w:after="0"/>
        <w:tabs>
          <w:tab w:leader="none" w:pos="480"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Revenue was $64.1 million, a 91% increase year-over-year from $33.5 million in the fourth quarter of fiscal year 2020.</w:t>
      </w:r>
    </w:p>
    <w:p>
      <w:pPr>
        <w:spacing w:after="0" w:line="26" w:lineRule="exact"/>
        <w:rPr>
          <w:rFonts w:ascii="Arial" w:cs="Arial" w:eastAsia="Arial" w:hAnsi="Arial"/>
          <w:sz w:val="20"/>
          <w:szCs w:val="20"/>
          <w:b w:val="1"/>
          <w:bCs w:val="1"/>
          <w:color w:val="auto"/>
        </w:rPr>
      </w:pPr>
    </w:p>
    <w:p>
      <w:pPr>
        <w:ind w:left="500" w:right="220" w:hanging="330"/>
        <w:spacing w:after="0" w:line="262"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115,240 ending Active Subscribers, representing an increase of 110% year-over-year from 54,797 at the end of the fiscal year 2020.</w:t>
      </w:r>
    </w:p>
    <w:p>
      <w:pPr>
        <w:ind w:left="500" w:right="420" w:hanging="330"/>
        <w:spacing w:after="0" w:line="267"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159,544 ending Total Subscribers, representing an increase of 68% year-over-year from 95,245 at the end of the fiscal year 2020.</w:t>
      </w:r>
    </w:p>
    <w:p>
      <w:pPr>
        <w:spacing w:after="0" w:line="1" w:lineRule="exact"/>
        <w:rPr>
          <w:rFonts w:ascii="Arial" w:cs="Arial" w:eastAsia="Arial" w:hAnsi="Arial"/>
          <w:sz w:val="20"/>
          <w:szCs w:val="20"/>
          <w:b w:val="1"/>
          <w:bCs w:val="1"/>
          <w:color w:val="auto"/>
        </w:rPr>
      </w:pPr>
    </w:p>
    <w:p>
      <w:pPr>
        <w:ind w:left="500" w:right="20" w:hanging="330"/>
        <w:spacing w:after="0" w:line="295" w:lineRule="auto"/>
        <w:tabs>
          <w:tab w:leader="none" w:pos="488" w:val="left"/>
        </w:tabs>
        <w:numPr>
          <w:ilvl w:val="0"/>
          <w:numId w:val="2"/>
        </w:numPr>
        <w:rPr>
          <w:rFonts w:ascii="Arial" w:cs="Arial" w:eastAsia="Arial" w:hAnsi="Arial"/>
          <w:sz w:val="20"/>
          <w:szCs w:val="20"/>
          <w:b w:val="1"/>
          <w:bCs w:val="1"/>
          <w:color w:val="auto"/>
        </w:rPr>
      </w:pPr>
      <w:r>
        <w:rPr>
          <w:rFonts w:ascii="Arial" w:cs="Arial" w:eastAsia="Arial" w:hAnsi="Arial"/>
          <w:sz w:val="20"/>
          <w:szCs w:val="20"/>
          <w:color w:val="auto"/>
        </w:rPr>
        <w:t>Gross Profit was $23.5 million which increased from $4.4 million in the fourth quarter of 2020. Gross Margin was 36.7%, as compared to 13.1% in the fourth quarter of 2020.</w:t>
      </w:r>
    </w:p>
    <w:p>
      <w:pPr>
        <w:sectPr>
          <w:pgSz w:w="11900" w:h="16838" w:orient="portrait"/>
          <w:cols w:equalWidth="0" w:num="1">
            <w:col w:w="11240"/>
          </w:cols>
          <w:pgMar w:left="320" w:top="1101" w:right="339" w:bottom="1440" w:gutter="0" w:footer="0" w:header="0"/>
        </w:sectPr>
      </w:pPr>
    </w:p>
    <w:bookmarkStart w:id="4" w:name="page5"/>
    <w:bookmarkEnd w:id="4"/>
    <w:p>
      <w:pPr>
        <w:ind w:left="500" w:right="400" w:hanging="330"/>
        <w:spacing w:after="0" w:line="270"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Net Loss was $(39.3) million, as compared to $(38.8) million in the fourth quarter of 2020. Net Loss as a percentage of revenue was (61.3)%, as compared to (115.8)% in the fourth quarter of 2020.</w:t>
      </w:r>
    </w:p>
    <w:p>
      <w:pPr>
        <w:ind w:left="500" w:right="140" w:hanging="330"/>
        <w:spacing w:after="0" w:line="295" w:lineRule="auto"/>
        <w:tabs>
          <w:tab w:leader="none" w:pos="488" w:val="left"/>
        </w:tabs>
        <w:numPr>
          <w:ilvl w:val="0"/>
          <w:numId w:val="3"/>
        </w:numPr>
        <w:rPr>
          <w:rFonts w:ascii="Arial" w:cs="Arial" w:eastAsia="Arial" w:hAnsi="Arial"/>
          <w:sz w:val="20"/>
          <w:szCs w:val="20"/>
          <w:b w:val="1"/>
          <w:bCs w:val="1"/>
          <w:color w:val="auto"/>
        </w:rPr>
      </w:pPr>
      <w:r>
        <w:rPr>
          <w:rFonts w:ascii="Arial" w:cs="Arial" w:eastAsia="Arial" w:hAnsi="Arial"/>
          <w:sz w:val="20"/>
          <w:szCs w:val="20"/>
          <w:color w:val="auto"/>
        </w:rPr>
        <w:t>Adjusted EBITDA was $(5.5) million, as compared to $(4.3) million in the fourth quarter of 2020. Adjusted EBITDA margin was (8.6)%, as compared to (12.8)% in the fourth quarter of 2020.</w:t>
      </w:r>
    </w:p>
    <w:p>
      <w:pPr>
        <w:spacing w:after="0" w:line="18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Year 2021 Key Metrics and Financial Highlights</w:t>
      </w:r>
    </w:p>
    <w:p>
      <w:pPr>
        <w:spacing w:after="0" w:line="272" w:lineRule="exact"/>
        <w:rPr>
          <w:sz w:val="20"/>
          <w:szCs w:val="20"/>
          <w:color w:val="auto"/>
        </w:rPr>
      </w:pPr>
    </w:p>
    <w:p>
      <w:pPr>
        <w:ind w:left="480" w:hanging="310"/>
        <w:spacing w:after="0"/>
        <w:tabs>
          <w:tab w:leader="none" w:pos="480" w:val="left"/>
        </w:tabs>
        <w:numPr>
          <w:ilvl w:val="0"/>
          <w:numId w:val="4"/>
        </w:numPr>
        <w:rPr>
          <w:rFonts w:ascii="Arial" w:cs="Arial" w:eastAsia="Arial" w:hAnsi="Arial"/>
          <w:sz w:val="20"/>
          <w:szCs w:val="20"/>
          <w:color w:val="auto"/>
        </w:rPr>
      </w:pPr>
      <w:r>
        <w:rPr>
          <w:rFonts w:ascii="Arial" w:cs="Arial" w:eastAsia="Arial" w:hAnsi="Arial"/>
          <w:sz w:val="20"/>
          <w:szCs w:val="20"/>
          <w:color w:val="auto"/>
        </w:rPr>
        <w:t>Revenue was $203.3 million, a 29% increase year-over-year from $157.5 million in fiscal year 2020.</w:t>
      </w:r>
    </w:p>
    <w:p>
      <w:pPr>
        <w:spacing w:after="0" w:line="31" w:lineRule="exact"/>
        <w:rPr>
          <w:rFonts w:ascii="Arial" w:cs="Arial" w:eastAsia="Arial" w:hAnsi="Arial"/>
          <w:sz w:val="20"/>
          <w:szCs w:val="20"/>
          <w:color w:val="auto"/>
        </w:rPr>
      </w:pPr>
    </w:p>
    <w:p>
      <w:pPr>
        <w:ind w:left="500" w:right="340" w:hanging="330"/>
        <w:spacing w:after="0" w:line="267"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Gross Profit was $69.7 million which increased from $15.5 million in fiscal year 2020. Gross Margin was 34.3% in fiscal year 2021, as compared to 9.8% in fiscal year 2020.</w:t>
      </w:r>
    </w:p>
    <w:p>
      <w:pPr>
        <w:spacing w:after="0" w:line="1" w:lineRule="exact"/>
        <w:rPr>
          <w:rFonts w:ascii="Arial" w:cs="Arial" w:eastAsia="Arial" w:hAnsi="Arial"/>
          <w:sz w:val="20"/>
          <w:szCs w:val="20"/>
          <w:b w:val="1"/>
          <w:bCs w:val="1"/>
          <w:color w:val="auto"/>
        </w:rPr>
      </w:pPr>
    </w:p>
    <w:p>
      <w:pPr>
        <w:ind w:left="500" w:right="60" w:hanging="330"/>
        <w:spacing w:after="0" w:line="267"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Net Loss was $(211.8) million, as compared to $(171.1) million in fiscal year 2020. Net Loss as a percentage of revenue was (104.2)%, as compared to (108.6)% in fiscal year 2020. Net Loss in fiscal year 2021 included $(51.5) million of non-recurring or one-time charges that were primarily non-cash, including a $(24.9) million non-recurring, non-cash loss on the revaluation of warrants that were exercised or reclassified at IPO, a $(12.2) million non-recurring, primarily non-cash loss on the extinguishment of debt paid down concurrently with the IPO, and a $(14.4) million one-time, non-cash charge associated with the satisfaction of the liquidity based vesting conditions for certain RSUs upon the effectiveness of our IPO.</w:t>
      </w:r>
    </w:p>
    <w:p>
      <w:pPr>
        <w:spacing w:after="0" w:line="4" w:lineRule="exact"/>
        <w:rPr>
          <w:rFonts w:ascii="Arial" w:cs="Arial" w:eastAsia="Arial" w:hAnsi="Arial"/>
          <w:sz w:val="20"/>
          <w:szCs w:val="20"/>
          <w:color w:val="auto"/>
        </w:rPr>
      </w:pPr>
    </w:p>
    <w:p>
      <w:pPr>
        <w:ind w:left="500" w:right="360" w:hanging="330"/>
        <w:spacing w:after="0" w:line="267"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Adjusted EBITDA was $(19.2) million, as compared to $(20.3) million in fiscal year 2020. Adjusted EBITDA margin was (9.4)%, as compared to (12.9)% in fiscal year 2020.</w:t>
      </w:r>
    </w:p>
    <w:p>
      <w:pPr>
        <w:spacing w:after="0" w:line="1" w:lineRule="exact"/>
        <w:rPr>
          <w:rFonts w:ascii="Arial" w:cs="Arial" w:eastAsia="Arial" w:hAnsi="Arial"/>
          <w:sz w:val="20"/>
          <w:szCs w:val="20"/>
          <w:b w:val="1"/>
          <w:bCs w:val="1"/>
          <w:color w:val="auto"/>
        </w:rPr>
      </w:pPr>
    </w:p>
    <w:p>
      <w:pPr>
        <w:ind w:left="500" w:right="260" w:hanging="330"/>
        <w:spacing w:after="0" w:line="267"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Net cash used in operating activities plus net cash used in investing activities was $(64.8) million for fiscal year 2021, as compared to $(101.2) million for fiscal year 2020.</w:t>
      </w:r>
    </w:p>
    <w:p>
      <w:pPr>
        <w:spacing w:after="0" w:line="1" w:lineRule="exact"/>
        <w:rPr>
          <w:rFonts w:ascii="Arial" w:cs="Arial" w:eastAsia="Arial" w:hAnsi="Arial"/>
          <w:sz w:val="20"/>
          <w:szCs w:val="20"/>
          <w:b w:val="1"/>
          <w:bCs w:val="1"/>
          <w:color w:val="auto"/>
        </w:rPr>
      </w:pPr>
    </w:p>
    <w:p>
      <w:pPr>
        <w:ind w:left="500" w:right="100" w:hanging="330"/>
        <w:spacing w:after="0" w:line="267" w:lineRule="auto"/>
        <w:tabs>
          <w:tab w:leader="none" w:pos="488" w:val="left"/>
        </w:tabs>
        <w:numPr>
          <w:ilvl w:val="0"/>
          <w:numId w:val="4"/>
        </w:numPr>
        <w:rPr>
          <w:rFonts w:ascii="Arial" w:cs="Arial" w:eastAsia="Arial" w:hAnsi="Arial"/>
          <w:sz w:val="20"/>
          <w:szCs w:val="20"/>
          <w:b w:val="1"/>
          <w:bCs w:val="1"/>
          <w:color w:val="auto"/>
        </w:rPr>
      </w:pPr>
      <w:r>
        <w:rPr>
          <w:rFonts w:ascii="Arial" w:cs="Arial" w:eastAsia="Arial" w:hAnsi="Arial"/>
          <w:sz w:val="20"/>
          <w:szCs w:val="20"/>
          <w:color w:val="auto"/>
        </w:rPr>
        <w:t>Net cash used in operating activities plus net cash used in investing activities as a percentage of revenue was (31.9)% for fiscal year 2021, as compared to (64.3)% for fiscal year 2020.</w:t>
      </w:r>
    </w:p>
    <w:p>
      <w:pPr>
        <w:spacing w:after="0" w:line="1" w:lineRule="exact"/>
        <w:rPr>
          <w:rFonts w:ascii="Arial" w:cs="Arial" w:eastAsia="Arial" w:hAnsi="Arial"/>
          <w:sz w:val="20"/>
          <w:szCs w:val="20"/>
          <w:b w:val="1"/>
          <w:bCs w:val="1"/>
          <w:color w:val="auto"/>
        </w:rPr>
      </w:pPr>
    </w:p>
    <w:p>
      <w:pPr>
        <w:ind w:left="500" w:right="480" w:hanging="330"/>
        <w:spacing w:after="0" w:line="281" w:lineRule="auto"/>
        <w:tabs>
          <w:tab w:leader="none" w:pos="488" w:val="left"/>
        </w:tabs>
        <w:numPr>
          <w:ilvl w:val="0"/>
          <w:numId w:val="4"/>
        </w:numPr>
        <w:rPr>
          <w:rFonts w:ascii="Arial" w:cs="Arial" w:eastAsia="Arial" w:hAnsi="Arial"/>
          <w:sz w:val="19"/>
          <w:szCs w:val="19"/>
          <w:color w:val="auto"/>
        </w:rPr>
      </w:pPr>
      <w:r>
        <w:rPr>
          <w:rFonts w:ascii="Arial" w:cs="Arial" w:eastAsia="Arial" w:hAnsi="Arial"/>
          <w:sz w:val="19"/>
          <w:szCs w:val="19"/>
          <w:color w:val="auto"/>
        </w:rPr>
        <w:t>As of January 31, 2022, cash and cash equivalents were $247.6 million, after paydown of $140.7 million of debt and accrued interest (approximately one-third of the company’s pre-IPO debt balance) with a portion of the IPO proceeds.</w:t>
      </w:r>
    </w:p>
    <w:p>
      <w:pPr>
        <w:spacing w:after="0" w:line="1" w:lineRule="exact"/>
        <w:rPr>
          <w:rFonts w:ascii="Arial" w:cs="Arial" w:eastAsia="Arial" w:hAnsi="Arial"/>
          <w:sz w:val="19"/>
          <w:szCs w:val="19"/>
          <w:color w:val="auto"/>
        </w:rPr>
      </w:pPr>
    </w:p>
    <w:p>
      <w:pPr>
        <w:ind w:left="500" w:right="200" w:hanging="330"/>
        <w:spacing w:after="0" w:line="295" w:lineRule="auto"/>
        <w:tabs>
          <w:tab w:leader="none" w:pos="488" w:val="left"/>
        </w:tabs>
        <w:numPr>
          <w:ilvl w:val="0"/>
          <w:numId w:val="4"/>
        </w:numPr>
        <w:rPr>
          <w:rFonts w:ascii="Arial" w:cs="Arial" w:eastAsia="Arial" w:hAnsi="Arial"/>
          <w:sz w:val="20"/>
          <w:szCs w:val="20"/>
          <w:color w:val="auto"/>
        </w:rPr>
      </w:pPr>
      <w:r>
        <w:rPr>
          <w:rFonts w:ascii="Arial" w:cs="Arial" w:eastAsia="Arial" w:hAnsi="Arial"/>
          <w:sz w:val="20"/>
          <w:szCs w:val="20"/>
          <w:color w:val="auto"/>
        </w:rPr>
        <w:t>The share count used to compute fiscal year 2021 basic EPS was 24.9 million, reflecting the weighted average of shares outstanding in the period, including pre and post IPO periods.</w:t>
      </w:r>
    </w:p>
    <w:p>
      <w:pPr>
        <w:spacing w:after="0" w:line="17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Fiscal Fourth Quarter and Fiscal Year 2021 Business Highlights</w:t>
      </w:r>
    </w:p>
    <w:p>
      <w:pPr>
        <w:spacing w:after="0" w:line="258" w:lineRule="exact"/>
        <w:rPr>
          <w:sz w:val="20"/>
          <w:szCs w:val="20"/>
          <w:color w:val="auto"/>
        </w:rPr>
      </w:pPr>
    </w:p>
    <w:p>
      <w:pPr>
        <w:ind w:left="500" w:hanging="330"/>
        <w:spacing w:after="0" w:line="268" w:lineRule="auto"/>
        <w:tabs>
          <w:tab w:leader="none" w:pos="48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Completed full rollout of personalized subscription plans in fiscal year 2021, which drove strong loyalty and engagement. In the fourth quarter, 31% of subscribers added one or more paid additional items into their subscription program, the highest since RTR launched Subscription. Personalized subscription plans are higher margin and drove $135 in average monthly subscription rental revenue per subscriber, or ARPU, in fiscal year 2021.</w:t>
      </w:r>
    </w:p>
    <w:p>
      <w:pPr>
        <w:spacing w:after="0" w:line="3" w:lineRule="exact"/>
        <w:rPr>
          <w:rFonts w:ascii="Arial" w:cs="Arial" w:eastAsia="Arial" w:hAnsi="Arial"/>
          <w:sz w:val="20"/>
          <w:szCs w:val="20"/>
          <w:color w:val="auto"/>
        </w:rPr>
      </w:pPr>
    </w:p>
    <w:p>
      <w:pPr>
        <w:ind w:left="500" w:right="380" w:hanging="330"/>
        <w:spacing w:after="0" w:line="267" w:lineRule="auto"/>
        <w:tabs>
          <w:tab w:leader="none" w:pos="488" w:val="left"/>
        </w:tabs>
        <w:numPr>
          <w:ilvl w:val="0"/>
          <w:numId w:val="5"/>
        </w:numPr>
        <w:rPr>
          <w:rFonts w:ascii="Arial" w:cs="Arial" w:eastAsia="Arial" w:hAnsi="Arial"/>
          <w:sz w:val="20"/>
          <w:szCs w:val="20"/>
          <w:color w:val="auto"/>
        </w:rPr>
      </w:pPr>
      <w:r>
        <w:rPr>
          <w:rFonts w:ascii="Arial" w:cs="Arial" w:eastAsia="Arial" w:hAnsi="Arial"/>
          <w:sz w:val="20"/>
          <w:szCs w:val="20"/>
          <w:color w:val="auto"/>
        </w:rPr>
        <w:t>Drove 55% of rental product acquisition through non-wholesale channels - Exclusive Designs and Share by RTR - with plans for continued expansion in fiscal year 2022.</w:t>
      </w:r>
    </w:p>
    <w:p>
      <w:pPr>
        <w:spacing w:after="0" w:line="1" w:lineRule="exact"/>
        <w:rPr>
          <w:rFonts w:ascii="Arial" w:cs="Arial" w:eastAsia="Arial" w:hAnsi="Arial"/>
          <w:sz w:val="20"/>
          <w:szCs w:val="20"/>
          <w:color w:val="auto"/>
        </w:rPr>
      </w:pPr>
    </w:p>
    <w:p>
      <w:pPr>
        <w:ind w:left="500" w:right="60" w:hanging="330"/>
        <w:spacing w:after="0" w:line="267" w:lineRule="auto"/>
        <w:tabs>
          <w:tab w:leader="none" w:pos="488" w:val="left"/>
        </w:tabs>
        <w:numPr>
          <w:ilvl w:val="0"/>
          <w:numId w:val="5"/>
        </w:numPr>
        <w:rPr>
          <w:rFonts w:ascii="Arial" w:cs="Arial" w:eastAsia="Arial" w:hAnsi="Arial"/>
          <w:sz w:val="20"/>
          <w:szCs w:val="20"/>
          <w:color w:val="auto"/>
        </w:rPr>
      </w:pPr>
      <w:r>
        <w:rPr>
          <w:rFonts w:ascii="Arial" w:cs="Arial" w:eastAsia="Arial" w:hAnsi="Arial"/>
          <w:sz w:val="20"/>
          <w:szCs w:val="20"/>
          <w:color w:val="auto"/>
        </w:rPr>
        <w:t>Continued to expand the assortment of brands, with a strong lineup of nearly 20 Exclusive Design Partners for fiscal year 2022, around half of which are new, including Esteban Cortazar, Busayo, Atlein, and our first celebrity-designed collection, expected to launch later this year.</w:t>
      </w:r>
    </w:p>
    <w:p>
      <w:pPr>
        <w:spacing w:after="0" w:line="1" w:lineRule="exact"/>
        <w:rPr>
          <w:rFonts w:ascii="Arial" w:cs="Arial" w:eastAsia="Arial" w:hAnsi="Arial"/>
          <w:sz w:val="20"/>
          <w:szCs w:val="20"/>
          <w:color w:val="auto"/>
        </w:rPr>
      </w:pPr>
    </w:p>
    <w:p>
      <w:pPr>
        <w:ind w:left="500" w:right="120" w:hanging="330"/>
        <w:spacing w:after="0" w:line="295" w:lineRule="auto"/>
        <w:tabs>
          <w:tab w:leader="none" w:pos="488" w:val="left"/>
        </w:tabs>
        <w:numPr>
          <w:ilvl w:val="0"/>
          <w:numId w:val="5"/>
        </w:numPr>
        <w:rPr>
          <w:rFonts w:ascii="Arial" w:cs="Arial" w:eastAsia="Arial" w:hAnsi="Arial"/>
          <w:sz w:val="20"/>
          <w:szCs w:val="20"/>
          <w:color w:val="auto"/>
        </w:rPr>
      </w:pPr>
      <w:r>
        <w:rPr>
          <w:rFonts w:ascii="Arial" w:cs="Arial" w:eastAsia="Arial" w:hAnsi="Arial"/>
          <w:sz w:val="20"/>
          <w:szCs w:val="20"/>
          <w:color w:val="auto"/>
        </w:rPr>
        <w:t>Launched at-home pickup in 9 markets covering a quarter of subscriber base, with ongoing market expansion planned for fiscal year 2022.</w:t>
      </w:r>
    </w:p>
    <w:p>
      <w:pPr>
        <w:sectPr>
          <w:pgSz w:w="11900" w:h="16838" w:orient="portrait"/>
          <w:cols w:equalWidth="0" w:num="1">
            <w:col w:w="11220"/>
          </w:cols>
          <w:pgMar w:left="320" w:top="1103" w:right="359" w:bottom="1440" w:gutter="0" w:footer="0" w:header="0"/>
        </w:sectPr>
      </w:pPr>
    </w:p>
    <w:bookmarkStart w:id="5" w:name="page6"/>
    <w:bookmarkEnd w:id="5"/>
    <w:p>
      <w:pPr>
        <w:ind w:left="500" w:right="240" w:hanging="330"/>
        <w:spacing w:after="0" w:line="270"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Launched RFID and enhanced automation in our warehouses in fiscal year 2021, which reduced non-transportation fulfillment cost per unit by over 30% year-over-year.</w:t>
      </w:r>
    </w:p>
    <w:p>
      <w:pPr>
        <w:ind w:left="500" w:right="240" w:hanging="330"/>
        <w:spacing w:after="0" w:line="267"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Drove garment science innovation, which extends the useful life of garments, fueling a 30% reduction in the product deactivation rate in fiscal year 2021 versus prior year.</w:t>
      </w:r>
    </w:p>
    <w:p>
      <w:pPr>
        <w:spacing w:after="0" w:line="1" w:lineRule="exact"/>
        <w:rPr>
          <w:rFonts w:ascii="Arial" w:cs="Arial" w:eastAsia="Arial" w:hAnsi="Arial"/>
          <w:sz w:val="20"/>
          <w:szCs w:val="20"/>
          <w:color w:val="auto"/>
        </w:rPr>
      </w:pPr>
    </w:p>
    <w:p>
      <w:pPr>
        <w:ind w:left="500" w:hanging="330"/>
        <w:spacing w:after="0" w:line="276" w:lineRule="auto"/>
        <w:tabs>
          <w:tab w:leader="none" w:pos="488" w:val="left"/>
        </w:tabs>
        <w:numPr>
          <w:ilvl w:val="0"/>
          <w:numId w:val="6"/>
        </w:numPr>
        <w:rPr>
          <w:rFonts w:ascii="Arial" w:cs="Arial" w:eastAsia="Arial" w:hAnsi="Arial"/>
          <w:sz w:val="20"/>
          <w:szCs w:val="20"/>
          <w:color w:val="auto"/>
        </w:rPr>
      </w:pPr>
      <w:r>
        <w:rPr>
          <w:rFonts w:ascii="Arial" w:cs="Arial" w:eastAsia="Arial" w:hAnsi="Arial"/>
          <w:sz w:val="20"/>
          <w:szCs w:val="20"/>
          <w:color w:val="auto"/>
        </w:rPr>
        <w:t>Furthered our commitment to sustainability with the launch of our Impact Strategy, under which we plan to displace the need for production of half a million garments by the end of fiscal year 2026, offset 100% of carbon emissions from shipments to and from customers beginning in fiscal year 2022, and achieve net zero carbon emissions by fiscal year 2040.</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Outlook</w:t>
      </w:r>
    </w:p>
    <w:p>
      <w:pPr>
        <w:spacing w:after="0" w:line="272" w:lineRule="exact"/>
        <w:rPr>
          <w:sz w:val="20"/>
          <w:szCs w:val="20"/>
          <w:color w:val="auto"/>
        </w:rPr>
      </w:pPr>
    </w:p>
    <w:p>
      <w:pPr>
        <w:spacing w:after="0"/>
        <w:rPr>
          <w:sz w:val="20"/>
          <w:szCs w:val="20"/>
          <w:color w:val="auto"/>
        </w:rPr>
      </w:pPr>
      <w:r>
        <w:rPr>
          <w:rFonts w:ascii="Arial" w:cs="Arial" w:eastAsia="Arial" w:hAnsi="Arial"/>
          <w:sz w:val="20"/>
          <w:szCs w:val="20"/>
          <w:color w:val="auto"/>
        </w:rPr>
        <w:t>For fiscal year 2022, Rent the Runway expects:</w:t>
      </w:r>
    </w:p>
    <w:p>
      <w:pPr>
        <w:spacing w:after="0" w:line="31" w:lineRule="exact"/>
        <w:rPr>
          <w:sz w:val="20"/>
          <w:szCs w:val="20"/>
          <w:color w:val="auto"/>
        </w:rPr>
      </w:pPr>
    </w:p>
    <w:p>
      <w:pPr>
        <w:ind w:left="480" w:hanging="310"/>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Revenue in the range of $295 million to $305 million</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7"/>
        </w:numPr>
        <w:rPr>
          <w:rFonts w:ascii="Arial" w:cs="Arial" w:eastAsia="Arial" w:hAnsi="Arial"/>
          <w:sz w:val="20"/>
          <w:szCs w:val="20"/>
          <w:color w:val="auto"/>
        </w:rPr>
      </w:pPr>
      <w:r>
        <w:rPr>
          <w:rFonts w:ascii="Arial" w:cs="Arial" w:eastAsia="Arial" w:hAnsi="Arial"/>
          <w:sz w:val="20"/>
          <w:szCs w:val="20"/>
          <w:color w:val="auto"/>
        </w:rPr>
        <w:t>Adjusted EBITDA margin of (6)% to (5)%</w:t>
      </w:r>
    </w:p>
    <w:p>
      <w:pPr>
        <w:spacing w:after="0" w:line="265" w:lineRule="exact"/>
        <w:rPr>
          <w:sz w:val="20"/>
          <w:szCs w:val="20"/>
          <w:color w:val="auto"/>
        </w:rPr>
      </w:pPr>
    </w:p>
    <w:p>
      <w:pPr>
        <w:spacing w:after="0"/>
        <w:rPr>
          <w:sz w:val="20"/>
          <w:szCs w:val="20"/>
          <w:color w:val="auto"/>
        </w:rPr>
      </w:pPr>
      <w:r>
        <w:rPr>
          <w:rFonts w:ascii="Arial" w:cs="Arial" w:eastAsia="Arial" w:hAnsi="Arial"/>
          <w:sz w:val="20"/>
          <w:szCs w:val="20"/>
          <w:color w:val="auto"/>
        </w:rPr>
        <w:t>For the fiscal first quarter of 2022, Rent the Runway expects:</w:t>
      </w:r>
    </w:p>
    <w:p>
      <w:pPr>
        <w:spacing w:after="0" w:line="31" w:lineRule="exact"/>
        <w:rPr>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Ending Active Subscribers of 130K to 132K</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Revenue in the range of $63.5 million to $64.5 million</w:t>
      </w:r>
    </w:p>
    <w:p>
      <w:pPr>
        <w:spacing w:after="0" w:line="26" w:lineRule="exact"/>
        <w:rPr>
          <w:rFonts w:ascii="Arial" w:cs="Arial" w:eastAsia="Arial" w:hAnsi="Arial"/>
          <w:sz w:val="20"/>
          <w:szCs w:val="20"/>
          <w:color w:val="auto"/>
        </w:rPr>
      </w:pPr>
    </w:p>
    <w:p>
      <w:pPr>
        <w:ind w:left="480" w:hanging="310"/>
        <w:spacing w:after="0"/>
        <w:tabs>
          <w:tab w:leader="none" w:pos="480" w:val="left"/>
        </w:tabs>
        <w:numPr>
          <w:ilvl w:val="0"/>
          <w:numId w:val="8"/>
        </w:numPr>
        <w:rPr>
          <w:rFonts w:ascii="Arial" w:cs="Arial" w:eastAsia="Arial" w:hAnsi="Arial"/>
          <w:sz w:val="20"/>
          <w:szCs w:val="20"/>
          <w:color w:val="auto"/>
        </w:rPr>
      </w:pPr>
      <w:r>
        <w:rPr>
          <w:rFonts w:ascii="Arial" w:cs="Arial" w:eastAsia="Arial" w:hAnsi="Arial"/>
          <w:sz w:val="20"/>
          <w:szCs w:val="20"/>
          <w:color w:val="auto"/>
        </w:rPr>
        <w:t>Adjusted EBITDA of $(11.0) million to $(10.5) million</w:t>
      </w:r>
    </w:p>
    <w:p>
      <w:pPr>
        <w:spacing w:after="0" w:line="265" w:lineRule="exact"/>
        <w:rPr>
          <w:sz w:val="20"/>
          <w:szCs w:val="20"/>
          <w:color w:val="auto"/>
        </w:rPr>
      </w:pPr>
    </w:p>
    <w:p>
      <w:pPr>
        <w:ind w:right="80"/>
        <w:spacing w:after="0" w:line="300" w:lineRule="auto"/>
        <w:rPr>
          <w:sz w:val="20"/>
          <w:szCs w:val="20"/>
          <w:color w:val="auto"/>
        </w:rPr>
      </w:pPr>
      <w:r>
        <w:rPr>
          <w:rFonts w:ascii="Arial" w:cs="Arial" w:eastAsia="Arial" w:hAnsi="Arial"/>
          <w:sz w:val="20"/>
          <w:szCs w:val="20"/>
          <w:color w:val="auto"/>
        </w:rPr>
        <w:t>Please see our fourth quarter 2021 earnings presentation at https://investors.renttherunway.com/ under the “Presentations” section for supplemental guidance.</w:t>
      </w:r>
    </w:p>
    <w:p>
      <w:pPr>
        <w:sectPr>
          <w:pgSz w:w="11900" w:h="16838" w:orient="portrait"/>
          <w:cols w:equalWidth="0" w:num="1">
            <w:col w:w="10820"/>
          </w:cols>
          <w:pgMar w:left="320" w:top="1103" w:right="759" w:bottom="1440" w:gutter="0" w:footer="0" w:header="0"/>
        </w:sectPr>
      </w:pPr>
    </w:p>
    <w:bookmarkStart w:id="6" w:name="page7"/>
    <w:bookmarkEnd w:id="6"/>
    <w:p>
      <w:pPr>
        <w:spacing w:after="0"/>
        <w:rPr>
          <w:sz w:val="20"/>
          <w:szCs w:val="20"/>
          <w:color w:val="auto"/>
        </w:rPr>
      </w:pPr>
      <w:r>
        <w:rPr>
          <w:rFonts w:ascii="Arial" w:cs="Arial" w:eastAsia="Arial" w:hAnsi="Arial"/>
          <w:sz w:val="20"/>
          <w:szCs w:val="20"/>
          <w:b w:val="1"/>
          <w:bCs w:val="1"/>
          <w:color w:val="auto"/>
        </w:rPr>
        <w:t>Earnings Presentation, Conference Call and Webcast</w:t>
      </w:r>
    </w:p>
    <w:p>
      <w:pPr>
        <w:spacing w:after="0" w:line="258"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fourth quarter and fiscal year 2021 Earnings Presentation is now accessible through the Investor Relations section of Rent the Runway’s website at https://investors.renttherunway.com/ under the “Presentations” section.</w:t>
      </w:r>
    </w:p>
    <w:p>
      <w:pPr>
        <w:spacing w:after="0" w:line="169"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Rent the Runway will host a conference call and webcast to discuss its fourth quarter and fiscal year 2021 financial results and provide a business update today at 5:00 pm EDT.</w:t>
      </w:r>
    </w:p>
    <w:p>
      <w:pPr>
        <w:spacing w:after="0" w:line="154" w:lineRule="exact"/>
        <w:rPr>
          <w:sz w:val="20"/>
          <w:szCs w:val="20"/>
          <w:color w:val="auto"/>
        </w:rPr>
      </w:pPr>
    </w:p>
    <w:p>
      <w:pPr>
        <w:jc w:val="both"/>
        <w:spacing w:after="0" w:line="283" w:lineRule="auto"/>
        <w:rPr>
          <w:sz w:val="20"/>
          <w:szCs w:val="20"/>
          <w:color w:val="auto"/>
        </w:rPr>
      </w:pPr>
      <w:r>
        <w:rPr>
          <w:rFonts w:ascii="Arial" w:cs="Arial" w:eastAsia="Arial" w:hAnsi="Arial"/>
          <w:sz w:val="20"/>
          <w:szCs w:val="20"/>
          <w:color w:val="auto"/>
        </w:rPr>
        <w:t xml:space="preserve">The financial results and live webcast will be accessible through the Investor Relations section of Rent the Runway’s website at </w:t>
      </w:r>
      <w:r>
        <w:rPr>
          <w:rFonts w:ascii="Arial" w:cs="Arial" w:eastAsia="Arial" w:hAnsi="Arial"/>
          <w:sz w:val="20"/>
          <w:szCs w:val="20"/>
          <w:u w:val="single" w:color="auto"/>
          <w:color w:val="212D3D"/>
        </w:rPr>
        <w:t>https://investors.renttherunway.com/</w:t>
      </w:r>
      <w:r>
        <w:rPr>
          <w:rFonts w:ascii="Arial" w:cs="Arial" w:eastAsia="Arial" w:hAnsi="Arial"/>
          <w:sz w:val="20"/>
          <w:szCs w:val="20"/>
          <w:color w:val="212D3D"/>
        </w:rPr>
        <w:t xml:space="preserve"> </w:t>
      </w:r>
      <w:r>
        <w:rPr>
          <w:rFonts w:ascii="Arial" w:cs="Arial" w:eastAsia="Arial" w:hAnsi="Arial"/>
          <w:sz w:val="20"/>
          <w:szCs w:val="20"/>
          <w:color w:val="000000"/>
        </w:rPr>
        <w:t>under the “Events” section. To access the call through a conference line, dial 1-877-407-3982 (in the U.S.) or 1-201-493-6780 (international callers).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2011045</wp:posOffset>
            </wp:positionH>
            <wp:positionV relativeFrom="paragraph">
              <wp:posOffset>-339090</wp:posOffset>
            </wp:positionV>
            <wp:extent cx="5117465" cy="1371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5117465" cy="137160"/>
                    </a:xfrm>
                    <a:prstGeom prst="rect">
                      <a:avLst/>
                    </a:prstGeom>
                    <a:noFill/>
                  </pic:spPr>
                </pic:pic>
              </a:graphicData>
            </a:graphic>
          </wp:anchor>
        </w:drawing>
      </w:r>
    </w:p>
    <w:p>
      <w:pPr>
        <w:spacing w:after="0" w:line="152" w:lineRule="exact"/>
        <w:rPr>
          <w:sz w:val="20"/>
          <w:szCs w:val="20"/>
          <w:color w:val="auto"/>
        </w:rPr>
      </w:pPr>
    </w:p>
    <w:p>
      <w:pPr>
        <w:jc w:val="both"/>
        <w:spacing w:after="0" w:line="300" w:lineRule="auto"/>
        <w:rPr>
          <w:sz w:val="20"/>
          <w:szCs w:val="20"/>
          <w:color w:val="auto"/>
        </w:rPr>
      </w:pPr>
      <w:r>
        <w:rPr>
          <w:rFonts w:ascii="Arial" w:cs="Arial" w:eastAsia="Arial" w:hAnsi="Arial"/>
          <w:sz w:val="20"/>
          <w:szCs w:val="20"/>
          <w:color w:val="auto"/>
        </w:rPr>
        <w:t>A replay of the conference call will be posted shortly after the call and will be available for at least fourteen days. To access the replay, dial 1-844-512-2921 (in the U.S.) or 1-412-317-6671 (international callers). The access code for the replay is 13726225.</w:t>
      </w:r>
    </w:p>
    <w:p>
      <w:pPr>
        <w:spacing w:after="0" w:line="15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About Rent the Runway, Inc.</w:t>
      </w: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Founded in 2009, Rent the Runway is disrupting the trillion-dollar fashion industry and changing the way women get dressed through the Closet in the Cloud, the world’s first and largest shared designer closet. RTR’s mission has remained the same since its founding: powering women to feel their best every day. Through RTR, customers can subscribe, rent items a-la-carte and shop resale from over 780 designer brands. The Closet in the Cloud offers a wide assortment of millions of items for every occasion, from evening wear and accessories to ready-to-wear, workwear, denim, casual, maternity, outerwear, blouses, knitwear, loungewear, jewelry, handbags, activewear, ski wear, home goods and kidswear. RTR has built a two-sided discovery engine, which connects deeply engaged customers and differentiated brand partners on a powerful platform built around its brand, data, logistics and technology. Under CEO and Co-Founder Jennifer Hyman’s leadership, RTR has been named to CNBC’s “Disruptor 50” five times in ten years, and has been placed on Fast Company’s Most Innovative Companies list four times, while Hyman herself has been named to the “TIME 100: Most Influential People in the World" and as one of People Magazine’s “Women Changing the World.”</w:t>
      </w:r>
    </w:p>
    <w:p>
      <w:pPr>
        <w:spacing w:after="0" w:line="21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Forward-Looking Statements</w:t>
      </w:r>
    </w:p>
    <w:p>
      <w:pPr>
        <w:spacing w:after="0" w:line="272" w:lineRule="exact"/>
        <w:rPr>
          <w:sz w:val="20"/>
          <w:szCs w:val="20"/>
          <w:color w:val="auto"/>
        </w:rPr>
      </w:pPr>
    </w:p>
    <w:p>
      <w:pPr>
        <w:jc w:val="both"/>
        <w:spacing w:after="0" w:line="270" w:lineRule="auto"/>
        <w:rPr>
          <w:sz w:val="20"/>
          <w:szCs w:val="20"/>
          <w:color w:val="auto"/>
        </w:rPr>
      </w:pPr>
      <w:r>
        <w:rPr>
          <w:rFonts w:ascii="Arial" w:cs="Arial" w:eastAsia="Arial" w:hAnsi="Arial"/>
          <w:sz w:val="20"/>
          <w:szCs w:val="20"/>
          <w:color w:val="auto"/>
        </w:rPr>
        <w:t>This press release contains forward-looking statements within the meaning of the Private Securities Litigation Reform Act of 1995. All statements contained in this press release that do not relate to matters of historical fact should be considered forward-looking statements. These statements include, but are not limited to, statements regarding our future results of operations, financial position, and revenue, our Impact Strategy, future product launches, business objectives, subscriber trends and impacts from the COVID-19 pandemic Forward-looking statements are inherently subject to risks and uncertainties, some of which cannot be predicted or quantified. In some cases, you can identify forward-looking statements because they contain words such as “anticipate,” “believe,” “contemplate,” “continue,” “could,” “estimate,” “expect,” “intend,” “may,” “plan,” “potential,” “predict,” “project,” “should,” “target,” “toward,” “will,” or “would,” or the negative of these words or other similar terms or expressions. You should not put undue reliance on any forward-looking statements. Forward-looking statements should not be read as a guarantee of future performance or results and will not necessarily be accurate indications of the times at, or by, which such performance or results will be achieved, if at all.</w:t>
      </w:r>
    </w:p>
    <w:p>
      <w:pPr>
        <w:sectPr>
          <w:pgSz w:w="11900" w:h="16838" w:orient="portrait"/>
          <w:cols w:equalWidth="0" w:num="1">
            <w:col w:w="11240"/>
          </w:cols>
          <w:pgMar w:left="320" w:top="1101" w:right="339" w:bottom="1440" w:gutter="0" w:footer="0" w:header="0"/>
        </w:sectPr>
      </w:pPr>
    </w:p>
    <w:bookmarkStart w:id="7" w:name="page8"/>
    <w:bookmarkEnd w:id="7"/>
    <w:p>
      <w:pPr>
        <w:jc w:val="both"/>
        <w:spacing w:after="0" w:line="269" w:lineRule="auto"/>
        <w:rPr>
          <w:sz w:val="20"/>
          <w:szCs w:val="20"/>
          <w:color w:val="auto"/>
        </w:rPr>
      </w:pPr>
      <w:r>
        <w:rPr>
          <w:rFonts w:ascii="Arial" w:cs="Arial" w:eastAsia="Arial" w:hAnsi="Arial"/>
          <w:sz w:val="20"/>
          <w:szCs w:val="20"/>
          <w:color w:val="auto"/>
        </w:rPr>
        <w:t>Forward-looking statements are based on information available at the time those statements are made and were based on current expectations, estimates, forecasts, and projections as well as the beliefs and assumptions of management as of that time with respect to future events. These statements are subject to risks and uncertainties, many of which involve factors or circumstances that are beyond our control, that could cause actual performance or results to differ materially from those expressed in or suggested by the forward-looking statements. In light of these risks and uncertainties, the forward-looking events and circumstances discussed in this press release may not occur and actual results could differ materially from those anticipated or implied in the forward-looking statements. These risks and uncertainties include our ability to manage our growth effectively; risks related to the COVID-19 pandemic; the highly competitive and rapidly changing nature of the global fashion industry; our ability to cost-effectively grow our customer base; any failure to retain customers; our ability to accurately forecast customer demand, manage our offerings effectively and plan for future expenses; risks related to shipping, logistics and our supply chain; our reliance on the effective operation of proprietary technology systems and software as well as those of third-party vendors and service providers; our ability to remediate our material weaknesses in our internal control over financial reporting; laws and regulations applicable to our business; failure to adequately maintain and protect our intellectual property and proprietary rights; compliance with data privacy, data security, data protection and consumer protection laws and industry standards; risks associated with our brand partners; reliance on third parties for elements of the payment processing infrastructure underlying our business; dependence on online sources to attract consumers and promote our business which may be affected by third-party interference or cause our customer acquisition costs to rise; failure by us, our brand partners, or third party manufacturers to comply with our vendor code of conduct or other laws; and risks related to our Class A capital stock and ownership structure. Additional information regarding these and other risks and uncertainties that could cause actual results to differ materially from the Company’s expectations is included in our quarterly report on Form 10-Q filed on December 8, 2021, as will be updated in our Annual Report on Form 10-K for the year ended January 31, 2022. Except as required by law, we do not undertake any obligation to publicly update or revise any forward-looking statement, whether as a result of new information, future developments, or otherwise.</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Key Business and Financial Metrics</w:t>
      </w:r>
    </w:p>
    <w:p>
      <w:pPr>
        <w:spacing w:after="0" w:line="272" w:lineRule="exact"/>
        <w:rPr>
          <w:sz w:val="20"/>
          <w:szCs w:val="20"/>
          <w:color w:val="auto"/>
        </w:rPr>
      </w:pPr>
    </w:p>
    <w:p>
      <w:pPr>
        <w:jc w:val="both"/>
        <w:ind w:right="20"/>
        <w:spacing w:after="0" w:line="300" w:lineRule="auto"/>
        <w:rPr>
          <w:sz w:val="20"/>
          <w:szCs w:val="20"/>
          <w:color w:val="auto"/>
        </w:rPr>
      </w:pPr>
      <w:r>
        <w:rPr>
          <w:rFonts w:ascii="Arial" w:cs="Arial" w:eastAsia="Arial" w:hAnsi="Arial"/>
          <w:sz w:val="20"/>
          <w:szCs w:val="20"/>
          <w:color w:val="auto"/>
        </w:rPr>
        <w:t>Active Subscribers is defined as the number of subscribers with an active membership as of the last day of any given period and excludes paused subscribers.</w:t>
      </w:r>
    </w:p>
    <w:p>
      <w:pPr>
        <w:spacing w:after="0" w:line="181" w:lineRule="exact"/>
        <w:rPr>
          <w:sz w:val="20"/>
          <w:szCs w:val="20"/>
          <w:color w:val="auto"/>
        </w:rPr>
      </w:pPr>
    </w:p>
    <w:p>
      <w:pPr>
        <w:jc w:val="both"/>
        <w:spacing w:after="0" w:line="274" w:lineRule="auto"/>
        <w:rPr>
          <w:sz w:val="20"/>
          <w:szCs w:val="20"/>
          <w:color w:val="auto"/>
        </w:rPr>
      </w:pPr>
      <w:r>
        <w:rPr>
          <w:rFonts w:ascii="Arial" w:cs="Arial" w:eastAsia="Arial" w:hAnsi="Arial"/>
          <w:sz w:val="20"/>
          <w:szCs w:val="20"/>
          <w:color w:val="auto"/>
        </w:rPr>
        <w:t>Gross Profit is defined as total revenue less fulfillment expense, revenue share and rental product depreciation. We depreciate owned apparel assets over three years and owned accessory assets over two years net of 20% and 30% salvage values, respectively, and recognize the depreciation and remaining cost of items when sold or retired on our statement of operations. Rental product depreciation expense is time-based and reflects all items we own. We use Gross Profit and Gross Profit as a percentage of revenue, or Gross Margin to measure the continued efficiency of our business after the total cost of our products are included.</w:t>
      </w:r>
    </w:p>
    <w:p>
      <w:pPr>
        <w:spacing w:after="0" w:line="20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Non-GAAP Financial Measures</w:t>
      </w:r>
    </w:p>
    <w:p>
      <w:pPr>
        <w:sectPr>
          <w:pgSz w:w="11900" w:h="16838" w:orient="portrait"/>
          <w:cols w:equalWidth="0" w:num="1">
            <w:col w:w="11240"/>
          </w:cols>
          <w:pgMar w:left="320" w:top="1319" w:right="339" w:bottom="1440" w:gutter="0" w:footer="0" w:header="0"/>
        </w:sectPr>
      </w:pPr>
    </w:p>
    <w:bookmarkStart w:id="8" w:name="page9"/>
    <w:bookmarkEnd w:id="8"/>
    <w:p>
      <w:pPr>
        <w:jc w:val="both"/>
        <w:spacing w:after="0" w:line="271" w:lineRule="auto"/>
        <w:rPr>
          <w:sz w:val="20"/>
          <w:szCs w:val="20"/>
          <w:color w:val="auto"/>
        </w:rPr>
      </w:pPr>
      <w:r>
        <w:rPr>
          <w:rFonts w:ascii="Arial" w:cs="Arial" w:eastAsia="Arial" w:hAnsi="Arial"/>
          <w:sz w:val="20"/>
          <w:szCs w:val="20"/>
          <w:color w:val="auto"/>
        </w:rPr>
        <w:t>This press release and the accompanying tables contain the non-GAAP financial measures of Adjusted EBITDA and Adjusted EBITDA margin. In addition to our results determined in accordance with GAAP, we believe that Adjusted EBITDA and Adjusted EBITDA margin are useful in evaluating our performance. Adjusted EBITDA is a key performance measure used by management to assess our operating performance and the operating leverage of our business prior to capital expenditures. These non-GAAP financial metrics are not meant to be considered as an indicator of our financial performance in isolation from or as a substitute for our financial information prepared in accordance with GAAP and should be read only in conjunction with financial information presented on a GAAP basis. There are limitations to the use of the non-GAAP financial metrics presented in this press release. For example, our non-GAAP financial metrics may not be comparable to similarly titled measures of other companies. Other companies, including companies in our industry, may calculate non-GAAP financial metrics differently than we do, limiting the usefulness of those measures for comparative purposes.</w:t>
      </w:r>
    </w:p>
    <w:p>
      <w:pPr>
        <w:spacing w:after="0" w:line="184" w:lineRule="exact"/>
        <w:rPr>
          <w:sz w:val="20"/>
          <w:szCs w:val="20"/>
          <w:color w:val="auto"/>
        </w:rPr>
      </w:pPr>
    </w:p>
    <w:p>
      <w:pPr>
        <w:jc w:val="both"/>
        <w:spacing w:after="0" w:line="278" w:lineRule="auto"/>
        <w:rPr>
          <w:sz w:val="20"/>
          <w:szCs w:val="20"/>
          <w:color w:val="auto"/>
        </w:rPr>
      </w:pPr>
      <w:r>
        <w:rPr>
          <w:rFonts w:ascii="Arial" w:cs="Arial" w:eastAsia="Arial" w:hAnsi="Arial"/>
          <w:sz w:val="20"/>
          <w:szCs w:val="20"/>
          <w:color w:val="auto"/>
        </w:rPr>
        <w:t>We define Adjusted EBITDA as net loss, adjusted to exclude interest expense, rental product depreciation, other depreciation and amortization, share-based compensation expense, write-off of liquidated assets, certain non-recurring, one-time, costs (see below footnotes to reconciliation table), income taxes, other income and expense, and other gains / losses. Adjusted EBITDA margin is defined as Adjusted EBITDA calculated as a percentage of revenue.</w:t>
      </w:r>
    </w:p>
    <w:p>
      <w:pPr>
        <w:spacing w:after="0" w:line="176" w:lineRule="exact"/>
        <w:rPr>
          <w:sz w:val="20"/>
          <w:szCs w:val="20"/>
          <w:color w:val="auto"/>
        </w:rPr>
      </w:pPr>
    </w:p>
    <w:p>
      <w:pPr>
        <w:jc w:val="both"/>
        <w:spacing w:after="0" w:line="271" w:lineRule="auto"/>
        <w:rPr>
          <w:sz w:val="20"/>
          <w:szCs w:val="20"/>
          <w:color w:val="auto"/>
        </w:rPr>
      </w:pPr>
      <w:r>
        <w:rPr>
          <w:rFonts w:ascii="Arial" w:cs="Arial" w:eastAsia="Arial" w:hAnsi="Arial"/>
          <w:sz w:val="20"/>
          <w:szCs w:val="20"/>
          <w:color w:val="auto"/>
        </w:rPr>
        <w:t>The reconciliation of the non-GAAP financial metrics to the most directly comparable GAAP financial measure is presented below. We encourage reviewing the reconciliation in conjunction with the presentation of the non-GAAP financial metrics for each of the periods presented. In future periods, we may exclude similar items, may incur income and expenses similar to these excluded items, and may include other expenses, costs and non-recurring items. With respect to our expectations under "Financial Outlook" above, reconciliation of Adjusted EBITDA and Adjusted EBITDA margin guidance to the closest corresponding GAAP measure is not available without unreasonable efforts on a forward-looking basis due to the high variability, complexity, and low visibility with respect to the charges excluded from these non-GAAP measures, in particular, share-based compensation expense and non-recurring expenses which can have unpredictable fluctuations based on unforeseen activity that is out of our control and/or cannot reasonably be predicted.</w:t>
      </w:r>
    </w:p>
    <w:p>
      <w:pPr>
        <w:spacing w:after="0" w:line="18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Investor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investors@renttherunway.com</w:t>
      </w:r>
    </w:p>
    <w:p>
      <w:pPr>
        <w:spacing w:after="0" w:line="25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Media Contact</w:t>
      </w:r>
    </w:p>
    <w:p>
      <w:pPr>
        <w:spacing w:after="0" w:line="43" w:lineRule="exact"/>
        <w:rPr>
          <w:sz w:val="20"/>
          <w:szCs w:val="20"/>
          <w:color w:val="auto"/>
        </w:rPr>
      </w:pPr>
    </w:p>
    <w:p>
      <w:pPr>
        <w:spacing w:after="0"/>
        <w:rPr>
          <w:sz w:val="20"/>
          <w:szCs w:val="20"/>
          <w:color w:val="auto"/>
        </w:rPr>
      </w:pPr>
      <w:r>
        <w:rPr>
          <w:rFonts w:ascii="Arial" w:cs="Arial" w:eastAsia="Arial" w:hAnsi="Arial"/>
          <w:sz w:val="20"/>
          <w:szCs w:val="20"/>
          <w:color w:val="auto"/>
        </w:rPr>
        <w:t>Alison Rappaport</w:t>
      </w:r>
    </w:p>
    <w:p>
      <w:pPr>
        <w:spacing w:after="0" w:line="17" w:lineRule="exact"/>
        <w:rPr>
          <w:sz w:val="20"/>
          <w:szCs w:val="20"/>
          <w:color w:val="auto"/>
        </w:rPr>
      </w:pPr>
    </w:p>
    <w:p>
      <w:pPr>
        <w:spacing w:after="0"/>
        <w:rPr>
          <w:sz w:val="20"/>
          <w:szCs w:val="20"/>
          <w:color w:val="auto"/>
        </w:rPr>
      </w:pPr>
      <w:r>
        <w:rPr>
          <w:rFonts w:ascii="Arial" w:cs="Arial" w:eastAsia="Arial" w:hAnsi="Arial"/>
          <w:sz w:val="20"/>
          <w:szCs w:val="20"/>
          <w:color w:val="auto"/>
        </w:rPr>
        <w:t>press@renttherunway.com</w:t>
      </w:r>
    </w:p>
    <w:p>
      <w:pPr>
        <w:sectPr>
          <w:pgSz w:w="11900" w:h="16838" w:orient="portrait"/>
          <w:cols w:equalWidth="0" w:num="1">
            <w:col w:w="11240"/>
          </w:cols>
          <w:pgMar w:left="320" w:top="1103" w:right="339" w:bottom="1440" w:gutter="0" w:footer="0" w:header="0"/>
        </w:sectPr>
      </w:pPr>
    </w:p>
    <w:bookmarkStart w:id="9" w:name="page10"/>
    <w:bookmarkEnd w:id="9"/>
    <w:p>
      <w:pPr>
        <w:jc w:val="center"/>
        <w:ind w:right="40"/>
        <w:spacing w:after="0"/>
        <w:rPr>
          <w:sz w:val="20"/>
          <w:szCs w:val="20"/>
          <w:color w:val="auto"/>
        </w:rPr>
      </w:pPr>
      <w:r>
        <w:rPr>
          <w:rFonts w:ascii="Arial" w:cs="Arial" w:eastAsia="Arial" w:hAnsi="Arial"/>
          <w:sz w:val="20"/>
          <w:szCs w:val="20"/>
          <w:b w:val="1"/>
          <w:bCs w:val="1"/>
          <w:color w:val="auto"/>
        </w:rPr>
        <w:t>Rent the Runway, Inc.</w:t>
      </w:r>
    </w:p>
    <w:p>
      <w:pPr>
        <w:jc w:val="center"/>
        <w:ind w:right="40"/>
        <w:spacing w:after="0" w:line="197" w:lineRule="auto"/>
        <w:rPr>
          <w:sz w:val="20"/>
          <w:szCs w:val="20"/>
          <w:color w:val="auto"/>
        </w:rPr>
      </w:pPr>
      <w:r>
        <w:rPr>
          <w:rFonts w:ascii="Arial" w:cs="Arial" w:eastAsia="Arial" w:hAnsi="Arial"/>
          <w:sz w:val="20"/>
          <w:szCs w:val="20"/>
          <w:b w:val="1"/>
          <w:bCs w:val="1"/>
          <w:color w:val="auto"/>
        </w:rPr>
        <w:t>Consolidated Balance Sheets</w:t>
      </w:r>
    </w:p>
    <w:p>
      <w:pPr>
        <w:jc w:val="center"/>
        <w:ind w:right="40"/>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307"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7080" w:type="dxa"/>
            <w:vAlign w:val="bottom"/>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gridSpan w:val="3"/>
          </w:tcPr>
          <w:p>
            <w:pPr>
              <w:jc w:val="right"/>
              <w:ind w:right="35"/>
              <w:spacing w:after="0"/>
              <w:rPr>
                <w:sz w:val="20"/>
                <w:szCs w:val="20"/>
                <w:color w:val="auto"/>
              </w:rPr>
            </w:pPr>
            <w:r>
              <w:rPr>
                <w:rFonts w:ascii="Arial" w:cs="Arial" w:eastAsia="Arial" w:hAnsi="Arial"/>
                <w:sz w:val="14"/>
                <w:szCs w:val="14"/>
                <w:b w:val="1"/>
                <w:bCs w:val="1"/>
                <w:color w:val="auto"/>
              </w:rPr>
              <w:t>January 31,</w:t>
            </w: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1"/>
        </w:trPr>
        <w:tc>
          <w:tcPr>
            <w:tcW w:w="7080" w:type="dxa"/>
            <w:vAlign w:val="bottom"/>
          </w:tcPr>
          <w:p>
            <w:pPr>
              <w:spacing w:after="0"/>
              <w:rPr>
                <w:sz w:val="20"/>
                <w:szCs w:val="20"/>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580" w:type="dxa"/>
            <w:vAlign w:val="bottom"/>
            <w:tcBorders>
              <w:bottom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right"/>
              <w:ind w:right="495"/>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6"/>
        </w:trPr>
        <w:tc>
          <w:tcPr>
            <w:tcW w:w="7080" w:type="dxa"/>
            <w:vAlign w:val="bottom"/>
          </w:tcPr>
          <w:p>
            <w:pPr>
              <w:spacing w:after="0"/>
              <w:rPr>
                <w:sz w:val="20"/>
                <w:szCs w:val="20"/>
                <w:color w:val="auto"/>
              </w:rPr>
            </w:pPr>
            <w:r>
              <w:rPr>
                <w:rFonts w:ascii="Arial" w:cs="Arial" w:eastAsia="Arial" w:hAnsi="Arial"/>
                <w:sz w:val="17"/>
                <w:szCs w:val="17"/>
                <w:b w:val="1"/>
                <w:bCs w:val="1"/>
                <w:color w:val="auto"/>
              </w:rPr>
              <w:t>Assets</w:t>
            </w:r>
          </w:p>
        </w:tc>
        <w:tc>
          <w:tcPr>
            <w:tcW w:w="92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7"/>
        </w:trPr>
        <w:tc>
          <w:tcPr>
            <w:tcW w:w="7080" w:type="dxa"/>
            <w:vAlign w:val="bottom"/>
          </w:tcPr>
          <w:p>
            <w:pPr>
              <w:spacing w:after="0"/>
              <w:rPr>
                <w:sz w:val="20"/>
                <w:szCs w:val="20"/>
                <w:color w:val="auto"/>
              </w:rPr>
            </w:pPr>
            <w:r>
              <w:rPr>
                <w:rFonts w:ascii="Arial" w:cs="Arial" w:eastAsia="Arial" w:hAnsi="Arial"/>
                <w:sz w:val="17"/>
                <w:szCs w:val="17"/>
                <w:color w:val="auto"/>
              </w:rPr>
              <w:t>Current assets:</w:t>
            </w:r>
          </w:p>
        </w:tc>
        <w:tc>
          <w:tcPr>
            <w:tcW w:w="92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7"/>
        </w:trPr>
        <w:tc>
          <w:tcPr>
            <w:tcW w:w="7080" w:type="dxa"/>
            <w:vAlign w:val="bottom"/>
          </w:tcPr>
          <w:p>
            <w:pPr>
              <w:ind w:left="320"/>
              <w:spacing w:after="0"/>
              <w:rPr>
                <w:sz w:val="20"/>
                <w:szCs w:val="20"/>
                <w:color w:val="auto"/>
              </w:rPr>
            </w:pPr>
            <w:r>
              <w:rPr>
                <w:rFonts w:ascii="Arial" w:cs="Arial" w:eastAsia="Arial" w:hAnsi="Arial"/>
                <w:sz w:val="17"/>
                <w:szCs w:val="17"/>
                <w:color w:val="auto"/>
              </w:rPr>
              <w:t>Cash and cash equivalents</w:t>
            </w:r>
          </w:p>
        </w:tc>
        <w:tc>
          <w:tcPr>
            <w:tcW w:w="920" w:type="dxa"/>
            <w:vAlign w:val="bottom"/>
          </w:tcPr>
          <w:p>
            <w:pPr>
              <w:jc w:val="right"/>
              <w:ind w:right="717"/>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247.6</w:t>
            </w:r>
          </w:p>
        </w:tc>
        <w:tc>
          <w:tcPr>
            <w:tcW w:w="80" w:type="dxa"/>
            <w:vAlign w:val="bottom"/>
          </w:tcPr>
          <w:p>
            <w:pPr>
              <w:spacing w:after="0"/>
              <w:rPr>
                <w:sz w:val="22"/>
                <w:szCs w:val="22"/>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95.3</w:t>
            </w:r>
          </w:p>
        </w:tc>
        <w:tc>
          <w:tcPr>
            <w:tcW w:w="0" w:type="dxa"/>
            <w:vAlign w:val="bottom"/>
          </w:tcPr>
          <w:p>
            <w:pPr>
              <w:spacing w:after="0"/>
              <w:rPr>
                <w:sz w:val="1"/>
                <w:szCs w:val="1"/>
                <w:color w:val="auto"/>
              </w:rPr>
            </w:pPr>
          </w:p>
        </w:tc>
      </w:tr>
      <w:tr>
        <w:trPr>
          <w:trHeight w:val="257"/>
        </w:trPr>
        <w:tc>
          <w:tcPr>
            <w:tcW w:w="7080" w:type="dxa"/>
            <w:vAlign w:val="bottom"/>
          </w:tcPr>
          <w:p>
            <w:pPr>
              <w:ind w:left="320"/>
              <w:spacing w:after="0"/>
              <w:rPr>
                <w:sz w:val="20"/>
                <w:szCs w:val="20"/>
                <w:color w:val="auto"/>
              </w:rPr>
            </w:pPr>
            <w:r>
              <w:rPr>
                <w:rFonts w:ascii="Arial" w:cs="Arial" w:eastAsia="Arial" w:hAnsi="Arial"/>
                <w:sz w:val="17"/>
                <w:szCs w:val="17"/>
                <w:color w:val="auto"/>
              </w:rPr>
              <w:t>Restricted cash, current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w:t>
            </w:r>
          </w:p>
        </w:tc>
        <w:tc>
          <w:tcPr>
            <w:tcW w:w="0" w:type="dxa"/>
            <w:vAlign w:val="bottom"/>
          </w:tcPr>
          <w:p>
            <w:pPr>
              <w:spacing w:after="0"/>
              <w:rPr>
                <w:sz w:val="1"/>
                <w:szCs w:val="1"/>
                <w:color w:val="auto"/>
              </w:rPr>
            </w:pPr>
          </w:p>
        </w:tc>
      </w:tr>
      <w:tr>
        <w:trPr>
          <w:trHeight w:val="256"/>
        </w:trPr>
        <w:tc>
          <w:tcPr>
            <w:tcW w:w="7080" w:type="dxa"/>
            <w:vAlign w:val="bottom"/>
          </w:tcPr>
          <w:p>
            <w:pPr>
              <w:ind w:left="320"/>
              <w:spacing w:after="0"/>
              <w:rPr>
                <w:sz w:val="20"/>
                <w:szCs w:val="20"/>
                <w:color w:val="auto"/>
              </w:rPr>
            </w:pPr>
            <w:r>
              <w:rPr>
                <w:rFonts w:ascii="Arial" w:cs="Arial" w:eastAsia="Arial" w:hAnsi="Arial"/>
                <w:sz w:val="17"/>
                <w:szCs w:val="17"/>
                <w:color w:val="auto"/>
              </w:rPr>
              <w:t>Prepaid expenses and other current assets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11.7</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640"/>
              <w:spacing w:after="0"/>
              <w:rPr>
                <w:sz w:val="20"/>
                <w:szCs w:val="20"/>
                <w:color w:val="auto"/>
              </w:rPr>
            </w:pPr>
            <w:r>
              <w:rPr>
                <w:rFonts w:ascii="Arial" w:cs="Arial" w:eastAsia="Arial" w:hAnsi="Arial"/>
                <w:sz w:val="17"/>
                <w:szCs w:val="17"/>
                <w:color w:val="auto"/>
              </w:rPr>
              <w:t>Total current assets</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264.7</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103.4</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Arial" w:cs="Arial" w:eastAsia="Arial" w:hAnsi="Arial"/>
                <w:sz w:val="17"/>
                <w:szCs w:val="17"/>
                <w:color w:val="auto"/>
              </w:rPr>
              <w:t>Restricted cash</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6.6</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10.5</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Arial" w:cs="Arial" w:eastAsia="Arial" w:hAnsi="Arial"/>
                <w:sz w:val="17"/>
                <w:szCs w:val="17"/>
                <w:color w:val="auto"/>
              </w:rPr>
              <w:t>Rental product, net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76.3</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97.6</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Arial" w:cs="Arial" w:eastAsia="Arial" w:hAnsi="Arial"/>
                <w:sz w:val="17"/>
                <w:szCs w:val="17"/>
                <w:color w:val="auto"/>
              </w:rPr>
              <w:t>Fixed assets, net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57.2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64.7</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Arial" w:cs="Arial" w:eastAsia="Arial" w:hAnsi="Arial"/>
                <w:sz w:val="17"/>
                <w:szCs w:val="17"/>
                <w:color w:val="auto"/>
              </w:rPr>
              <w:t>Intangible assets, net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6.4</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7.8</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Arial" w:cs="Arial" w:eastAsia="Arial" w:hAnsi="Arial"/>
                <w:sz w:val="17"/>
                <w:szCs w:val="17"/>
                <w:color w:val="auto"/>
              </w:rPr>
              <w:t>Operating lease right-of-use assets</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31.5</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34.9</w:t>
            </w:r>
          </w:p>
        </w:tc>
        <w:tc>
          <w:tcPr>
            <w:tcW w:w="0" w:type="dxa"/>
            <w:vAlign w:val="bottom"/>
          </w:tcPr>
          <w:p>
            <w:pPr>
              <w:spacing w:after="0"/>
              <w:rPr>
                <w:sz w:val="1"/>
                <w:szCs w:val="1"/>
                <w:color w:val="auto"/>
              </w:rPr>
            </w:pPr>
          </w:p>
        </w:tc>
      </w:tr>
      <w:tr>
        <w:trPr>
          <w:trHeight w:val="270"/>
        </w:trPr>
        <w:tc>
          <w:tcPr>
            <w:tcW w:w="7080" w:type="dxa"/>
            <w:vAlign w:val="bottom"/>
          </w:tcPr>
          <w:p>
            <w:pPr>
              <w:spacing w:after="0"/>
              <w:rPr>
                <w:sz w:val="20"/>
                <w:szCs w:val="20"/>
                <w:color w:val="auto"/>
              </w:rPr>
            </w:pPr>
            <w:r>
              <w:rPr>
                <w:rFonts w:ascii="Arial" w:cs="Arial" w:eastAsia="Arial" w:hAnsi="Arial"/>
                <w:sz w:val="17"/>
                <w:szCs w:val="17"/>
                <w:color w:val="auto"/>
              </w:rPr>
              <w:t>Other assets</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4.8</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1.8</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Pr>
          <w:p>
            <w:pPr>
              <w:ind w:left="640"/>
              <w:spacing w:after="0"/>
              <w:rPr>
                <w:sz w:val="20"/>
                <w:szCs w:val="20"/>
                <w:color w:val="auto"/>
              </w:rPr>
            </w:pPr>
            <w:r>
              <w:rPr>
                <w:rFonts w:ascii="Arial" w:cs="Arial" w:eastAsia="Arial" w:hAnsi="Arial"/>
                <w:sz w:val="17"/>
                <w:szCs w:val="17"/>
                <w:color w:val="auto"/>
              </w:rPr>
              <w:t>Total assets</w:t>
            </w:r>
          </w:p>
        </w:tc>
        <w:tc>
          <w:tcPr>
            <w:tcW w:w="920" w:type="dxa"/>
            <w:vAlign w:val="bottom"/>
            <w:tcBorders>
              <w:bottom w:val="single" w:sz="8" w:color="auto"/>
            </w:tcBorders>
          </w:tcPr>
          <w:p>
            <w:pPr>
              <w:jc w:val="right"/>
              <w:ind w:right="71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320.7</w:t>
            </w:r>
          </w:p>
        </w:tc>
        <w:tc>
          <w:tcPr>
            <w:tcW w:w="0" w:type="dxa"/>
            <w:vAlign w:val="bottom"/>
          </w:tcPr>
          <w:p>
            <w:pPr>
              <w:spacing w:after="0"/>
              <w:rPr>
                <w:sz w:val="1"/>
                <w:szCs w:val="1"/>
                <w:color w:val="auto"/>
              </w:rPr>
            </w:pPr>
          </w:p>
        </w:tc>
      </w:tr>
      <w:tr>
        <w:trPr>
          <w:trHeight w:val="21"/>
        </w:trPr>
        <w:tc>
          <w:tcPr>
            <w:tcW w:w="7080" w:type="dxa"/>
            <w:vAlign w:val="bottom"/>
            <w:vMerge w:val="restart"/>
          </w:tcPr>
          <w:p>
            <w:pPr>
              <w:spacing w:after="0"/>
              <w:rPr>
                <w:sz w:val="20"/>
                <w:szCs w:val="20"/>
                <w:color w:val="auto"/>
              </w:rPr>
            </w:pPr>
            <w:r>
              <w:rPr>
                <w:rFonts w:ascii="Arial" w:cs="Arial" w:eastAsia="Arial" w:hAnsi="Arial"/>
                <w:sz w:val="16"/>
                <w:szCs w:val="16"/>
                <w:b w:val="1"/>
                <w:bCs w:val="1"/>
                <w:color w:val="auto"/>
              </w:rPr>
              <w:t>Liabilities, Redeemable Preferred Stock and Stockholders’ Equity (Deficit)</w:t>
            </w: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2"/>
        </w:trPr>
        <w:tc>
          <w:tcPr>
            <w:tcW w:w="7080" w:type="dxa"/>
            <w:vAlign w:val="bottom"/>
            <w:vMerge w:val="continue"/>
          </w:tcPr>
          <w:p>
            <w:pPr>
              <w:spacing w:after="0"/>
              <w:rPr>
                <w:sz w:val="17"/>
                <w:szCs w:val="17"/>
                <w:color w:val="auto"/>
              </w:rPr>
            </w:pPr>
          </w:p>
        </w:tc>
        <w:tc>
          <w:tcPr>
            <w:tcW w:w="92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7"/>
        </w:trPr>
        <w:tc>
          <w:tcPr>
            <w:tcW w:w="7080" w:type="dxa"/>
            <w:vAlign w:val="bottom"/>
          </w:tcPr>
          <w:p>
            <w:pPr>
              <w:spacing w:after="0"/>
              <w:rPr>
                <w:sz w:val="20"/>
                <w:szCs w:val="20"/>
                <w:color w:val="auto"/>
              </w:rPr>
            </w:pPr>
            <w:r>
              <w:rPr>
                <w:rFonts w:ascii="Arial" w:cs="Arial" w:eastAsia="Arial" w:hAnsi="Arial"/>
                <w:sz w:val="17"/>
                <w:szCs w:val="17"/>
                <w:color w:val="auto"/>
              </w:rPr>
              <w:t>Current liabilities:</w:t>
            </w:r>
          </w:p>
        </w:tc>
        <w:tc>
          <w:tcPr>
            <w:tcW w:w="9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7080" w:type="dxa"/>
            <w:vAlign w:val="bottom"/>
          </w:tcPr>
          <w:p>
            <w:pPr>
              <w:ind w:left="320"/>
              <w:spacing w:after="0"/>
              <w:rPr>
                <w:sz w:val="20"/>
                <w:szCs w:val="20"/>
                <w:color w:val="auto"/>
              </w:rPr>
            </w:pPr>
            <w:r>
              <w:rPr>
                <w:rFonts w:ascii="Arial" w:cs="Arial" w:eastAsia="Arial" w:hAnsi="Arial"/>
                <w:sz w:val="17"/>
                <w:szCs w:val="17"/>
                <w:color w:val="auto"/>
              </w:rPr>
              <w:t>Accounts payable</w:t>
            </w:r>
          </w:p>
        </w:tc>
        <w:tc>
          <w:tcPr>
            <w:tcW w:w="920" w:type="dxa"/>
            <w:vAlign w:val="bottom"/>
          </w:tcPr>
          <w:p>
            <w:pPr>
              <w:jc w:val="right"/>
              <w:ind w:right="717"/>
              <w:spacing w:after="0"/>
              <w:rPr>
                <w:sz w:val="20"/>
                <w:szCs w:val="20"/>
                <w:color w:val="auto"/>
              </w:rPr>
            </w:pPr>
            <w:r>
              <w:rPr>
                <w:rFonts w:ascii="Arial" w:cs="Arial" w:eastAsia="Arial" w:hAnsi="Arial"/>
                <w:sz w:val="17"/>
                <w:szCs w:val="17"/>
                <w:color w:val="auto"/>
              </w:rPr>
              <w:t>$</w:t>
            </w:r>
          </w:p>
        </w:tc>
        <w:tc>
          <w:tcPr>
            <w:tcW w:w="580" w:type="dxa"/>
            <w:vAlign w:val="bottom"/>
          </w:tcPr>
          <w:p>
            <w:pPr>
              <w:jc w:val="right"/>
              <w:spacing w:after="0"/>
              <w:rPr>
                <w:sz w:val="20"/>
                <w:szCs w:val="20"/>
                <w:color w:val="auto"/>
              </w:rPr>
            </w:pPr>
            <w:r>
              <w:rPr>
                <w:rFonts w:ascii="Arial" w:cs="Arial" w:eastAsia="Arial" w:hAnsi="Arial"/>
                <w:sz w:val="17"/>
                <w:szCs w:val="17"/>
                <w:color w:val="auto"/>
              </w:rPr>
              <w:t>15.9</w:t>
            </w:r>
          </w:p>
        </w:tc>
        <w:tc>
          <w:tcPr>
            <w:tcW w:w="80" w:type="dxa"/>
            <w:vAlign w:val="bottom"/>
          </w:tcPr>
          <w:p>
            <w:pPr>
              <w:spacing w:after="0"/>
              <w:rPr>
                <w:sz w:val="22"/>
                <w:szCs w:val="22"/>
                <w:color w:val="auto"/>
              </w:rPr>
            </w:pPr>
          </w:p>
        </w:tc>
        <w:tc>
          <w:tcPr>
            <w:tcW w:w="480" w:type="dxa"/>
            <w:vAlign w:val="bottom"/>
          </w:tcPr>
          <w:p>
            <w:pPr>
              <w:jc w:val="right"/>
              <w:ind w:right="275"/>
              <w:spacing w:after="0"/>
              <w:rPr>
                <w:sz w:val="20"/>
                <w:szCs w:val="20"/>
                <w:color w:val="auto"/>
              </w:rPr>
            </w:pPr>
            <w:r>
              <w:rPr>
                <w:rFonts w:ascii="Arial" w:cs="Arial" w:eastAsia="Arial" w:hAnsi="Arial"/>
                <w:sz w:val="17"/>
                <w:szCs w:val="17"/>
                <w:color w:val="auto"/>
              </w:rPr>
              <w:t>$</w:t>
            </w:r>
          </w:p>
        </w:tc>
        <w:tc>
          <w:tcPr>
            <w:tcW w:w="1020" w:type="dxa"/>
            <w:vAlign w:val="bottom"/>
          </w:tcPr>
          <w:p>
            <w:pPr>
              <w:jc w:val="right"/>
              <w:spacing w:after="0"/>
              <w:rPr>
                <w:sz w:val="20"/>
                <w:szCs w:val="20"/>
                <w:color w:val="auto"/>
              </w:rPr>
            </w:pPr>
            <w:r>
              <w:rPr>
                <w:rFonts w:ascii="Arial" w:cs="Arial" w:eastAsia="Arial" w:hAnsi="Arial"/>
                <w:sz w:val="17"/>
                <w:szCs w:val="17"/>
                <w:color w:val="auto"/>
              </w:rPr>
              <w:t>7.2</w:t>
            </w:r>
          </w:p>
        </w:tc>
        <w:tc>
          <w:tcPr>
            <w:tcW w:w="0" w:type="dxa"/>
            <w:vAlign w:val="bottom"/>
          </w:tcPr>
          <w:p>
            <w:pPr>
              <w:spacing w:after="0"/>
              <w:rPr>
                <w:sz w:val="1"/>
                <w:szCs w:val="1"/>
                <w:color w:val="auto"/>
              </w:rPr>
            </w:pPr>
          </w:p>
        </w:tc>
      </w:tr>
      <w:tr>
        <w:trPr>
          <w:trHeight w:val="256"/>
        </w:trPr>
        <w:tc>
          <w:tcPr>
            <w:tcW w:w="7080" w:type="dxa"/>
            <w:vAlign w:val="bottom"/>
          </w:tcPr>
          <w:p>
            <w:pPr>
              <w:ind w:left="320"/>
              <w:spacing w:after="0"/>
              <w:rPr>
                <w:sz w:val="20"/>
                <w:szCs w:val="20"/>
                <w:color w:val="auto"/>
              </w:rPr>
            </w:pPr>
            <w:r>
              <w:rPr>
                <w:rFonts w:ascii="Arial" w:cs="Arial" w:eastAsia="Arial" w:hAnsi="Arial"/>
                <w:sz w:val="17"/>
                <w:szCs w:val="17"/>
                <w:color w:val="auto"/>
              </w:rPr>
              <w:t>Accrued expenses and other current liabilities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30.0</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14.1</w:t>
            </w:r>
          </w:p>
        </w:tc>
        <w:tc>
          <w:tcPr>
            <w:tcW w:w="0" w:type="dxa"/>
            <w:vAlign w:val="bottom"/>
          </w:tcPr>
          <w:p>
            <w:pPr>
              <w:spacing w:after="0"/>
              <w:rPr>
                <w:sz w:val="1"/>
                <w:szCs w:val="1"/>
                <w:color w:val="auto"/>
              </w:rPr>
            </w:pPr>
          </w:p>
        </w:tc>
      </w:tr>
      <w:tr>
        <w:trPr>
          <w:trHeight w:val="257"/>
        </w:trPr>
        <w:tc>
          <w:tcPr>
            <w:tcW w:w="7080" w:type="dxa"/>
            <w:vAlign w:val="bottom"/>
          </w:tcPr>
          <w:p>
            <w:pPr>
              <w:ind w:left="320"/>
              <w:spacing w:after="0"/>
              <w:rPr>
                <w:sz w:val="20"/>
                <w:szCs w:val="20"/>
                <w:color w:val="auto"/>
              </w:rPr>
            </w:pPr>
            <w:r>
              <w:rPr>
                <w:rFonts w:ascii="Arial" w:cs="Arial" w:eastAsia="Arial" w:hAnsi="Arial"/>
                <w:sz w:val="17"/>
                <w:szCs w:val="17"/>
                <w:color w:val="auto"/>
              </w:rPr>
              <w:t>Deferred revenue</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10.4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5.6</w:t>
            </w:r>
          </w:p>
        </w:tc>
        <w:tc>
          <w:tcPr>
            <w:tcW w:w="0" w:type="dxa"/>
            <w:vAlign w:val="bottom"/>
          </w:tcPr>
          <w:p>
            <w:pPr>
              <w:spacing w:after="0"/>
              <w:rPr>
                <w:sz w:val="1"/>
                <w:szCs w:val="1"/>
                <w:color w:val="auto"/>
              </w:rPr>
            </w:pPr>
          </w:p>
        </w:tc>
      </w:tr>
      <w:tr>
        <w:trPr>
          <w:trHeight w:val="256"/>
        </w:trPr>
        <w:tc>
          <w:tcPr>
            <w:tcW w:w="7080" w:type="dxa"/>
            <w:vAlign w:val="bottom"/>
          </w:tcPr>
          <w:p>
            <w:pPr>
              <w:ind w:left="320"/>
              <w:spacing w:after="0"/>
              <w:rPr>
                <w:sz w:val="20"/>
                <w:szCs w:val="20"/>
                <w:color w:val="auto"/>
              </w:rPr>
            </w:pPr>
            <w:r>
              <w:rPr>
                <w:rFonts w:ascii="Arial" w:cs="Arial" w:eastAsia="Arial" w:hAnsi="Arial"/>
                <w:sz w:val="17"/>
                <w:szCs w:val="17"/>
                <w:color w:val="auto"/>
              </w:rPr>
              <w:t>Customer credit liabilities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6.9</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7.0</w:t>
            </w:r>
          </w:p>
        </w:tc>
        <w:tc>
          <w:tcPr>
            <w:tcW w:w="0" w:type="dxa"/>
            <w:vAlign w:val="bottom"/>
          </w:tcPr>
          <w:p>
            <w:pPr>
              <w:spacing w:after="0"/>
              <w:rPr>
                <w:sz w:val="1"/>
                <w:szCs w:val="1"/>
                <w:color w:val="auto"/>
              </w:rPr>
            </w:pPr>
          </w:p>
        </w:tc>
      </w:tr>
      <w:tr>
        <w:trPr>
          <w:trHeight w:val="257"/>
        </w:trPr>
        <w:tc>
          <w:tcPr>
            <w:tcW w:w="7080" w:type="dxa"/>
            <w:vAlign w:val="bottom"/>
          </w:tcPr>
          <w:p>
            <w:pPr>
              <w:ind w:left="320"/>
              <w:spacing w:after="0"/>
              <w:rPr>
                <w:sz w:val="20"/>
                <w:szCs w:val="20"/>
                <w:color w:val="auto"/>
              </w:rPr>
            </w:pPr>
            <w:r>
              <w:rPr>
                <w:rFonts w:ascii="Arial" w:cs="Arial" w:eastAsia="Arial" w:hAnsi="Arial"/>
                <w:sz w:val="17"/>
                <w:szCs w:val="17"/>
                <w:color w:val="auto"/>
              </w:rPr>
              <w:t>Operating lease liabilities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5.6</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6.7</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640"/>
              <w:spacing w:after="0"/>
              <w:rPr>
                <w:sz w:val="20"/>
                <w:szCs w:val="20"/>
                <w:color w:val="auto"/>
              </w:rPr>
            </w:pPr>
            <w:r>
              <w:rPr>
                <w:rFonts w:ascii="Arial" w:cs="Arial" w:eastAsia="Arial" w:hAnsi="Arial"/>
                <w:sz w:val="17"/>
                <w:szCs w:val="17"/>
                <w:color w:val="auto"/>
              </w:rPr>
              <w:t>Total current liabilities</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68.8</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40.6</w:t>
            </w:r>
          </w:p>
        </w:tc>
        <w:tc>
          <w:tcPr>
            <w:tcW w:w="0" w:type="dxa"/>
            <w:vAlign w:val="bottom"/>
          </w:tcPr>
          <w:p>
            <w:pPr>
              <w:spacing w:after="0"/>
              <w:rPr>
                <w:sz w:val="1"/>
                <w:szCs w:val="1"/>
                <w:color w:val="auto"/>
              </w:rPr>
            </w:pPr>
          </w:p>
        </w:tc>
      </w:tr>
      <w:tr>
        <w:trPr>
          <w:trHeight w:val="256"/>
        </w:trPr>
        <w:tc>
          <w:tcPr>
            <w:tcW w:w="7080" w:type="dxa"/>
            <w:vAlign w:val="bottom"/>
          </w:tcPr>
          <w:p>
            <w:pPr>
              <w:spacing w:after="0"/>
              <w:rPr>
                <w:sz w:val="20"/>
                <w:szCs w:val="20"/>
                <w:color w:val="auto"/>
              </w:rPr>
            </w:pPr>
            <w:r>
              <w:rPr>
                <w:rFonts w:ascii="Arial" w:cs="Arial" w:eastAsia="Arial" w:hAnsi="Arial"/>
                <w:sz w:val="17"/>
                <w:szCs w:val="17"/>
                <w:color w:val="auto"/>
              </w:rPr>
              <w:t>Long-term debt, net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260.8</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355.1</w:t>
            </w:r>
          </w:p>
        </w:tc>
        <w:tc>
          <w:tcPr>
            <w:tcW w:w="0" w:type="dxa"/>
            <w:vAlign w:val="bottom"/>
          </w:tcPr>
          <w:p>
            <w:pPr>
              <w:spacing w:after="0"/>
              <w:rPr>
                <w:sz w:val="1"/>
                <w:szCs w:val="1"/>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17"/>
                <w:szCs w:val="17"/>
                <w:color w:val="auto"/>
              </w:rPr>
              <w:t>Operating lease liabilities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46.4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51.5</w:t>
            </w:r>
          </w:p>
        </w:tc>
        <w:tc>
          <w:tcPr>
            <w:tcW w:w="0" w:type="dxa"/>
            <w:vAlign w:val="bottom"/>
          </w:tcPr>
          <w:p>
            <w:pPr>
              <w:spacing w:after="0"/>
              <w:rPr>
                <w:sz w:val="1"/>
                <w:szCs w:val="1"/>
                <w:color w:val="auto"/>
              </w:rPr>
            </w:pPr>
          </w:p>
        </w:tc>
      </w:tr>
      <w:tr>
        <w:trPr>
          <w:trHeight w:val="256"/>
        </w:trPr>
        <w:tc>
          <w:tcPr>
            <w:tcW w:w="7080" w:type="dxa"/>
            <w:vAlign w:val="bottom"/>
          </w:tcPr>
          <w:p>
            <w:pPr>
              <w:spacing w:after="0"/>
              <w:rPr>
                <w:sz w:val="20"/>
                <w:szCs w:val="20"/>
                <w:color w:val="auto"/>
              </w:rPr>
            </w:pPr>
            <w:r>
              <w:rPr>
                <w:rFonts w:ascii="Arial" w:cs="Arial" w:eastAsia="Arial" w:hAnsi="Arial"/>
                <w:sz w:val="17"/>
                <w:szCs w:val="17"/>
                <w:color w:val="auto"/>
              </w:rPr>
              <w:t>Warrant liability</w:t>
            </w:r>
          </w:p>
        </w:tc>
        <w:tc>
          <w:tcPr>
            <w:tcW w:w="92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11.8</w:t>
            </w:r>
          </w:p>
        </w:tc>
        <w:tc>
          <w:tcPr>
            <w:tcW w:w="0" w:type="dxa"/>
            <w:vAlign w:val="bottom"/>
          </w:tcPr>
          <w:p>
            <w:pPr>
              <w:spacing w:after="0"/>
              <w:rPr>
                <w:sz w:val="1"/>
                <w:szCs w:val="1"/>
                <w:color w:val="auto"/>
              </w:rPr>
            </w:pPr>
          </w:p>
        </w:tc>
      </w:tr>
      <w:tr>
        <w:trPr>
          <w:trHeight w:val="257"/>
        </w:trPr>
        <w:tc>
          <w:tcPr>
            <w:tcW w:w="7080" w:type="dxa"/>
            <w:vAlign w:val="bottom"/>
          </w:tcPr>
          <w:p>
            <w:pPr>
              <w:spacing w:after="0"/>
              <w:rPr>
                <w:sz w:val="20"/>
                <w:szCs w:val="20"/>
                <w:color w:val="auto"/>
              </w:rPr>
            </w:pPr>
            <w:r>
              <w:rPr>
                <w:rFonts w:ascii="Arial" w:cs="Arial" w:eastAsia="Arial" w:hAnsi="Arial"/>
                <w:sz w:val="17"/>
                <w:szCs w:val="17"/>
                <w:color w:val="auto"/>
              </w:rPr>
              <w:t>Other liabilities</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0.4</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0.3</w:t>
            </w:r>
          </w:p>
        </w:tc>
        <w:tc>
          <w:tcPr>
            <w:tcW w:w="0" w:type="dxa"/>
            <w:vAlign w:val="bottom"/>
          </w:tcPr>
          <w:p>
            <w:pPr>
              <w:spacing w:after="0"/>
              <w:rPr>
                <w:sz w:val="1"/>
                <w:szCs w:val="1"/>
                <w:color w:val="auto"/>
              </w:rPr>
            </w:pPr>
          </w:p>
        </w:tc>
      </w:tr>
      <w:tr>
        <w:trPr>
          <w:trHeight w:val="27"/>
        </w:trPr>
        <w:tc>
          <w:tcPr>
            <w:tcW w:w="7080" w:type="dxa"/>
            <w:vAlign w:val="bottom"/>
            <w:vMerge w:val="restart"/>
          </w:tcPr>
          <w:p>
            <w:pPr>
              <w:ind w:left="640"/>
              <w:spacing w:after="0"/>
              <w:rPr>
                <w:sz w:val="20"/>
                <w:szCs w:val="20"/>
                <w:color w:val="auto"/>
              </w:rPr>
            </w:pPr>
            <w:r>
              <w:rPr>
                <w:rFonts w:ascii="Arial" w:cs="Arial" w:eastAsia="Arial" w:hAnsi="Arial"/>
                <w:sz w:val="17"/>
                <w:szCs w:val="17"/>
                <w:color w:val="auto"/>
              </w:rPr>
              <w:t>Total liabilities</w:t>
            </w: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080" w:type="dxa"/>
            <w:vAlign w:val="bottom"/>
            <w:vMerge w:val="continue"/>
          </w:tcPr>
          <w:p>
            <w:pPr>
              <w:spacing w:after="0"/>
              <w:rPr>
                <w:sz w:val="19"/>
                <w:szCs w:val="19"/>
                <w:color w:val="auto"/>
              </w:rPr>
            </w:pPr>
          </w:p>
        </w:tc>
        <w:tc>
          <w:tcPr>
            <w:tcW w:w="92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376.4</w:t>
            </w: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459.3</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426"/>
        </w:trPr>
        <w:tc>
          <w:tcPr>
            <w:tcW w:w="7080" w:type="dxa"/>
            <w:vAlign w:val="bottom"/>
          </w:tcPr>
          <w:p>
            <w:pPr>
              <w:spacing w:after="0"/>
              <w:rPr>
                <w:sz w:val="20"/>
                <w:szCs w:val="20"/>
                <w:color w:val="auto"/>
              </w:rPr>
            </w:pPr>
            <w:r>
              <w:rPr>
                <w:rFonts w:ascii="Arial" w:cs="Arial" w:eastAsia="Arial" w:hAnsi="Arial"/>
                <w:sz w:val="17"/>
                <w:szCs w:val="17"/>
                <w:color w:val="auto"/>
              </w:rPr>
              <w:t>Redeemable preferred stock</w:t>
            </w:r>
          </w:p>
        </w:tc>
        <w:tc>
          <w:tcPr>
            <w:tcW w:w="920" w:type="dxa"/>
            <w:vAlign w:val="bottom"/>
          </w:tcPr>
          <w:p>
            <w:pPr>
              <w:spacing w:after="0"/>
              <w:rPr>
                <w:sz w:val="24"/>
                <w:szCs w:val="24"/>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4"/>
                <w:szCs w:val="24"/>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388.1</w:t>
            </w:r>
          </w:p>
        </w:tc>
        <w:tc>
          <w:tcPr>
            <w:tcW w:w="0" w:type="dxa"/>
            <w:vAlign w:val="bottom"/>
          </w:tcPr>
          <w:p>
            <w:pPr>
              <w:spacing w:after="0"/>
              <w:rPr>
                <w:sz w:val="1"/>
                <w:szCs w:val="1"/>
                <w:color w:val="auto"/>
              </w:rPr>
            </w:pPr>
          </w:p>
        </w:tc>
      </w:tr>
      <w:tr>
        <w:trPr>
          <w:trHeight w:val="256"/>
        </w:trPr>
        <w:tc>
          <w:tcPr>
            <w:tcW w:w="7080" w:type="dxa"/>
            <w:vAlign w:val="bottom"/>
          </w:tcPr>
          <w:p>
            <w:pPr>
              <w:spacing w:after="0"/>
              <w:rPr>
                <w:sz w:val="20"/>
                <w:szCs w:val="20"/>
                <w:color w:val="auto"/>
              </w:rPr>
            </w:pPr>
            <w:r>
              <w:rPr>
                <w:rFonts w:ascii="Arial" w:cs="Arial" w:eastAsia="Arial" w:hAnsi="Arial"/>
                <w:sz w:val="17"/>
                <w:szCs w:val="17"/>
                <w:color w:val="auto"/>
              </w:rPr>
              <w:t>Stockholders’ equity</w:t>
            </w:r>
          </w:p>
        </w:tc>
        <w:tc>
          <w:tcPr>
            <w:tcW w:w="92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7"/>
        </w:trPr>
        <w:tc>
          <w:tcPr>
            <w:tcW w:w="7080" w:type="dxa"/>
            <w:vAlign w:val="bottom"/>
          </w:tcPr>
          <w:p>
            <w:pPr>
              <w:ind w:left="320"/>
              <w:spacing w:after="0"/>
              <w:rPr>
                <w:sz w:val="20"/>
                <w:szCs w:val="20"/>
                <w:color w:val="auto"/>
              </w:rPr>
            </w:pPr>
            <w:r>
              <w:rPr>
                <w:rFonts w:ascii="Arial" w:cs="Arial" w:eastAsia="Arial" w:hAnsi="Arial"/>
                <w:sz w:val="17"/>
                <w:szCs w:val="17"/>
                <w:color w:val="auto"/>
              </w:rPr>
              <w:t>Common stock</w:t>
            </w:r>
          </w:p>
        </w:tc>
        <w:tc>
          <w:tcPr>
            <w:tcW w:w="920" w:type="dxa"/>
            <w:vAlign w:val="bottom"/>
          </w:tcPr>
          <w:p>
            <w:pPr>
              <w:spacing w:after="0"/>
              <w:rPr>
                <w:sz w:val="22"/>
                <w:szCs w:val="22"/>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080" w:type="dxa"/>
            <w:vAlign w:val="bottom"/>
          </w:tcPr>
          <w:p>
            <w:pPr>
              <w:ind w:left="320"/>
              <w:spacing w:after="0"/>
              <w:rPr>
                <w:sz w:val="20"/>
                <w:szCs w:val="20"/>
                <w:color w:val="auto"/>
              </w:rPr>
            </w:pPr>
            <w:r>
              <w:rPr>
                <w:rFonts w:ascii="Arial" w:cs="Arial" w:eastAsia="Arial" w:hAnsi="Arial"/>
                <w:sz w:val="17"/>
                <w:szCs w:val="17"/>
                <w:color w:val="auto"/>
              </w:rPr>
              <w:t>Class A common stock</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0.1</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080" w:type="dxa"/>
            <w:vAlign w:val="bottom"/>
          </w:tcPr>
          <w:p>
            <w:pPr>
              <w:ind w:left="320"/>
              <w:spacing w:after="0"/>
              <w:rPr>
                <w:sz w:val="20"/>
                <w:szCs w:val="20"/>
                <w:color w:val="auto"/>
              </w:rPr>
            </w:pPr>
            <w:r>
              <w:rPr>
                <w:rFonts w:ascii="Arial" w:cs="Arial" w:eastAsia="Arial" w:hAnsi="Arial"/>
                <w:sz w:val="17"/>
                <w:szCs w:val="17"/>
                <w:color w:val="auto"/>
              </w:rPr>
              <w:t>Class B common stock</w:t>
            </w:r>
          </w:p>
        </w:tc>
        <w:tc>
          <w:tcPr>
            <w:tcW w:w="92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080" w:type="dxa"/>
            <w:vAlign w:val="bottom"/>
          </w:tcPr>
          <w:p>
            <w:pPr>
              <w:ind w:left="320"/>
              <w:spacing w:after="0"/>
              <w:rPr>
                <w:sz w:val="20"/>
                <w:szCs w:val="20"/>
                <w:color w:val="auto"/>
              </w:rPr>
            </w:pPr>
            <w:r>
              <w:rPr>
                <w:rFonts w:ascii="Arial" w:cs="Arial" w:eastAsia="Arial" w:hAnsi="Arial"/>
                <w:sz w:val="17"/>
                <w:szCs w:val="17"/>
                <w:color w:val="auto"/>
              </w:rPr>
              <w:t>Preferred stock</w:t>
            </w:r>
          </w:p>
        </w:tc>
        <w:tc>
          <w:tcPr>
            <w:tcW w:w="920" w:type="dxa"/>
            <w:vAlign w:val="bottom"/>
          </w:tcPr>
          <w:p>
            <w:pPr>
              <w:spacing w:after="0"/>
              <w:rPr>
                <w:sz w:val="23"/>
                <w:szCs w:val="23"/>
                <w:color w:val="auto"/>
              </w:rPr>
            </w:pPr>
          </w:p>
        </w:tc>
        <w:tc>
          <w:tcPr>
            <w:tcW w:w="660" w:type="dxa"/>
            <w:vAlign w:val="bottom"/>
            <w:gridSpan w:val="2"/>
          </w:tcPr>
          <w:p>
            <w:pPr>
              <w:jc w:val="right"/>
              <w:ind w:right="160"/>
              <w:spacing w:after="0"/>
              <w:rPr>
                <w:sz w:val="20"/>
                <w:szCs w:val="20"/>
                <w:color w:val="auto"/>
              </w:rPr>
            </w:pPr>
            <w:r>
              <w:rPr>
                <w:rFonts w:ascii="Arial" w:cs="Arial" w:eastAsia="Arial" w:hAnsi="Arial"/>
                <w:sz w:val="17"/>
                <w:szCs w:val="17"/>
                <w:color w:val="auto"/>
              </w:rPr>
              <w:t>—</w:t>
            </w: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w:t>
            </w:r>
          </w:p>
        </w:tc>
        <w:tc>
          <w:tcPr>
            <w:tcW w:w="0" w:type="dxa"/>
            <w:vAlign w:val="bottom"/>
          </w:tcPr>
          <w:p>
            <w:pPr>
              <w:spacing w:after="0"/>
              <w:rPr>
                <w:sz w:val="1"/>
                <w:szCs w:val="1"/>
                <w:color w:val="auto"/>
              </w:rPr>
            </w:pPr>
          </w:p>
        </w:tc>
      </w:tr>
      <w:tr>
        <w:trPr>
          <w:trHeight w:val="270"/>
        </w:trPr>
        <w:tc>
          <w:tcPr>
            <w:tcW w:w="7080" w:type="dxa"/>
            <w:vAlign w:val="bottom"/>
          </w:tcPr>
          <w:p>
            <w:pPr>
              <w:ind w:left="320"/>
              <w:spacing w:after="0"/>
              <w:rPr>
                <w:sz w:val="20"/>
                <w:szCs w:val="20"/>
                <w:color w:val="auto"/>
              </w:rPr>
            </w:pPr>
            <w:r>
              <w:rPr>
                <w:rFonts w:ascii="Arial" w:cs="Arial" w:eastAsia="Arial" w:hAnsi="Arial"/>
                <w:sz w:val="17"/>
                <w:szCs w:val="17"/>
                <w:color w:val="auto"/>
              </w:rPr>
              <w:t>Additional paid-in capital</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872.2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62.7</w:t>
            </w:r>
          </w:p>
        </w:tc>
        <w:tc>
          <w:tcPr>
            <w:tcW w:w="0" w:type="dxa"/>
            <w:vAlign w:val="bottom"/>
          </w:tcPr>
          <w:p>
            <w:pPr>
              <w:spacing w:after="0"/>
              <w:rPr>
                <w:sz w:val="1"/>
                <w:szCs w:val="1"/>
                <w:color w:val="auto"/>
              </w:rPr>
            </w:pPr>
          </w:p>
        </w:tc>
      </w:tr>
      <w:tr>
        <w:trPr>
          <w:trHeight w:val="270"/>
        </w:trPr>
        <w:tc>
          <w:tcPr>
            <w:tcW w:w="7080" w:type="dxa"/>
            <w:vAlign w:val="bottom"/>
          </w:tcPr>
          <w:p>
            <w:pPr>
              <w:ind w:left="320"/>
              <w:spacing w:after="0"/>
              <w:rPr>
                <w:sz w:val="20"/>
                <w:szCs w:val="20"/>
                <w:color w:val="auto"/>
              </w:rPr>
            </w:pPr>
            <w:r>
              <w:rPr>
                <w:rFonts w:ascii="Arial" w:cs="Arial" w:eastAsia="Arial" w:hAnsi="Arial"/>
                <w:sz w:val="17"/>
                <w:szCs w:val="17"/>
                <w:color w:val="auto"/>
              </w:rPr>
              <w:t>Accumulated deficit</w:t>
            </w:r>
          </w:p>
        </w:tc>
        <w:tc>
          <w:tcPr>
            <w:tcW w:w="920" w:type="dxa"/>
            <w:vAlign w:val="bottom"/>
          </w:tcPr>
          <w:p>
            <w:pPr>
              <w:spacing w:after="0"/>
              <w:rPr>
                <w:sz w:val="23"/>
                <w:szCs w:val="23"/>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w w:val="96"/>
              </w:rPr>
              <w:t>(801.2)</w:t>
            </w:r>
          </w:p>
        </w:tc>
        <w:tc>
          <w:tcPr>
            <w:tcW w:w="8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(589.4)</w:t>
            </w:r>
          </w:p>
        </w:tc>
        <w:tc>
          <w:tcPr>
            <w:tcW w:w="0" w:type="dxa"/>
            <w:vAlign w:val="bottom"/>
          </w:tcPr>
          <w:p>
            <w:pPr>
              <w:spacing w:after="0"/>
              <w:rPr>
                <w:sz w:val="1"/>
                <w:szCs w:val="1"/>
                <w:color w:val="auto"/>
              </w:rPr>
            </w:pPr>
          </w:p>
        </w:tc>
      </w:tr>
      <w:tr>
        <w:trPr>
          <w:trHeight w:val="256"/>
        </w:trPr>
        <w:tc>
          <w:tcPr>
            <w:tcW w:w="7080" w:type="dxa"/>
            <w:vAlign w:val="bottom"/>
          </w:tcPr>
          <w:p>
            <w:pPr>
              <w:spacing w:after="0"/>
              <w:rPr>
                <w:sz w:val="20"/>
                <w:szCs w:val="20"/>
                <w:color w:val="auto"/>
              </w:rPr>
            </w:pPr>
            <w:r>
              <w:rPr>
                <w:rFonts w:ascii="Arial" w:cs="Arial" w:eastAsia="Arial" w:hAnsi="Arial"/>
                <w:sz w:val="17"/>
                <w:szCs w:val="17"/>
                <w:color w:val="auto"/>
              </w:rPr>
              <w:t>Total stockholders’ equity (deficit)</w:t>
            </w:r>
          </w:p>
        </w:tc>
        <w:tc>
          <w:tcPr>
            <w:tcW w:w="92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Arial" w:cs="Arial" w:eastAsia="Arial" w:hAnsi="Arial"/>
                <w:sz w:val="17"/>
                <w:szCs w:val="17"/>
                <w:color w:val="auto"/>
              </w:rPr>
              <w:t>71.1</w:t>
            </w:r>
          </w:p>
        </w:tc>
        <w:tc>
          <w:tcPr>
            <w:tcW w:w="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1020" w:type="dxa"/>
            <w:vAlign w:val="bottom"/>
          </w:tcPr>
          <w:p>
            <w:pPr>
              <w:jc w:val="right"/>
              <w:spacing w:after="0"/>
              <w:rPr>
                <w:sz w:val="20"/>
                <w:szCs w:val="20"/>
                <w:color w:val="auto"/>
              </w:rPr>
            </w:pPr>
            <w:r>
              <w:rPr>
                <w:rFonts w:ascii="Arial" w:cs="Arial" w:eastAsia="Arial" w:hAnsi="Arial"/>
                <w:sz w:val="17"/>
                <w:szCs w:val="17"/>
                <w:color w:val="auto"/>
              </w:rPr>
              <w:t>(526.7)</w:t>
            </w:r>
          </w:p>
        </w:tc>
        <w:tc>
          <w:tcPr>
            <w:tcW w:w="0" w:type="dxa"/>
            <w:vAlign w:val="bottom"/>
          </w:tcPr>
          <w:p>
            <w:pPr>
              <w:spacing w:after="0"/>
              <w:rPr>
                <w:sz w:val="1"/>
                <w:szCs w:val="1"/>
                <w:color w:val="auto"/>
              </w:rPr>
            </w:pPr>
          </w:p>
        </w:tc>
      </w:tr>
      <w:tr>
        <w:trPr>
          <w:trHeight w:val="27"/>
        </w:trPr>
        <w:tc>
          <w:tcPr>
            <w:tcW w:w="7080" w:type="dxa"/>
            <w:vAlign w:val="bottom"/>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080" w:type="dxa"/>
            <w:vAlign w:val="bottom"/>
          </w:tcPr>
          <w:p>
            <w:pPr>
              <w:spacing w:after="0"/>
              <w:rPr>
                <w:sz w:val="20"/>
                <w:szCs w:val="20"/>
                <w:color w:val="auto"/>
              </w:rPr>
            </w:pPr>
            <w:r>
              <w:rPr>
                <w:rFonts w:ascii="Arial" w:cs="Arial" w:eastAsia="Arial" w:hAnsi="Arial"/>
                <w:sz w:val="17"/>
                <w:szCs w:val="17"/>
                <w:color w:val="auto"/>
              </w:rPr>
              <w:t>Total liabilities, redeemable preferred stock and stockholders’ equity (deficit)</w:t>
            </w:r>
          </w:p>
        </w:tc>
        <w:tc>
          <w:tcPr>
            <w:tcW w:w="920" w:type="dxa"/>
            <w:vAlign w:val="bottom"/>
            <w:tcBorders>
              <w:bottom w:val="single" w:sz="8" w:color="auto"/>
            </w:tcBorders>
          </w:tcPr>
          <w:p>
            <w:pPr>
              <w:jc w:val="right"/>
              <w:ind w:right="717"/>
              <w:spacing w:after="0"/>
              <w:rPr>
                <w:sz w:val="20"/>
                <w:szCs w:val="20"/>
                <w:color w:val="auto"/>
              </w:rPr>
            </w:pPr>
            <w:r>
              <w:rPr>
                <w:rFonts w:ascii="Arial" w:cs="Arial" w:eastAsia="Arial" w:hAnsi="Arial"/>
                <w:sz w:val="17"/>
                <w:szCs w:val="17"/>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447.5</w:t>
            </w:r>
          </w:p>
        </w:tc>
        <w:tc>
          <w:tcPr>
            <w:tcW w:w="80" w:type="dxa"/>
            <w:vAlign w:val="bottom"/>
          </w:tcPr>
          <w:p>
            <w:pPr>
              <w:spacing w:after="0"/>
              <w:rPr>
                <w:sz w:val="21"/>
                <w:szCs w:val="21"/>
                <w:color w:val="auto"/>
              </w:rPr>
            </w:pPr>
          </w:p>
        </w:tc>
        <w:tc>
          <w:tcPr>
            <w:tcW w:w="480" w:type="dxa"/>
            <w:vAlign w:val="bottom"/>
            <w:tcBorders>
              <w:bottom w:val="single" w:sz="8" w:color="auto"/>
            </w:tcBorders>
          </w:tcPr>
          <w:p>
            <w:pPr>
              <w:jc w:val="right"/>
              <w:ind w:right="275"/>
              <w:spacing w:after="0"/>
              <w:rPr>
                <w:sz w:val="20"/>
                <w:szCs w:val="20"/>
                <w:color w:val="auto"/>
              </w:rPr>
            </w:pPr>
            <w:r>
              <w:rPr>
                <w:rFonts w:ascii="Arial" w:cs="Arial" w:eastAsia="Arial" w:hAnsi="Arial"/>
                <w:sz w:val="17"/>
                <w:szCs w:val="17"/>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320.7</w:t>
            </w:r>
          </w:p>
        </w:tc>
        <w:tc>
          <w:tcPr>
            <w:tcW w:w="0" w:type="dxa"/>
            <w:vAlign w:val="bottom"/>
          </w:tcPr>
          <w:p>
            <w:pPr>
              <w:spacing w:after="0"/>
              <w:rPr>
                <w:sz w:val="1"/>
                <w:szCs w:val="1"/>
                <w:color w:val="auto"/>
              </w:rPr>
            </w:pPr>
          </w:p>
        </w:tc>
      </w:tr>
      <w:tr>
        <w:trPr>
          <w:trHeight w:val="20"/>
        </w:trPr>
        <w:tc>
          <w:tcPr>
            <w:tcW w:w="708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160"/>
          </w:cols>
          <w:pgMar w:left="880" w:top="1053" w:right="859" w:bottom="1440" w:gutter="0" w:footer="0" w:header="0"/>
        </w:sectPr>
      </w:pPr>
    </w:p>
    <w:bookmarkStart w:id="10" w:name="page11"/>
    <w:bookmarkEnd w:id="10"/>
    <w:p>
      <w:pPr>
        <w:ind w:left="4300"/>
        <w:spacing w:after="0"/>
        <w:rPr>
          <w:sz w:val="20"/>
          <w:szCs w:val="20"/>
          <w:color w:val="auto"/>
        </w:rPr>
      </w:pPr>
      <w:r>
        <w:rPr>
          <w:rFonts w:ascii="Arial" w:cs="Arial" w:eastAsia="Arial" w:hAnsi="Arial"/>
          <w:sz w:val="20"/>
          <w:szCs w:val="20"/>
          <w:b w:val="1"/>
          <w:bCs w:val="1"/>
          <w:color w:val="auto"/>
        </w:rPr>
        <w:t>Rent the Runway, Inc.</w:t>
      </w:r>
    </w:p>
    <w:p>
      <w:pPr>
        <w:ind w:left="3460"/>
        <w:spacing w:after="0" w:line="217" w:lineRule="auto"/>
        <w:rPr>
          <w:sz w:val="20"/>
          <w:szCs w:val="20"/>
          <w:color w:val="auto"/>
        </w:rPr>
      </w:pPr>
      <w:r>
        <w:rPr>
          <w:rFonts w:ascii="Arial" w:cs="Arial" w:eastAsia="Arial" w:hAnsi="Arial"/>
          <w:sz w:val="20"/>
          <w:szCs w:val="20"/>
          <w:b w:val="1"/>
          <w:bCs w:val="1"/>
          <w:color w:val="auto"/>
        </w:rPr>
        <w:t>Consolidated Statements of Operations</w:t>
      </w:r>
    </w:p>
    <w:p>
      <w:pPr>
        <w:spacing w:after="0" w:line="1" w:lineRule="exact"/>
        <w:rPr>
          <w:sz w:val="20"/>
          <w:szCs w:val="20"/>
          <w:color w:val="auto"/>
        </w:rPr>
      </w:pPr>
    </w:p>
    <w:p>
      <w:pPr>
        <w:jc w:val="center"/>
        <w:ind w:right="20"/>
        <w:spacing w:after="0"/>
        <w:rPr>
          <w:sz w:val="20"/>
          <w:szCs w:val="20"/>
          <w:color w:val="auto"/>
        </w:rPr>
      </w:pPr>
      <w:r>
        <w:rPr>
          <w:rFonts w:ascii="Arial" w:cs="Arial" w:eastAsia="Arial" w:hAnsi="Arial"/>
          <w:sz w:val="20"/>
          <w:szCs w:val="20"/>
          <w:b w:val="1"/>
          <w:bCs w:val="1"/>
          <w:color w:val="auto"/>
        </w:rPr>
        <w:t>(in millions, except share and per share amounts)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5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860" w:type="dxa"/>
            <w:vAlign w:val="bottom"/>
            <w:gridSpan w:val="5"/>
          </w:tcPr>
          <w:p>
            <w:pPr>
              <w:ind w:left="140"/>
              <w:spacing w:after="0"/>
              <w:rPr>
                <w:sz w:val="20"/>
                <w:szCs w:val="20"/>
                <w:color w:val="auto"/>
              </w:rPr>
            </w:pPr>
            <w:r>
              <w:rPr>
                <w:rFonts w:ascii="Arial" w:cs="Arial" w:eastAsia="Arial" w:hAnsi="Arial"/>
                <w:sz w:val="14"/>
                <w:szCs w:val="14"/>
                <w:b w:val="1"/>
                <w:bCs w:val="1"/>
                <w:color w:val="auto"/>
              </w:rPr>
              <w:t>Three Months Ended January 31,</w:t>
            </w:r>
          </w:p>
        </w:tc>
        <w:tc>
          <w:tcPr>
            <w:tcW w:w="300" w:type="dxa"/>
            <w:vAlign w:val="bottom"/>
          </w:tcPr>
          <w:p>
            <w:pPr>
              <w:spacing w:after="0"/>
              <w:rPr>
                <w:sz w:val="17"/>
                <w:szCs w:val="17"/>
                <w:color w:val="auto"/>
              </w:rPr>
            </w:pPr>
          </w:p>
        </w:tc>
        <w:tc>
          <w:tcPr>
            <w:tcW w:w="2700" w:type="dxa"/>
            <w:vAlign w:val="bottom"/>
            <w:gridSpan w:val="4"/>
          </w:tcPr>
          <w:p>
            <w:pPr>
              <w:jc w:val="right"/>
              <w:ind w:right="591"/>
              <w:spacing w:after="0"/>
              <w:rPr>
                <w:sz w:val="20"/>
                <w:szCs w:val="20"/>
                <w:color w:val="auto"/>
              </w:rPr>
            </w:pPr>
            <w:r>
              <w:rPr>
                <w:rFonts w:ascii="Arial" w:cs="Arial" w:eastAsia="Arial" w:hAnsi="Arial"/>
                <w:sz w:val="14"/>
                <w:szCs w:val="14"/>
                <w:b w:val="1"/>
                <w:bCs w:val="1"/>
                <w:color w:val="auto"/>
              </w:rPr>
              <w:t>Year Ended January 31,</w:t>
            </w:r>
          </w:p>
        </w:tc>
        <w:tc>
          <w:tcPr>
            <w:tcW w:w="0" w:type="dxa"/>
            <w:vAlign w:val="bottom"/>
          </w:tcPr>
          <w:p>
            <w:pPr>
              <w:spacing w:after="0"/>
              <w:rPr>
                <w:sz w:val="1"/>
                <w:szCs w:val="1"/>
                <w:color w:val="auto"/>
              </w:rPr>
            </w:pPr>
          </w:p>
        </w:tc>
      </w:tr>
      <w:tr>
        <w:trPr>
          <w:trHeight w:val="208"/>
        </w:trPr>
        <w:tc>
          <w:tcPr>
            <w:tcW w:w="4560" w:type="dxa"/>
            <w:vAlign w:val="bottom"/>
          </w:tcPr>
          <w:p>
            <w:pPr>
              <w:spacing w:after="0"/>
              <w:rPr>
                <w:sz w:val="18"/>
                <w:szCs w:val="18"/>
                <w:color w:val="auto"/>
              </w:rPr>
            </w:pPr>
          </w:p>
        </w:tc>
        <w:tc>
          <w:tcPr>
            <w:tcW w:w="240" w:type="dxa"/>
            <w:vAlign w:val="bottom"/>
            <w:tcBorders>
              <w:top w:val="single" w:sz="8" w:color="auto"/>
              <w:bottom w:val="single" w:sz="8" w:color="auto"/>
            </w:tcBorders>
          </w:tcPr>
          <w:p>
            <w:pPr>
              <w:spacing w:after="0"/>
              <w:rPr>
                <w:sz w:val="18"/>
                <w:szCs w:val="18"/>
                <w:color w:val="auto"/>
              </w:rPr>
            </w:pPr>
          </w:p>
        </w:tc>
        <w:tc>
          <w:tcPr>
            <w:tcW w:w="122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top w:val="single" w:sz="8" w:color="auto"/>
            </w:tcBorders>
          </w:tcPr>
          <w:p>
            <w:pPr>
              <w:spacing w:after="0"/>
              <w:rPr>
                <w:sz w:val="18"/>
                <w:szCs w:val="18"/>
                <w:color w:val="auto"/>
              </w:rPr>
            </w:pPr>
          </w:p>
        </w:tc>
        <w:tc>
          <w:tcPr>
            <w:tcW w:w="32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60" w:type="dxa"/>
            <w:vAlign w:val="bottom"/>
            <w:tcBorders>
              <w:top w:val="single" w:sz="8" w:color="auto"/>
              <w:bottom w:val="single" w:sz="8" w:color="auto"/>
            </w:tcBorders>
          </w:tcPr>
          <w:p>
            <w:pPr>
              <w:jc w:val="right"/>
              <w:ind w:right="492"/>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bottom w:val="single" w:sz="8" w:color="auto"/>
            </w:tcBorders>
          </w:tcPr>
          <w:p>
            <w:pPr>
              <w:spacing w:after="0"/>
              <w:rPr>
                <w:sz w:val="18"/>
                <w:szCs w:val="18"/>
                <w:color w:val="auto"/>
              </w:rPr>
            </w:pPr>
          </w:p>
        </w:tc>
        <w:tc>
          <w:tcPr>
            <w:tcW w:w="11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9"/>
        </w:trPr>
        <w:tc>
          <w:tcPr>
            <w:tcW w:w="4560" w:type="dxa"/>
            <w:vAlign w:val="bottom"/>
          </w:tcPr>
          <w:p>
            <w:pPr>
              <w:spacing w:after="0"/>
              <w:rPr>
                <w:sz w:val="20"/>
                <w:szCs w:val="20"/>
                <w:color w:val="auto"/>
              </w:rPr>
            </w:pPr>
            <w:r>
              <w:rPr>
                <w:rFonts w:ascii="Arial" w:cs="Arial" w:eastAsia="Arial" w:hAnsi="Arial"/>
                <w:sz w:val="18"/>
                <w:szCs w:val="18"/>
                <w:color w:val="auto"/>
              </w:rPr>
              <w:t>Revenue:</w:t>
            </w: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3"/>
        </w:trPr>
        <w:tc>
          <w:tcPr>
            <w:tcW w:w="4560" w:type="dxa"/>
            <w:vAlign w:val="bottom"/>
          </w:tcPr>
          <w:p>
            <w:pPr>
              <w:ind w:left="320"/>
              <w:spacing w:after="0"/>
              <w:rPr>
                <w:sz w:val="20"/>
                <w:szCs w:val="20"/>
                <w:color w:val="auto"/>
              </w:rPr>
            </w:pPr>
            <w:r>
              <w:rPr>
                <w:rFonts w:ascii="Arial" w:cs="Arial" w:eastAsia="Arial" w:hAnsi="Arial"/>
                <w:sz w:val="18"/>
                <w:szCs w:val="18"/>
                <w:color w:val="auto"/>
              </w:rPr>
              <w:t>Subscription and Reserve rental revenue</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58.8</w:t>
            </w:r>
          </w:p>
        </w:tc>
        <w:tc>
          <w:tcPr>
            <w:tcW w:w="8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185.8</w:t>
            </w:r>
          </w:p>
        </w:tc>
        <w:tc>
          <w:tcPr>
            <w:tcW w:w="10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135.9</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Other revenue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21.6</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560" w:type="dxa"/>
            <w:vAlign w:val="bottom"/>
          </w:tcPr>
          <w:p>
            <w:pPr>
              <w:ind w:left="640"/>
              <w:spacing w:after="0"/>
              <w:rPr>
                <w:sz w:val="20"/>
                <w:szCs w:val="20"/>
                <w:color w:val="auto"/>
              </w:rPr>
            </w:pPr>
            <w:r>
              <w:rPr>
                <w:rFonts w:ascii="Arial" w:cs="Arial" w:eastAsia="Arial" w:hAnsi="Arial"/>
                <w:sz w:val="18"/>
                <w:szCs w:val="18"/>
                <w:color w:val="auto"/>
              </w:rPr>
              <w:t>Total revenue, net</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64.1</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33.5</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203.3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157.5</w:t>
            </w:r>
          </w:p>
        </w:tc>
        <w:tc>
          <w:tcPr>
            <w:tcW w:w="0" w:type="dxa"/>
            <w:vAlign w:val="bottom"/>
          </w:tcPr>
          <w:p>
            <w:pPr>
              <w:spacing w:after="0"/>
              <w:rPr>
                <w:sz w:val="1"/>
                <w:szCs w:val="1"/>
                <w:color w:val="auto"/>
              </w:rPr>
            </w:pPr>
          </w:p>
        </w:tc>
      </w:tr>
      <w:tr>
        <w:trPr>
          <w:trHeight w:val="23"/>
        </w:trPr>
        <w:tc>
          <w:tcPr>
            <w:tcW w:w="4560" w:type="dxa"/>
            <w:vAlign w:val="bottom"/>
            <w:vMerge w:val="restart"/>
          </w:tcPr>
          <w:p>
            <w:pPr>
              <w:spacing w:after="0"/>
              <w:rPr>
                <w:sz w:val="20"/>
                <w:szCs w:val="20"/>
                <w:color w:val="auto"/>
              </w:rPr>
            </w:pPr>
            <w:r>
              <w:rPr>
                <w:rFonts w:ascii="Arial" w:cs="Arial" w:eastAsia="Arial" w:hAnsi="Arial"/>
                <w:sz w:val="18"/>
                <w:szCs w:val="18"/>
                <w:color w:val="auto"/>
              </w:rPr>
              <w:t>Costs and expenses:</w:t>
            </w: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7"/>
        </w:trPr>
        <w:tc>
          <w:tcPr>
            <w:tcW w:w="4560" w:type="dxa"/>
            <w:vAlign w:val="bottom"/>
            <w:vMerge w:val="continue"/>
          </w:tcPr>
          <w:p>
            <w:pPr>
              <w:spacing w:after="0"/>
              <w:rPr>
                <w:sz w:val="19"/>
                <w:szCs w:val="19"/>
                <w:color w:val="auto"/>
              </w:rPr>
            </w:pPr>
          </w:p>
        </w:tc>
        <w:tc>
          <w:tcPr>
            <w:tcW w:w="24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Fulfillment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20.4</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9.2</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53.0</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Technology</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45.3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37.7</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Marketing</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8.1</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General and administrative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28.0</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104.4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77.2</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Rental product depreciation and revenue share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20.2</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19.9</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71.7</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89.0</w:t>
            </w:r>
          </w:p>
        </w:tc>
        <w:tc>
          <w:tcPr>
            <w:tcW w:w="0" w:type="dxa"/>
            <w:vAlign w:val="bottom"/>
          </w:tcPr>
          <w:p>
            <w:pPr>
              <w:spacing w:after="0"/>
              <w:rPr>
                <w:sz w:val="1"/>
                <w:szCs w:val="1"/>
                <w:color w:val="auto"/>
              </w:rPr>
            </w:pPr>
          </w:p>
        </w:tc>
      </w:tr>
      <w:tr>
        <w:trPr>
          <w:trHeight w:val="270"/>
        </w:trPr>
        <w:tc>
          <w:tcPr>
            <w:tcW w:w="4560" w:type="dxa"/>
            <w:vAlign w:val="bottom"/>
          </w:tcPr>
          <w:p>
            <w:pPr>
              <w:ind w:left="320"/>
              <w:spacing w:after="0"/>
              <w:rPr>
                <w:sz w:val="20"/>
                <w:szCs w:val="20"/>
                <w:color w:val="auto"/>
              </w:rPr>
            </w:pPr>
            <w:r>
              <w:rPr>
                <w:rFonts w:ascii="Arial" w:cs="Arial" w:eastAsia="Arial" w:hAnsi="Arial"/>
                <w:sz w:val="18"/>
                <w:szCs w:val="18"/>
                <w:color w:val="auto"/>
              </w:rPr>
              <w:t>Other depreciation and amortization</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23.0</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560" w:type="dxa"/>
            <w:vAlign w:val="bottom"/>
          </w:tcPr>
          <w:p>
            <w:pPr>
              <w:ind w:left="640"/>
              <w:spacing w:after="0"/>
              <w:rPr>
                <w:sz w:val="20"/>
                <w:szCs w:val="20"/>
                <w:color w:val="auto"/>
              </w:rPr>
            </w:pPr>
            <w:r>
              <w:rPr>
                <w:rFonts w:ascii="Arial" w:cs="Arial" w:eastAsia="Arial" w:hAnsi="Arial"/>
                <w:sz w:val="18"/>
                <w:szCs w:val="18"/>
                <w:color w:val="auto"/>
              </w:rPr>
              <w:t>Total costs and expenses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spacing w:after="0"/>
              <w:rPr>
                <w:sz w:val="20"/>
                <w:szCs w:val="20"/>
                <w:color w:val="auto"/>
              </w:rPr>
            </w:pPr>
            <w:r>
              <w:rPr>
                <w:rFonts w:ascii="Arial" w:cs="Arial" w:eastAsia="Arial" w:hAnsi="Arial"/>
                <w:sz w:val="18"/>
                <w:szCs w:val="18"/>
                <w:color w:val="auto"/>
              </w:rPr>
              <w:t>94.0</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63.3</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329.2</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288.0</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560" w:type="dxa"/>
            <w:vAlign w:val="bottom"/>
          </w:tcPr>
          <w:p>
            <w:pPr>
              <w:ind w:left="960"/>
              <w:spacing w:after="0"/>
              <w:rPr>
                <w:sz w:val="20"/>
                <w:szCs w:val="20"/>
                <w:color w:val="auto"/>
              </w:rPr>
            </w:pPr>
            <w:r>
              <w:rPr>
                <w:rFonts w:ascii="Arial" w:cs="Arial" w:eastAsia="Arial" w:hAnsi="Arial"/>
                <w:sz w:val="18"/>
                <w:szCs w:val="18"/>
                <w:color w:val="auto"/>
              </w:rPr>
              <w:t>Operating loss</w:t>
            </w:r>
          </w:p>
        </w:tc>
        <w:tc>
          <w:tcPr>
            <w:tcW w:w="240" w:type="dxa"/>
            <w:vAlign w:val="bottom"/>
          </w:tcPr>
          <w:p>
            <w:pPr>
              <w:spacing w:after="0"/>
              <w:rPr>
                <w:sz w:val="22"/>
                <w:szCs w:val="22"/>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(29.9)</w:t>
            </w:r>
          </w:p>
        </w:tc>
        <w:tc>
          <w:tcPr>
            <w:tcW w:w="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(125.9)</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(130.5)</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Interest income / (expense), net</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(53.0)</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(46.6)</w:t>
            </w:r>
          </w:p>
        </w:tc>
        <w:tc>
          <w:tcPr>
            <w:tcW w:w="0" w:type="dxa"/>
            <w:vAlign w:val="bottom"/>
          </w:tcPr>
          <w:p>
            <w:pPr>
              <w:spacing w:after="0"/>
              <w:rPr>
                <w:sz w:val="1"/>
                <w:szCs w:val="1"/>
                <w:color w:val="auto"/>
              </w:rPr>
            </w:pPr>
          </w:p>
        </w:tc>
      </w:tr>
      <w:tr>
        <w:trPr>
          <w:trHeight w:val="284"/>
        </w:trPr>
        <w:tc>
          <w:tcPr>
            <w:tcW w:w="4560" w:type="dxa"/>
            <w:vAlign w:val="bottom"/>
          </w:tcPr>
          <w:p>
            <w:pPr>
              <w:spacing w:after="0"/>
              <w:rPr>
                <w:sz w:val="20"/>
                <w:szCs w:val="20"/>
                <w:color w:val="auto"/>
              </w:rPr>
            </w:pPr>
            <w:r>
              <w:rPr>
                <w:rFonts w:ascii="Arial" w:cs="Arial" w:eastAsia="Arial" w:hAnsi="Arial"/>
                <w:sz w:val="18"/>
                <w:szCs w:val="18"/>
                <w:color w:val="auto"/>
              </w:rPr>
              <w:t>Gain / (loss) on warrant liability revaluation, net</w:t>
            </w:r>
          </w:p>
        </w:tc>
        <w:tc>
          <w:tcPr>
            <w:tcW w:w="24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(24.9)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83"/>
        </w:trPr>
        <w:tc>
          <w:tcPr>
            <w:tcW w:w="4560" w:type="dxa"/>
            <w:vAlign w:val="bottom"/>
          </w:tcPr>
          <w:p>
            <w:pPr>
              <w:spacing w:after="0"/>
              <w:rPr>
                <w:sz w:val="20"/>
                <w:szCs w:val="20"/>
                <w:color w:val="auto"/>
              </w:rPr>
            </w:pPr>
            <w:r>
              <w:rPr>
                <w:rFonts w:ascii="Arial" w:cs="Arial" w:eastAsia="Arial" w:hAnsi="Arial"/>
                <w:sz w:val="18"/>
                <w:szCs w:val="18"/>
                <w:color w:val="auto"/>
              </w:rPr>
              <w:t>Gain / (loss) on debt extinguishment, net</w:t>
            </w:r>
          </w:p>
        </w:tc>
        <w:tc>
          <w:tcPr>
            <w:tcW w:w="24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(0.6)</w:t>
            </w:r>
          </w:p>
        </w:tc>
        <w:tc>
          <w:tcPr>
            <w:tcW w:w="0" w:type="dxa"/>
            <w:vAlign w:val="bottom"/>
          </w:tcPr>
          <w:p>
            <w:pPr>
              <w:spacing w:after="0"/>
              <w:rPr>
                <w:sz w:val="1"/>
                <w:szCs w:val="1"/>
                <w:color w:val="auto"/>
              </w:rPr>
            </w:pPr>
          </w:p>
        </w:tc>
      </w:tr>
      <w:tr>
        <w:trPr>
          <w:trHeight w:val="283"/>
        </w:trPr>
        <w:tc>
          <w:tcPr>
            <w:tcW w:w="4560" w:type="dxa"/>
            <w:vAlign w:val="bottom"/>
          </w:tcPr>
          <w:p>
            <w:pPr>
              <w:spacing w:after="0"/>
              <w:rPr>
                <w:sz w:val="20"/>
                <w:szCs w:val="20"/>
                <w:color w:val="auto"/>
              </w:rPr>
            </w:pPr>
            <w:r>
              <w:rPr>
                <w:rFonts w:ascii="Arial" w:cs="Arial" w:eastAsia="Arial" w:hAnsi="Arial"/>
                <w:sz w:val="18"/>
                <w:szCs w:val="18"/>
                <w:color w:val="auto"/>
              </w:rPr>
              <w:t>Other income / (expense), net</w:t>
            </w:r>
          </w:p>
        </w:tc>
        <w:tc>
          <w:tcPr>
            <w:tcW w:w="240" w:type="dxa"/>
            <w:vAlign w:val="bottom"/>
          </w:tcPr>
          <w:p>
            <w:pPr>
              <w:spacing w:after="0"/>
              <w:rPr>
                <w:sz w:val="24"/>
                <w:szCs w:val="24"/>
                <w:color w:val="auto"/>
              </w:rPr>
            </w:pPr>
          </w:p>
        </w:tc>
        <w:tc>
          <w:tcPr>
            <w:tcW w:w="13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3.9</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4"/>
        </w:trPr>
        <w:tc>
          <w:tcPr>
            <w:tcW w:w="4800" w:type="dxa"/>
            <w:vAlign w:val="bottom"/>
            <w:gridSpan w:val="2"/>
          </w:tcPr>
          <w:p>
            <w:pPr>
              <w:jc w:val="right"/>
              <w:ind w:right="30"/>
              <w:spacing w:after="0"/>
              <w:rPr>
                <w:sz w:val="20"/>
                <w:szCs w:val="20"/>
                <w:color w:val="auto"/>
              </w:rPr>
            </w:pPr>
            <w:r>
              <w:rPr>
                <w:rFonts w:ascii="Arial" w:cs="Arial" w:eastAsia="Arial" w:hAnsi="Arial"/>
                <w:sz w:val="18"/>
                <w:szCs w:val="18"/>
                <w:color w:val="auto"/>
              </w:rPr>
              <w:t>Net loss before income tax benefit / (expense) $</w:t>
            </w:r>
          </w:p>
        </w:tc>
        <w:tc>
          <w:tcPr>
            <w:tcW w:w="1220" w:type="dxa"/>
            <w:vAlign w:val="bottom"/>
          </w:tcPr>
          <w:p>
            <w:pPr>
              <w:jc w:val="right"/>
              <w:spacing w:after="0"/>
              <w:rPr>
                <w:sz w:val="20"/>
                <w:szCs w:val="20"/>
                <w:color w:val="auto"/>
              </w:rPr>
            </w:pPr>
            <w:r>
              <w:rPr>
                <w:rFonts w:ascii="Arial" w:cs="Arial" w:eastAsia="Arial" w:hAnsi="Arial"/>
                <w:sz w:val="18"/>
                <w:szCs w:val="18"/>
                <w:color w:val="auto"/>
              </w:rPr>
              <w:t>(39.2)</w:t>
            </w:r>
          </w:p>
        </w:tc>
        <w:tc>
          <w:tcPr>
            <w:tcW w:w="80" w:type="dxa"/>
            <w:vAlign w:val="bottom"/>
          </w:tcPr>
          <w:p>
            <w:pPr>
              <w:spacing w:after="0"/>
              <w:rPr>
                <w:sz w:val="22"/>
                <w:szCs w:val="22"/>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(212.1)</w:t>
            </w:r>
          </w:p>
        </w:tc>
        <w:tc>
          <w:tcPr>
            <w:tcW w:w="100" w:type="dxa"/>
            <w:vAlign w:val="bottom"/>
          </w:tcPr>
          <w:p>
            <w:pPr>
              <w:spacing w:after="0"/>
              <w:rPr>
                <w:sz w:val="22"/>
                <w:szCs w:val="22"/>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70"/>
        </w:trPr>
        <w:tc>
          <w:tcPr>
            <w:tcW w:w="4560" w:type="dxa"/>
            <w:vAlign w:val="bottom"/>
          </w:tcPr>
          <w:p>
            <w:pPr>
              <w:spacing w:after="0"/>
              <w:rPr>
                <w:sz w:val="20"/>
                <w:szCs w:val="20"/>
                <w:color w:val="auto"/>
              </w:rPr>
            </w:pPr>
            <w:r>
              <w:rPr>
                <w:rFonts w:ascii="Arial" w:cs="Arial" w:eastAsia="Arial" w:hAnsi="Arial"/>
                <w:sz w:val="18"/>
                <w:szCs w:val="18"/>
                <w:color w:val="auto"/>
              </w:rPr>
              <w:t>Income tax benefit / (expense)</w:t>
            </w:r>
          </w:p>
        </w:tc>
        <w:tc>
          <w:tcPr>
            <w:tcW w:w="24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2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
        </w:trPr>
        <w:tc>
          <w:tcPr>
            <w:tcW w:w="456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7"/>
        </w:trPr>
        <w:tc>
          <w:tcPr>
            <w:tcW w:w="4560" w:type="dxa"/>
            <w:vAlign w:val="bottom"/>
          </w:tcPr>
          <w:p>
            <w:pPr>
              <w:ind w:left="960"/>
              <w:spacing w:after="0"/>
              <w:rPr>
                <w:sz w:val="20"/>
                <w:szCs w:val="20"/>
                <w:color w:val="auto"/>
              </w:rPr>
            </w:pPr>
            <w:r>
              <w:rPr>
                <w:rFonts w:ascii="Arial" w:cs="Arial" w:eastAsia="Arial" w:hAnsi="Arial"/>
                <w:sz w:val="18"/>
                <w:szCs w:val="18"/>
                <w:color w:val="auto"/>
              </w:rPr>
              <w:t>Net loss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(211.8)</w:t>
            </w:r>
          </w:p>
        </w:tc>
        <w:tc>
          <w:tcPr>
            <w:tcW w:w="10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(171.1)</w:t>
            </w:r>
          </w:p>
        </w:tc>
        <w:tc>
          <w:tcPr>
            <w:tcW w:w="0" w:type="dxa"/>
            <w:vAlign w:val="bottom"/>
          </w:tcPr>
          <w:p>
            <w:pPr>
              <w:spacing w:after="0"/>
              <w:rPr>
                <w:sz w:val="1"/>
                <w:szCs w:val="1"/>
                <w:color w:val="auto"/>
              </w:rPr>
            </w:pPr>
          </w:p>
        </w:tc>
      </w:tr>
      <w:tr>
        <w:trPr>
          <w:trHeight w:val="20"/>
        </w:trPr>
        <w:tc>
          <w:tcPr>
            <w:tcW w:w="4560" w:type="dxa"/>
            <w:vAlign w:val="bottom"/>
            <w:vMerge w:val="restart"/>
          </w:tcPr>
          <w:p>
            <w:pPr>
              <w:spacing w:after="0"/>
              <w:rPr>
                <w:sz w:val="20"/>
                <w:szCs w:val="20"/>
                <w:color w:val="auto"/>
              </w:rPr>
            </w:pPr>
            <w:r>
              <w:rPr>
                <w:rFonts w:ascii="Arial" w:cs="Arial" w:eastAsia="Arial" w:hAnsi="Arial"/>
                <w:sz w:val="18"/>
                <w:szCs w:val="18"/>
                <w:color w:val="auto"/>
              </w:rPr>
              <w:t>Net loss per share attributable to common stockholders,</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560" w:type="dxa"/>
            <w:vAlign w:val="bottom"/>
            <w:vMerge w:val="continue"/>
          </w:tcPr>
          <w:p>
            <w:pPr>
              <w:spacing w:after="0"/>
              <w:rPr>
                <w:sz w:val="16"/>
                <w:szCs w:val="16"/>
                <w:color w:val="auto"/>
              </w:rPr>
            </w:pPr>
          </w:p>
        </w:tc>
        <w:tc>
          <w:tcPr>
            <w:tcW w:w="240" w:type="dxa"/>
            <w:vAlign w:val="bottom"/>
            <w:vMerge w:val="restart"/>
          </w:tcPr>
          <w:p>
            <w:pPr>
              <w:jc w:val="right"/>
              <w:ind w:right="30"/>
              <w:spacing w:after="0"/>
              <w:rPr>
                <w:sz w:val="20"/>
                <w:szCs w:val="20"/>
                <w:color w:val="auto"/>
              </w:rPr>
            </w:pPr>
            <w:r>
              <w:rPr>
                <w:rFonts w:ascii="Arial" w:cs="Arial" w:eastAsia="Arial" w:hAnsi="Arial"/>
                <w:sz w:val="18"/>
                <w:szCs w:val="18"/>
                <w:color w:val="auto"/>
                <w:w w:val="99"/>
              </w:rPr>
              <w:t>$</w:t>
            </w: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(0.62)</w:t>
            </w:r>
          </w:p>
        </w:tc>
        <w:tc>
          <w:tcPr>
            <w:tcW w:w="80" w:type="dxa"/>
            <w:vAlign w:val="bottom"/>
          </w:tcPr>
          <w:p>
            <w:pPr>
              <w:spacing w:after="0"/>
              <w:rPr>
                <w:sz w:val="16"/>
                <w:szCs w:val="16"/>
                <w:color w:val="auto"/>
              </w:rPr>
            </w:pPr>
          </w:p>
        </w:tc>
        <w:tc>
          <w:tcPr>
            <w:tcW w:w="320" w:type="dxa"/>
            <w:vAlign w:val="bottom"/>
            <w:vMerge w:val="restart"/>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(3.48)</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(8.51)</w:t>
            </w:r>
          </w:p>
        </w:tc>
        <w:tc>
          <w:tcPr>
            <w:tcW w:w="100" w:type="dxa"/>
            <w:vAlign w:val="bottom"/>
          </w:tcPr>
          <w:p>
            <w:pPr>
              <w:spacing w:after="0"/>
              <w:rPr>
                <w:sz w:val="16"/>
                <w:szCs w:val="16"/>
                <w:color w:val="auto"/>
              </w:rPr>
            </w:pPr>
          </w:p>
        </w:tc>
        <w:tc>
          <w:tcPr>
            <w:tcW w:w="300" w:type="dxa"/>
            <w:vAlign w:val="bottom"/>
            <w:vMerge w:val="restart"/>
          </w:tcPr>
          <w:p>
            <w:pPr>
              <w:jc w:val="right"/>
              <w:ind w:right="90"/>
              <w:spacing w:after="0"/>
              <w:rPr>
                <w:sz w:val="20"/>
                <w:szCs w:val="20"/>
                <w:color w:val="auto"/>
              </w:rPr>
            </w:pPr>
            <w:r>
              <w:rPr>
                <w:rFonts w:ascii="Arial" w:cs="Arial" w:eastAsia="Arial" w:hAnsi="Arial"/>
                <w:sz w:val="18"/>
                <w:szCs w:val="18"/>
                <w:color w:val="auto"/>
                <w:w w:val="99"/>
              </w:rPr>
              <w:t>$</w:t>
            </w: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(15.36)</w:t>
            </w:r>
          </w:p>
        </w:tc>
        <w:tc>
          <w:tcPr>
            <w:tcW w:w="0" w:type="dxa"/>
            <w:vAlign w:val="bottom"/>
          </w:tcPr>
          <w:p>
            <w:pPr>
              <w:spacing w:after="0"/>
              <w:rPr>
                <w:sz w:val="1"/>
                <w:szCs w:val="1"/>
                <w:color w:val="auto"/>
              </w:rPr>
            </w:pPr>
          </w:p>
        </w:tc>
      </w:tr>
      <w:tr>
        <w:trPr>
          <w:trHeight w:val="240"/>
        </w:trPr>
        <w:tc>
          <w:tcPr>
            <w:tcW w:w="4560" w:type="dxa"/>
            <w:vAlign w:val="bottom"/>
          </w:tcPr>
          <w:p>
            <w:pPr>
              <w:ind w:left="160"/>
              <w:spacing w:after="0"/>
              <w:rPr>
                <w:sz w:val="20"/>
                <w:szCs w:val="20"/>
                <w:color w:val="auto"/>
              </w:rPr>
            </w:pPr>
            <w:r>
              <w:rPr>
                <w:rFonts w:ascii="Arial" w:cs="Arial" w:eastAsia="Arial" w:hAnsi="Arial"/>
                <w:sz w:val="18"/>
                <w:szCs w:val="18"/>
                <w:color w:val="auto"/>
              </w:rPr>
              <w:t>basic and diluted</w:t>
            </w:r>
          </w:p>
        </w:tc>
        <w:tc>
          <w:tcPr>
            <w:tcW w:w="240" w:type="dxa"/>
            <w:vAlign w:val="bottom"/>
            <w:tcBorders>
              <w:bottom w:val="single" w:sz="8" w:color="auto"/>
            </w:tcBorders>
            <w:vMerge w:val="continue"/>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vMerge w:val="continue"/>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4560" w:type="dxa"/>
            <w:vAlign w:val="bottom"/>
            <w:vMerge w:val="restart"/>
          </w:tcPr>
          <w:p>
            <w:pPr>
              <w:spacing w:after="0"/>
              <w:rPr>
                <w:sz w:val="20"/>
                <w:szCs w:val="20"/>
                <w:color w:val="auto"/>
              </w:rPr>
            </w:pPr>
            <w:r>
              <w:rPr>
                <w:rFonts w:ascii="Arial" w:cs="Arial" w:eastAsia="Arial" w:hAnsi="Arial"/>
                <w:sz w:val="18"/>
                <w:szCs w:val="18"/>
                <w:color w:val="auto"/>
              </w:rPr>
              <w:t>Weighted-average shares used in computing net loss</w:t>
            </w: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1"/>
        </w:trPr>
        <w:tc>
          <w:tcPr>
            <w:tcW w:w="4560" w:type="dxa"/>
            <w:vAlign w:val="bottom"/>
            <w:vMerge w:val="continue"/>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4560" w:type="dxa"/>
            <w:vAlign w:val="bottom"/>
          </w:tcPr>
          <w:p>
            <w:pPr>
              <w:ind w:left="160"/>
              <w:spacing w:after="0"/>
              <w:rPr>
                <w:sz w:val="20"/>
                <w:szCs w:val="20"/>
                <w:color w:val="auto"/>
              </w:rPr>
            </w:pPr>
            <w:r>
              <w:rPr>
                <w:rFonts w:ascii="Arial" w:cs="Arial" w:eastAsia="Arial" w:hAnsi="Arial"/>
                <w:sz w:val="18"/>
                <w:szCs w:val="18"/>
                <w:color w:val="auto"/>
              </w:rPr>
              <w:t>per share attributable to common stockholders, basic</w:t>
            </w:r>
          </w:p>
        </w:tc>
        <w:tc>
          <w:tcPr>
            <w:tcW w:w="240" w:type="dxa"/>
            <w:vAlign w:val="bottom"/>
          </w:tcPr>
          <w:p>
            <w:pPr>
              <w:spacing w:after="0"/>
              <w:rPr>
                <w:sz w:val="18"/>
                <w:szCs w:val="18"/>
                <w:color w:val="auto"/>
              </w:rPr>
            </w:pPr>
          </w:p>
        </w:tc>
        <w:tc>
          <w:tcPr>
            <w:tcW w:w="1220" w:type="dxa"/>
            <w:vAlign w:val="bottom"/>
            <w:vMerge w:val="restart"/>
          </w:tcPr>
          <w:p>
            <w:pPr>
              <w:jc w:val="right"/>
              <w:spacing w:after="0"/>
              <w:rPr>
                <w:sz w:val="20"/>
                <w:szCs w:val="20"/>
                <w:color w:val="auto"/>
              </w:rPr>
            </w:pPr>
            <w:r>
              <w:rPr>
                <w:rFonts w:ascii="Arial" w:cs="Arial" w:eastAsia="Arial" w:hAnsi="Arial"/>
                <w:sz w:val="18"/>
                <w:szCs w:val="18"/>
                <w:color w:val="auto"/>
              </w:rPr>
              <w:t>63,012,950</w:t>
            </w: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11,127,721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60" w:type="dxa"/>
            <w:vAlign w:val="bottom"/>
            <w:vMerge w:val="restart"/>
          </w:tcPr>
          <w:p>
            <w:pPr>
              <w:jc w:val="right"/>
              <w:spacing w:after="0"/>
              <w:rPr>
                <w:sz w:val="20"/>
                <w:szCs w:val="20"/>
                <w:color w:val="auto"/>
              </w:rPr>
            </w:pPr>
            <w:r>
              <w:rPr>
                <w:rFonts w:ascii="Arial" w:cs="Arial" w:eastAsia="Arial" w:hAnsi="Arial"/>
                <w:sz w:val="18"/>
                <w:szCs w:val="18"/>
                <w:color w:val="auto"/>
              </w:rPr>
              <w:t>24,874,061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40" w:type="dxa"/>
            <w:vAlign w:val="bottom"/>
            <w:vMerge w:val="restart"/>
          </w:tcPr>
          <w:p>
            <w:pPr>
              <w:jc w:val="right"/>
              <w:spacing w:after="0"/>
              <w:rPr>
                <w:sz w:val="20"/>
                <w:szCs w:val="20"/>
                <w:color w:val="auto"/>
              </w:rPr>
            </w:pPr>
            <w:r>
              <w:rPr>
                <w:rFonts w:ascii="Arial" w:cs="Arial" w:eastAsia="Arial" w:hAnsi="Arial"/>
                <w:sz w:val="18"/>
                <w:szCs w:val="18"/>
                <w:color w:val="auto"/>
              </w:rPr>
              <w:t>11,138,851</w:t>
            </w:r>
          </w:p>
        </w:tc>
        <w:tc>
          <w:tcPr>
            <w:tcW w:w="0" w:type="dxa"/>
            <w:vAlign w:val="bottom"/>
          </w:tcPr>
          <w:p>
            <w:pPr>
              <w:spacing w:after="0"/>
              <w:rPr>
                <w:sz w:val="1"/>
                <w:szCs w:val="1"/>
                <w:color w:val="auto"/>
              </w:rPr>
            </w:pPr>
          </w:p>
        </w:tc>
      </w:tr>
      <w:tr>
        <w:trPr>
          <w:trHeight w:val="235"/>
        </w:trPr>
        <w:tc>
          <w:tcPr>
            <w:tcW w:w="4560" w:type="dxa"/>
            <w:vAlign w:val="bottom"/>
          </w:tcPr>
          <w:p>
            <w:pPr>
              <w:ind w:left="160"/>
              <w:spacing w:after="0"/>
              <w:rPr>
                <w:sz w:val="20"/>
                <w:szCs w:val="20"/>
                <w:color w:val="auto"/>
              </w:rPr>
            </w:pPr>
            <w:r>
              <w:rPr>
                <w:rFonts w:ascii="Arial" w:cs="Arial" w:eastAsia="Arial" w:hAnsi="Arial"/>
                <w:sz w:val="18"/>
                <w:szCs w:val="18"/>
                <w:color w:val="auto"/>
              </w:rPr>
              <w:t>and diluted</w:t>
            </w:r>
          </w:p>
        </w:tc>
        <w:tc>
          <w:tcPr>
            <w:tcW w:w="24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vMerge w:val="continue"/>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vMerge w:val="continue"/>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56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ectPr>
          <w:pgSz w:w="11900" w:h="16838" w:orient="portrait"/>
          <w:cols w:equalWidth="0" w:num="1">
            <w:col w:w="10660"/>
          </w:cols>
          <w:pgMar w:left="620" w:top="1101" w:right="619" w:bottom="1440" w:gutter="0" w:footer="0" w:header="0"/>
        </w:sectPr>
      </w:pPr>
    </w:p>
    <w:bookmarkStart w:id="11" w:name="page12"/>
    <w:bookmarkEnd w:id="11"/>
    <w:p>
      <w:pPr>
        <w:ind w:left="4540"/>
        <w:spacing w:after="0"/>
        <w:rPr>
          <w:sz w:val="20"/>
          <w:szCs w:val="20"/>
          <w:color w:val="auto"/>
        </w:rPr>
      </w:pPr>
      <w:r>
        <w:rPr>
          <w:rFonts w:ascii="Arial" w:cs="Arial" w:eastAsia="Arial" w:hAnsi="Arial"/>
          <w:sz w:val="20"/>
          <w:szCs w:val="20"/>
          <w:b w:val="1"/>
          <w:bCs w:val="1"/>
          <w:color w:val="auto"/>
        </w:rPr>
        <w:t>Rent the Runway, Inc.</w:t>
      </w:r>
    </w:p>
    <w:p>
      <w:pPr>
        <w:ind w:left="3740"/>
        <w:spacing w:after="0" w:line="229" w:lineRule="auto"/>
        <w:rPr>
          <w:sz w:val="20"/>
          <w:szCs w:val="20"/>
          <w:color w:val="auto"/>
        </w:rPr>
      </w:pPr>
      <w:r>
        <w:rPr>
          <w:rFonts w:ascii="Arial" w:cs="Arial" w:eastAsia="Arial" w:hAnsi="Arial"/>
          <w:sz w:val="19"/>
          <w:szCs w:val="19"/>
          <w:b w:val="1"/>
          <w:bCs w:val="1"/>
          <w:color w:val="auto"/>
        </w:rPr>
        <w:t>Consolidated Statements of Cash Flow</w:t>
      </w:r>
    </w:p>
    <w:p>
      <w:pPr>
        <w:jc w:val="center"/>
        <w:ind w:right="-39"/>
        <w:spacing w:after="0"/>
        <w:rPr>
          <w:sz w:val="20"/>
          <w:szCs w:val="20"/>
          <w:color w:val="auto"/>
        </w:rPr>
      </w:pPr>
      <w:r>
        <w:rPr>
          <w:rFonts w:ascii="Arial" w:cs="Arial" w:eastAsia="Arial" w:hAnsi="Arial"/>
          <w:sz w:val="20"/>
          <w:szCs w:val="20"/>
          <w:b w:val="1"/>
          <w:bCs w:val="1"/>
          <w:color w:val="auto"/>
        </w:rPr>
        <w:t>(in millions)</w:t>
      </w:r>
    </w:p>
    <w:p>
      <w:pPr>
        <w:sectPr>
          <w:pgSz w:w="11900" w:h="16838" w:orient="portrait"/>
          <w:cols w:equalWidth="0" w:num="1">
            <w:col w:w="11100"/>
          </w:cols>
          <w:pgMar w:left="380" w:top="1344" w:right="41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OPERATING ACTIVITIES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loss</w:t>
      </w:r>
    </w:p>
    <w:p>
      <w:pPr>
        <w:spacing w:after="0" w:line="59" w:lineRule="exact"/>
        <w:rPr>
          <w:sz w:val="20"/>
          <w:szCs w:val="20"/>
          <w:color w:val="auto"/>
        </w:rPr>
      </w:pPr>
    </w:p>
    <w:p>
      <w:pPr>
        <w:spacing w:after="0"/>
        <w:rPr>
          <w:sz w:val="20"/>
          <w:szCs w:val="20"/>
          <w:color w:val="auto"/>
        </w:rPr>
      </w:pPr>
      <w:r>
        <w:rPr>
          <w:rFonts w:ascii="Arial" w:cs="Arial" w:eastAsia="Arial" w:hAnsi="Arial"/>
          <w:sz w:val="16"/>
          <w:szCs w:val="16"/>
          <w:color w:val="auto"/>
        </w:rPr>
        <w:t>Adjustments to reconcile net loss to net cash (used in) provided by operating activities: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Rental product depreciation and write-offs</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Write-off of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Other depreciation and amortization</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Proceeds from rental product sold</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(Gain) / loss from liquidation of rental product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Accrual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Settlement of paid-in-kind interest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Amortization of debt discount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Loss on debt extinguishment</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Share-based compensation expense</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Remeasurement of warrant liability</w:t>
      </w:r>
    </w:p>
    <w:p>
      <w:pPr>
        <w:spacing w:after="0" w:line="59" w:lineRule="exact"/>
        <w:rPr>
          <w:sz w:val="20"/>
          <w:szCs w:val="20"/>
          <w:color w:val="auto"/>
        </w:rPr>
      </w:pPr>
    </w:p>
    <w:p>
      <w:pPr>
        <w:ind w:left="380"/>
        <w:spacing w:after="0"/>
        <w:rPr>
          <w:sz w:val="20"/>
          <w:szCs w:val="20"/>
          <w:color w:val="auto"/>
        </w:rPr>
      </w:pPr>
      <w:r>
        <w:rPr>
          <w:rFonts w:ascii="Arial" w:cs="Arial" w:eastAsia="Arial" w:hAnsi="Arial"/>
          <w:sz w:val="16"/>
          <w:szCs w:val="16"/>
          <w:color w:val="auto"/>
        </w:rPr>
        <w:t>Changes in operating assets and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Prepaid expenses and other current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right-of-use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assets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Accounts payable, accrued expenses and other current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Deferred revenue and customer credit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Operating lease liabilities</w:t>
      </w:r>
    </w:p>
    <w:p>
      <w:pPr>
        <w:spacing w:after="0" w:line="59" w:lineRule="exact"/>
        <w:rPr>
          <w:sz w:val="20"/>
          <w:szCs w:val="20"/>
          <w:color w:val="auto"/>
        </w:rPr>
      </w:pPr>
    </w:p>
    <w:p>
      <w:pPr>
        <w:ind w:left="700"/>
        <w:spacing w:after="0"/>
        <w:rPr>
          <w:sz w:val="20"/>
          <w:szCs w:val="20"/>
          <w:color w:val="auto"/>
        </w:rPr>
      </w:pPr>
      <w:r>
        <w:rPr>
          <w:rFonts w:ascii="Arial" w:cs="Arial" w:eastAsia="Arial" w:hAnsi="Arial"/>
          <w:sz w:val="16"/>
          <w:szCs w:val="16"/>
          <w:color w:val="auto"/>
        </w:rPr>
        <w:t>Other liabilities</w:t>
      </w:r>
    </w:p>
    <w:p>
      <w:pPr>
        <w:spacing w:after="0" w:line="86" w:lineRule="exact"/>
        <w:rPr>
          <w:sz w:val="20"/>
          <w:szCs w:val="20"/>
          <w:color w:val="auto"/>
        </w:rPr>
      </w:pPr>
    </w:p>
    <w:p>
      <w:pPr>
        <w:ind w:left="980"/>
        <w:spacing w:after="0"/>
        <w:rPr>
          <w:sz w:val="20"/>
          <w:szCs w:val="20"/>
          <w:color w:val="auto"/>
        </w:rPr>
      </w:pPr>
      <w:r>
        <w:rPr>
          <w:rFonts w:ascii="Arial" w:cs="Arial" w:eastAsia="Arial" w:hAnsi="Arial"/>
          <w:sz w:val="16"/>
          <w:szCs w:val="16"/>
          <w:color w:val="auto"/>
        </w:rPr>
        <w:t>Net cash (used in) provided by operating activities</w:t>
      </w:r>
    </w:p>
    <w:p>
      <w:pPr>
        <w:spacing w:after="0" w:line="54"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INVESTING ACTIVITIES</w:t>
      </w:r>
    </w:p>
    <w:p>
      <w:pPr>
        <w:spacing w:after="0" w:line="62"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liquidation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sale of rental product</w:t>
      </w:r>
    </w:p>
    <w:p>
      <w:pPr>
        <w:spacing w:after="0" w:line="59" w:lineRule="exact"/>
        <w:rPr>
          <w:sz w:val="20"/>
          <w:szCs w:val="20"/>
          <w:color w:val="auto"/>
        </w:rPr>
      </w:pPr>
    </w:p>
    <w:p>
      <w:pPr>
        <w:ind w:left="60"/>
        <w:spacing w:after="0"/>
        <w:rPr>
          <w:sz w:val="20"/>
          <w:szCs w:val="20"/>
          <w:color w:val="auto"/>
        </w:rPr>
      </w:pPr>
      <w:r>
        <w:rPr>
          <w:rFonts w:ascii="Arial" w:cs="Arial" w:eastAsia="Arial" w:hAnsi="Arial"/>
          <w:sz w:val="16"/>
          <w:szCs w:val="16"/>
          <w:color w:val="auto"/>
        </w:rPr>
        <w:t>Purchases of fixed and intangible assets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investing activities</w:t>
      </w:r>
    </w:p>
    <w:p>
      <w:pPr>
        <w:spacing w:after="0" w:line="67" w:lineRule="exact"/>
        <w:rPr>
          <w:sz w:val="20"/>
          <w:szCs w:val="20"/>
          <w:color w:val="auto"/>
        </w:rPr>
      </w:pPr>
    </w:p>
    <w:p>
      <w:pPr>
        <w:ind w:left="60"/>
        <w:spacing w:after="0"/>
        <w:rPr>
          <w:sz w:val="20"/>
          <w:szCs w:val="20"/>
          <w:color w:val="auto"/>
        </w:rPr>
      </w:pPr>
      <w:r>
        <w:rPr>
          <w:rFonts w:ascii="Arial" w:cs="Arial" w:eastAsia="Arial" w:hAnsi="Arial"/>
          <w:sz w:val="15"/>
          <w:szCs w:val="15"/>
          <w:b w:val="1"/>
          <w:bCs w:val="1"/>
          <w:color w:val="auto"/>
        </w:rPr>
        <w:t>FINANCING ACTIVITIES</w:t>
      </w:r>
    </w:p>
    <w:p>
      <w:pPr>
        <w:spacing w:after="0" w:line="76" w:lineRule="exact"/>
        <w:rPr>
          <w:sz w:val="20"/>
          <w:szCs w:val="20"/>
          <w:color w:val="auto"/>
        </w:rPr>
      </w:pPr>
    </w:p>
    <w:p>
      <w:pPr>
        <w:ind w:left="60" w:right="1100"/>
        <w:spacing w:after="0" w:line="334" w:lineRule="auto"/>
        <w:rPr>
          <w:sz w:val="20"/>
          <w:szCs w:val="20"/>
          <w:color w:val="auto"/>
        </w:rPr>
      </w:pPr>
      <w:r>
        <w:rPr>
          <w:rFonts w:ascii="Arial" w:cs="Arial" w:eastAsia="Arial" w:hAnsi="Arial"/>
          <w:sz w:val="16"/>
          <w:szCs w:val="16"/>
          <w:color w:val="auto"/>
        </w:rPr>
        <w:t>Proceeds from issuance of common stock upon IPO, net of offering costs Proceeds from issuance of redeemable preferred stock</w:t>
      </w:r>
    </w:p>
    <w:p>
      <w:pPr>
        <w:spacing w:after="0" w:line="1"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exercise of stock options under stock incentive plan</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line of credit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Principal repayments on line of credit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long-term debt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Principal repayments on long-term debt</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Debt extinguishment costs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Proceeds from short-term financing agreements</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Other financing payments</w:t>
      </w:r>
    </w:p>
    <w:p>
      <w:pPr>
        <w:spacing w:after="0" w:line="86" w:lineRule="exact"/>
        <w:rPr>
          <w:sz w:val="20"/>
          <w:szCs w:val="20"/>
          <w:color w:val="auto"/>
        </w:rPr>
      </w:pPr>
    </w:p>
    <w:p>
      <w:pPr>
        <w:ind w:left="1020"/>
        <w:spacing w:after="0"/>
        <w:rPr>
          <w:sz w:val="20"/>
          <w:szCs w:val="20"/>
          <w:color w:val="auto"/>
        </w:rPr>
      </w:pPr>
      <w:r>
        <w:rPr>
          <w:rFonts w:ascii="Arial" w:cs="Arial" w:eastAsia="Arial" w:hAnsi="Arial"/>
          <w:sz w:val="16"/>
          <w:szCs w:val="16"/>
          <w:color w:val="auto"/>
        </w:rPr>
        <w:t>Net cash (used in) provided by financing activities</w:t>
      </w:r>
    </w:p>
    <w:p>
      <w:pPr>
        <w:spacing w:after="0" w:line="86" w:lineRule="exact"/>
        <w:rPr>
          <w:sz w:val="20"/>
          <w:szCs w:val="20"/>
          <w:color w:val="auto"/>
        </w:rPr>
      </w:pPr>
    </w:p>
    <w:p>
      <w:pPr>
        <w:ind w:left="60"/>
        <w:spacing w:after="0"/>
        <w:rPr>
          <w:sz w:val="20"/>
          <w:szCs w:val="20"/>
          <w:color w:val="auto"/>
        </w:rPr>
      </w:pPr>
      <w:r>
        <w:rPr>
          <w:rFonts w:ascii="Arial" w:cs="Arial" w:eastAsia="Arial" w:hAnsi="Arial"/>
          <w:sz w:val="16"/>
          <w:szCs w:val="16"/>
          <w:color w:val="auto"/>
        </w:rPr>
        <w:t>Net increase in cash and cash equivalents and restricted cash</w:t>
      </w:r>
    </w:p>
    <w:p>
      <w:pPr>
        <w:spacing w:after="0" w:line="7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beginning of period</w:t>
      </w:r>
    </w:p>
    <w:p>
      <w:pPr>
        <w:spacing w:after="0" w:line="113" w:lineRule="exact"/>
        <w:rPr>
          <w:sz w:val="20"/>
          <w:szCs w:val="20"/>
          <w:color w:val="auto"/>
        </w:rPr>
      </w:pPr>
    </w:p>
    <w:p>
      <w:pPr>
        <w:ind w:left="60"/>
        <w:spacing w:after="0"/>
        <w:rPr>
          <w:sz w:val="20"/>
          <w:szCs w:val="20"/>
          <w:color w:val="auto"/>
        </w:rPr>
      </w:pPr>
      <w:r>
        <w:rPr>
          <w:rFonts w:ascii="Arial" w:cs="Arial" w:eastAsia="Arial" w:hAnsi="Arial"/>
          <w:sz w:val="16"/>
          <w:szCs w:val="16"/>
          <w:color w:val="auto"/>
        </w:rPr>
        <w:t>Cash and cash equivalents and restricted cash at end of period</w:t>
      </w:r>
    </w:p>
    <w:p>
      <w:pPr>
        <w:spacing w:after="0" w:line="20" w:lineRule="exact"/>
        <w:rPr>
          <w:sz w:val="20"/>
          <w:szCs w:val="20"/>
          <w:color w:val="auto"/>
        </w:rPr>
      </w:pPr>
      <w:r>
        <w:rPr>
          <w:sz w:val="20"/>
          <w:szCs w:val="20"/>
          <w:color w:val="auto"/>
        </w:rPr>
        <w:br w:type="column"/>
      </w:r>
    </w:p>
    <w:p>
      <w:pPr>
        <w:spacing w:after="0" w:line="244" w:lineRule="exact"/>
        <w:rPr>
          <w:sz w:val="20"/>
          <w:szCs w:val="20"/>
          <w:color w:val="auto"/>
        </w:rPr>
      </w:pPr>
    </w:p>
    <w:p>
      <w:pPr>
        <w:ind w:left="118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23495</wp:posOffset>
            </wp:positionV>
            <wp:extent cx="252920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529205" cy="8255"/>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97"/>
        </w:trPr>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7"/>
                <w:szCs w:val="17"/>
                <w:color w:val="auto"/>
              </w:rPr>
            </w:pPr>
          </w:p>
        </w:tc>
        <w:tc>
          <w:tcPr>
            <w:tcW w:w="4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tcPr>
          <w:p>
            <w:pPr>
              <w:jc w:val="right"/>
              <w:ind w:right="744"/>
              <w:spacing w:after="0"/>
              <w:rPr>
                <w:sz w:val="20"/>
                <w:szCs w:val="20"/>
                <w:color w:val="auto"/>
              </w:rPr>
            </w:pPr>
            <w:r>
              <w:rPr>
                <w:rFonts w:ascii="Arial" w:cs="Arial" w:eastAsia="Arial" w:hAnsi="Arial"/>
                <w:sz w:val="14"/>
                <w:szCs w:val="14"/>
                <w:b w:val="1"/>
                <w:bCs w:val="1"/>
                <w:color w:val="auto"/>
              </w:rPr>
              <w:t>2021</w:t>
            </w:r>
          </w:p>
        </w:tc>
      </w:tr>
      <w:tr>
        <w:trPr>
          <w:trHeight w:val="434"/>
        </w:trPr>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(211.8)</w:t>
            </w:r>
          </w:p>
        </w:tc>
        <w:tc>
          <w:tcPr>
            <w:tcW w:w="100" w:type="dxa"/>
            <w:vAlign w:val="bottom"/>
          </w:tcPr>
          <w:p>
            <w:pPr>
              <w:spacing w:after="0"/>
              <w:rPr>
                <w:sz w:val="24"/>
                <w:szCs w:val="24"/>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spacing w:after="0"/>
              <w:rPr>
                <w:sz w:val="20"/>
                <w:szCs w:val="20"/>
                <w:color w:val="auto"/>
              </w:rPr>
            </w:pPr>
            <w:r>
              <w:rPr>
                <w:rFonts w:ascii="Arial" w:cs="Arial" w:eastAsia="Arial" w:hAnsi="Arial"/>
                <w:sz w:val="15"/>
                <w:szCs w:val="15"/>
                <w:color w:val="auto"/>
              </w:rPr>
              <w:t>(171.1)</w:t>
            </w:r>
          </w:p>
        </w:tc>
      </w:tr>
      <w:tr>
        <w:trPr>
          <w:trHeight w:val="486"/>
        </w:trPr>
        <w:tc>
          <w:tcPr>
            <w:tcW w:w="440" w:type="dxa"/>
            <w:vAlign w:val="bottom"/>
          </w:tcPr>
          <w:p>
            <w:pPr>
              <w:spacing w:after="0"/>
              <w:rPr>
                <w:sz w:val="24"/>
                <w:szCs w:val="24"/>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45.6</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55.9</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14.0</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19.5</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24.1</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(17.9)</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0.9</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38.8</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36.9</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(6.3)</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5.0</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12.2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0.6</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26.6</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8.2</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24.9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486"/>
        </w:trPr>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(7.0)</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0.3</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(0.4)</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(3.0)</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1.8</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18.4</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(4.5)</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(7.3)</w:t>
            </w:r>
          </w:p>
        </w:tc>
      </w:tr>
      <w:tr>
        <w:trPr>
          <w:trHeight w:val="243"/>
        </w:trPr>
        <w:tc>
          <w:tcPr>
            <w:tcW w:w="440" w:type="dxa"/>
            <w:vAlign w:val="bottom"/>
          </w:tcPr>
          <w:p>
            <w:pPr>
              <w:spacing w:after="0"/>
              <w:rPr>
                <w:sz w:val="21"/>
                <w:szCs w:val="21"/>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(6.2)</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11.4</w:t>
            </w:r>
          </w:p>
        </w:tc>
      </w:tr>
      <w:tr>
        <w:trPr>
          <w:trHeight w:val="256"/>
        </w:trPr>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ind w:right="4"/>
              <w:spacing w:after="0"/>
              <w:rPr>
                <w:sz w:val="20"/>
                <w:szCs w:val="20"/>
                <w:color w:val="auto"/>
              </w:rPr>
            </w:pPr>
            <w:r>
              <w:rPr>
                <w:rFonts w:ascii="Arial" w:cs="Arial" w:eastAsia="Arial" w:hAnsi="Arial"/>
                <w:sz w:val="15"/>
                <w:szCs w:val="15"/>
                <w:color w:val="auto"/>
              </w:rPr>
              <w:t>0.8</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(0.3)</w:t>
            </w:r>
          </w:p>
        </w:tc>
      </w:tr>
      <w:tr>
        <w:trPr>
          <w:trHeight w:val="223"/>
        </w:trPr>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(42.3)</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(42.8)</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33"/>
        </w:trPr>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(30.8)</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(54.9)</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5.7</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2.4</w:t>
            </w:r>
          </w:p>
        </w:tc>
      </w:tr>
      <w:tr>
        <w:trPr>
          <w:trHeight w:val="243"/>
        </w:trPr>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12.9</w:t>
            </w:r>
          </w:p>
        </w:tc>
        <w:tc>
          <w:tcPr>
            <w:tcW w:w="10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17.9</w:t>
            </w:r>
          </w:p>
        </w:tc>
      </w:tr>
      <w:tr>
        <w:trPr>
          <w:trHeight w:val="256"/>
        </w:trPr>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(10.3)</w:t>
            </w:r>
          </w:p>
        </w:tc>
        <w:tc>
          <w:tcPr>
            <w:tcW w:w="100" w:type="dxa"/>
            <w:vAlign w:val="bottom"/>
          </w:tcPr>
          <w:p>
            <w:pPr>
              <w:spacing w:after="0"/>
              <w:rPr>
                <w:sz w:val="22"/>
                <w:szCs w:val="22"/>
                <w:color w:val="auto"/>
              </w:rPr>
            </w:pPr>
          </w:p>
        </w:tc>
        <w:tc>
          <w:tcPr>
            <w:tcW w:w="44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5"/>
                <w:szCs w:val="15"/>
                <w:color w:val="auto"/>
              </w:rPr>
              <w:t>(23.8)</w:t>
            </w:r>
          </w:p>
        </w:tc>
      </w:tr>
      <w:tr>
        <w:trPr>
          <w:trHeight w:val="223"/>
        </w:trPr>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(22.5)</w:t>
            </w: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(58.4)</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460"/>
        </w:trPr>
        <w:tc>
          <w:tcPr>
            <w:tcW w:w="440" w:type="dxa"/>
            <w:vAlign w:val="bottom"/>
          </w:tcPr>
          <w:p>
            <w:pPr>
              <w:spacing w:after="0"/>
              <w:rPr>
                <w:sz w:val="24"/>
                <w:szCs w:val="24"/>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327.3</w:t>
            </w: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57"/>
        </w:trPr>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21.2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60.4</w:t>
            </w:r>
          </w:p>
        </w:tc>
      </w:tr>
      <w:tr>
        <w:trPr>
          <w:trHeight w:val="256"/>
        </w:trPr>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3.3</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0.5</w:t>
            </w:r>
          </w:p>
        </w:tc>
      </w:tr>
      <w:tr>
        <w:trPr>
          <w:trHeight w:val="257"/>
        </w:trPr>
        <w:tc>
          <w:tcPr>
            <w:tcW w:w="440" w:type="dxa"/>
            <w:vAlign w:val="bottom"/>
          </w:tcPr>
          <w:p>
            <w:pPr>
              <w:spacing w:after="0"/>
              <w:rPr>
                <w:sz w:val="22"/>
                <w:szCs w:val="22"/>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15.0</w:t>
            </w:r>
          </w:p>
        </w:tc>
      </w:tr>
      <w:tr>
        <w:trPr>
          <w:trHeight w:val="257"/>
        </w:trPr>
        <w:tc>
          <w:tcPr>
            <w:tcW w:w="440" w:type="dxa"/>
            <w:vAlign w:val="bottom"/>
          </w:tcPr>
          <w:p>
            <w:pPr>
              <w:spacing w:after="0"/>
              <w:rPr>
                <w:sz w:val="22"/>
                <w:szCs w:val="22"/>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(59.0)</w:t>
            </w:r>
          </w:p>
        </w:tc>
      </w:tr>
      <w:tr>
        <w:trPr>
          <w:trHeight w:val="256"/>
        </w:trPr>
        <w:tc>
          <w:tcPr>
            <w:tcW w:w="440" w:type="dxa"/>
            <w:vAlign w:val="bottom"/>
          </w:tcPr>
          <w:p>
            <w:pPr>
              <w:spacing w:after="0"/>
              <w:rPr>
                <w:sz w:val="22"/>
                <w:szCs w:val="22"/>
                <w:color w:val="auto"/>
              </w:rPr>
            </w:pPr>
          </w:p>
        </w:tc>
        <w:tc>
          <w:tcPr>
            <w:tcW w:w="1600" w:type="dxa"/>
            <w:vAlign w:val="bottom"/>
            <w:gridSpan w:val="2"/>
          </w:tcPr>
          <w:p>
            <w:pPr>
              <w:jc w:val="right"/>
              <w:ind w:right="180"/>
              <w:spacing w:after="0"/>
              <w:rPr>
                <w:sz w:val="20"/>
                <w:szCs w:val="20"/>
                <w:color w:val="auto"/>
              </w:rPr>
            </w:pPr>
            <w:r>
              <w:rPr>
                <w:rFonts w:ascii="Arial" w:cs="Arial" w:eastAsia="Arial" w:hAnsi="Arial"/>
                <w:sz w:val="15"/>
                <w:szCs w:val="15"/>
                <w:color w:val="auto"/>
              </w:rPr>
              <w:t>—</w:t>
            </w:r>
          </w:p>
        </w:tc>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155.0</w:t>
            </w:r>
          </w:p>
        </w:tc>
      </w:tr>
      <w:tr>
        <w:trPr>
          <w:trHeight w:val="256"/>
        </w:trPr>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(135.0)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56"/>
        </w:trPr>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(4.7)</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56"/>
        </w:trPr>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5.0</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w:t>
            </w:r>
          </w:p>
        </w:tc>
      </w:tr>
      <w:tr>
        <w:trPr>
          <w:trHeight w:val="257"/>
        </w:trPr>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(1.9)</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spacing w:after="0"/>
              <w:rPr>
                <w:sz w:val="20"/>
                <w:szCs w:val="20"/>
                <w:color w:val="auto"/>
              </w:rPr>
            </w:pPr>
            <w:r>
              <w:rPr>
                <w:rFonts w:ascii="Arial" w:cs="Arial" w:eastAsia="Arial" w:hAnsi="Arial"/>
                <w:sz w:val="15"/>
                <w:szCs w:val="15"/>
                <w:color w:val="auto"/>
              </w:rPr>
              <w:t>(3.4)</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215.2</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168.5</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150.4</w:t>
            </w: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67.3</w:t>
            </w:r>
          </w:p>
        </w:tc>
      </w:tr>
      <w:tr>
        <w:trPr>
          <w:trHeight w:val="256"/>
        </w:trPr>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109.2</w:t>
            </w: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41.9</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7"/>
        </w:trPr>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259.6</w:t>
            </w:r>
          </w:p>
        </w:tc>
        <w:tc>
          <w:tcPr>
            <w:tcW w:w="100" w:type="dxa"/>
            <w:vAlign w:val="bottom"/>
          </w:tcPr>
          <w:p>
            <w:pPr>
              <w:spacing w:after="0"/>
              <w:rPr>
                <w:sz w:val="18"/>
                <w:szCs w:val="18"/>
                <w:color w:val="auto"/>
              </w:rPr>
            </w:pPr>
          </w:p>
        </w:tc>
        <w:tc>
          <w:tcPr>
            <w:tcW w:w="440" w:type="dxa"/>
            <w:vAlign w:val="bottom"/>
          </w:tcPr>
          <w:p>
            <w:pPr>
              <w:jc w:val="right"/>
              <w:ind w:right="264"/>
              <w:spacing w:after="0"/>
              <w:rPr>
                <w:sz w:val="20"/>
                <w:szCs w:val="20"/>
                <w:color w:val="auto"/>
              </w:rPr>
            </w:pPr>
            <w:r>
              <w:rPr>
                <w:rFonts w:ascii="Arial" w:cs="Arial" w:eastAsia="Arial" w:hAnsi="Arial"/>
                <w:sz w:val="15"/>
                <w:szCs w:val="15"/>
                <w:color w:val="auto"/>
                <w:w w:val="95"/>
              </w:rPr>
              <w:t>$</w:t>
            </w:r>
          </w:p>
        </w:tc>
        <w:tc>
          <w:tcPr>
            <w:tcW w:w="1500" w:type="dxa"/>
            <w:vAlign w:val="bottom"/>
          </w:tcPr>
          <w:p>
            <w:pPr>
              <w:jc w:val="right"/>
              <w:ind w:right="4"/>
              <w:spacing w:after="0"/>
              <w:rPr>
                <w:sz w:val="20"/>
                <w:szCs w:val="20"/>
                <w:color w:val="auto"/>
              </w:rPr>
            </w:pPr>
            <w:r>
              <w:rPr>
                <w:rFonts w:ascii="Arial" w:cs="Arial" w:eastAsia="Arial" w:hAnsi="Arial"/>
                <w:sz w:val="15"/>
                <w:szCs w:val="15"/>
                <w:color w:val="auto"/>
              </w:rPr>
              <w:t>109.2</w:t>
            </w:r>
          </w:p>
        </w:tc>
      </w:tr>
      <w:tr>
        <w:trPr>
          <w:trHeight w:val="33"/>
        </w:trPr>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1"/>
        </w:trPr>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ectPr>
          <w:pgSz w:w="11900" w:h="16838" w:orient="portrait"/>
          <w:cols w:equalWidth="0" w:num="2">
            <w:col w:w="6400" w:space="720"/>
            <w:col w:w="3980"/>
          </w:cols>
          <w:pgMar w:left="380" w:top="1344" w:right="419" w:bottom="1440" w:gutter="0" w:footer="0" w:header="0"/>
          <w:type w:val="continuous"/>
        </w:sectPr>
      </w:pPr>
    </w:p>
    <w:bookmarkStart w:id="12" w:name="page13"/>
    <w:bookmarkEnd w:id="12"/>
    <w:p>
      <w:pPr>
        <w:ind w:left="4280"/>
        <w:spacing w:after="0"/>
        <w:rPr>
          <w:sz w:val="20"/>
          <w:szCs w:val="20"/>
          <w:color w:val="auto"/>
        </w:rPr>
      </w:pPr>
      <w:r>
        <w:rPr>
          <w:rFonts w:ascii="Arial" w:cs="Arial" w:eastAsia="Arial" w:hAnsi="Arial"/>
          <w:sz w:val="20"/>
          <w:szCs w:val="20"/>
          <w:b w:val="1"/>
          <w:bCs w:val="1"/>
          <w:color w:val="auto"/>
        </w:rPr>
        <w:t>Rent the Runway, Inc.</w:t>
      </w:r>
    </w:p>
    <w:p>
      <w:pPr>
        <w:jc w:val="right"/>
        <w:spacing w:after="0" w:line="217" w:lineRule="auto"/>
        <w:rPr>
          <w:sz w:val="20"/>
          <w:szCs w:val="20"/>
          <w:color w:val="auto"/>
        </w:rPr>
      </w:pPr>
      <w:r>
        <w:rPr>
          <w:rFonts w:ascii="Arial" w:cs="Arial" w:eastAsia="Arial" w:hAnsi="Arial"/>
          <w:sz w:val="20"/>
          <w:szCs w:val="20"/>
          <w:b w:val="1"/>
          <w:bCs w:val="1"/>
          <w:color w:val="auto"/>
        </w:rPr>
        <w:t>Consolidated Statements of Cash Flow</w:t>
      </w:r>
    </w:p>
    <w:p>
      <w:pPr>
        <w:spacing w:after="0" w:line="1" w:lineRule="exact"/>
        <w:rPr>
          <w:sz w:val="20"/>
          <w:szCs w:val="20"/>
          <w:color w:val="auto"/>
        </w:rPr>
      </w:pPr>
    </w:p>
    <w:p>
      <w:pPr>
        <w:ind w:left="4740"/>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ind w:left="160" w:right="80" w:hanging="161"/>
        <w:spacing w:after="0" w:line="281" w:lineRule="auto"/>
        <w:rPr>
          <w:sz w:val="20"/>
          <w:szCs w:val="20"/>
          <w:color w:val="auto"/>
        </w:rPr>
      </w:pPr>
      <w:r>
        <w:rPr>
          <w:rFonts w:ascii="Arial" w:cs="Arial" w:eastAsia="Arial" w:hAnsi="Arial"/>
          <w:sz w:val="14"/>
          <w:szCs w:val="14"/>
          <w:b w:val="1"/>
          <w:bCs w:val="1"/>
          <w:color w:val="auto"/>
        </w:rPr>
        <w:t>RECONCILIATION OF CASH AND CASH EQUIVALENTS AND RESTRICTED CASH TO THE CONDENSED CONSOLIDATED BALANCE SHEETS</w:t>
      </w:r>
    </w:p>
    <w:p>
      <w:pPr>
        <w:spacing w:after="0" w:line="1" w:lineRule="exact"/>
        <w:rPr>
          <w:sz w:val="20"/>
          <w:szCs w:val="20"/>
          <w:color w:val="auto"/>
        </w:rPr>
      </w:pPr>
    </w:p>
    <w:p>
      <w:pPr>
        <w:spacing w:after="0"/>
        <w:rPr>
          <w:sz w:val="20"/>
          <w:szCs w:val="20"/>
          <w:color w:val="auto"/>
        </w:rPr>
      </w:pPr>
      <w:r>
        <w:rPr>
          <w:rFonts w:ascii="Arial" w:cs="Arial" w:eastAsia="Arial" w:hAnsi="Arial"/>
          <w:sz w:val="14"/>
          <w:szCs w:val="14"/>
          <w:color w:val="auto"/>
        </w:rPr>
        <w:t>Cash and cash equivalents</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current</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Restricted cash, noncurrent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color w:val="auto"/>
        </w:rPr>
        <w:t>Total cash and cash equivalents and restricted cash</w:t>
      </w:r>
    </w:p>
    <w:p>
      <w:pPr>
        <w:spacing w:after="0" w:line="31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Supplemental Cash Flow Information:</w:t>
      </w:r>
    </w:p>
    <w:p>
      <w:pPr>
        <w:spacing w:after="0" w:line="55" w:lineRule="exact"/>
        <w:rPr>
          <w:sz w:val="20"/>
          <w:szCs w:val="20"/>
          <w:color w:val="auto"/>
        </w:rPr>
      </w:pPr>
    </w:p>
    <w:p>
      <w:pPr>
        <w:spacing w:after="0"/>
        <w:rPr>
          <w:sz w:val="20"/>
          <w:szCs w:val="20"/>
          <w:color w:val="auto"/>
        </w:rPr>
      </w:pPr>
      <w:r>
        <w:rPr>
          <w:rFonts w:ascii="Arial" w:cs="Arial" w:eastAsia="Arial" w:hAnsi="Arial"/>
          <w:sz w:val="14"/>
          <w:szCs w:val="14"/>
          <w:color w:val="auto"/>
        </w:rPr>
        <w:t>Cash payments (receipts) for:</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paid on loans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Interest paid on financing leases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operating leases payments (reimbursements), net</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Fixed and intangible assets received in the prior period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Rental product received in the prior period</w:t>
      </w:r>
    </w:p>
    <w:p>
      <w:pPr>
        <w:spacing w:after="0" w:line="69" w:lineRule="exact"/>
        <w:rPr>
          <w:sz w:val="20"/>
          <w:szCs w:val="20"/>
          <w:color w:val="auto"/>
        </w:rPr>
      </w:pPr>
    </w:p>
    <w:p>
      <w:pPr>
        <w:spacing w:after="0"/>
        <w:rPr>
          <w:sz w:val="20"/>
          <w:szCs w:val="20"/>
          <w:color w:val="auto"/>
        </w:rPr>
      </w:pPr>
      <w:r>
        <w:rPr>
          <w:rFonts w:ascii="Arial" w:cs="Arial" w:eastAsia="Arial" w:hAnsi="Arial"/>
          <w:sz w:val="14"/>
          <w:szCs w:val="14"/>
          <w:color w:val="auto"/>
        </w:rPr>
        <w:t>Non-cash financing and investing activities:</w:t>
      </w:r>
    </w:p>
    <w:p>
      <w:pPr>
        <w:spacing w:after="0" w:line="69" w:lineRule="exact"/>
        <w:rPr>
          <w:sz w:val="20"/>
          <w:szCs w:val="20"/>
          <w:color w:val="auto"/>
        </w:rPr>
      </w:pPr>
    </w:p>
    <w:p>
      <w:pPr>
        <w:ind w:left="440"/>
        <w:spacing w:after="0"/>
        <w:rPr>
          <w:sz w:val="20"/>
          <w:szCs w:val="20"/>
          <w:color w:val="auto"/>
        </w:rPr>
      </w:pPr>
      <w:r>
        <w:rPr>
          <w:rFonts w:ascii="Arial" w:cs="Arial" w:eastAsia="Arial" w:hAnsi="Arial"/>
          <w:sz w:val="14"/>
          <w:szCs w:val="14"/>
          <w:color w:val="auto"/>
        </w:rPr>
        <w:t>Financing leases right-of-use asset amortization</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ROU assets obtained in exchange for lease liabilities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Adjustments to ROU assets or lease liabilities due to modification or other reassessment events</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fixed and intangible assets not yet settled</w:t>
      </w:r>
    </w:p>
    <w:p>
      <w:pPr>
        <w:spacing w:after="0" w:line="82" w:lineRule="exact"/>
        <w:rPr>
          <w:sz w:val="20"/>
          <w:szCs w:val="20"/>
          <w:color w:val="auto"/>
        </w:rPr>
      </w:pPr>
    </w:p>
    <w:p>
      <w:pPr>
        <w:ind w:left="440"/>
        <w:spacing w:after="0"/>
        <w:rPr>
          <w:sz w:val="20"/>
          <w:szCs w:val="20"/>
          <w:color w:val="auto"/>
        </w:rPr>
      </w:pPr>
      <w:r>
        <w:rPr>
          <w:rFonts w:ascii="Arial" w:cs="Arial" w:eastAsia="Arial" w:hAnsi="Arial"/>
          <w:sz w:val="14"/>
          <w:szCs w:val="14"/>
          <w:color w:val="auto"/>
        </w:rPr>
        <w:t>Purchases of rental product not yet settled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5" w:lineRule="exact"/>
        <w:rPr>
          <w:sz w:val="20"/>
          <w:szCs w:val="20"/>
          <w:color w:val="auto"/>
        </w:rPr>
      </w:pPr>
    </w:p>
    <w:p>
      <w:pPr>
        <w:ind w:left="70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23495</wp:posOffset>
            </wp:positionV>
            <wp:extent cx="191198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11985" cy="8255"/>
                    </a:xfrm>
                    <a:prstGeom prst="rect">
                      <a:avLst/>
                    </a:prstGeom>
                    <a:noFill/>
                  </pic:spPr>
                </pic:pic>
              </a:graphicData>
            </a:graphic>
          </wp:anchor>
        </w:drawing>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32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508"/>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88"/>
              <w:spacing w:after="0"/>
              <w:rPr>
                <w:sz w:val="20"/>
                <w:szCs w:val="20"/>
                <w:color w:val="auto"/>
              </w:rPr>
            </w:pPr>
            <w:r>
              <w:rPr>
                <w:rFonts w:ascii="Arial" w:cs="Arial" w:eastAsia="Arial" w:hAnsi="Arial"/>
                <w:sz w:val="14"/>
                <w:szCs w:val="14"/>
                <w:b w:val="1"/>
                <w:bCs w:val="1"/>
                <w:color w:val="auto"/>
              </w:rPr>
              <w:t>2021</w:t>
            </w:r>
          </w:p>
        </w:tc>
      </w:tr>
      <w:tr>
        <w:trPr>
          <w:trHeight w:val="573"/>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247.6</w:t>
            </w:r>
          </w:p>
        </w:tc>
        <w:tc>
          <w:tcPr>
            <w:tcW w:w="80" w:type="dxa"/>
            <w:vAlign w:val="bottom"/>
          </w:tcPr>
          <w:p>
            <w:pPr>
              <w:spacing w:after="0"/>
              <w:rPr>
                <w:sz w:val="24"/>
                <w:szCs w:val="24"/>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95.3</w:t>
            </w:r>
          </w:p>
        </w:tc>
      </w:tr>
      <w:tr>
        <w:trPr>
          <w:trHeight w:val="216"/>
        </w:trPr>
        <w:tc>
          <w:tcPr>
            <w:tcW w:w="320" w:type="dxa"/>
            <w:vAlign w:val="bottom"/>
          </w:tcPr>
          <w:p>
            <w:pPr>
              <w:spacing w:after="0"/>
              <w:rPr>
                <w:sz w:val="18"/>
                <w:szCs w:val="18"/>
                <w:color w:val="auto"/>
              </w:rPr>
            </w:pP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4"/>
                <w:szCs w:val="14"/>
                <w:color w:val="auto"/>
              </w:rPr>
              <w:t>3.4</w:t>
            </w:r>
          </w:p>
        </w:tc>
      </w:tr>
      <w:tr>
        <w:trPr>
          <w:trHeight w:val="247"/>
        </w:trPr>
        <w:tc>
          <w:tcPr>
            <w:tcW w:w="3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6.6</w:t>
            </w:r>
          </w:p>
        </w:tc>
        <w:tc>
          <w:tcPr>
            <w:tcW w:w="8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w:t>
            </w:r>
          </w:p>
        </w:tc>
      </w:tr>
      <w:tr>
        <w:trPr>
          <w:trHeight w:val="219"/>
        </w:trPr>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40" w:type="dxa"/>
            <w:vAlign w:val="bottom"/>
          </w:tcPr>
          <w:p>
            <w:pPr>
              <w:jc w:val="right"/>
              <w:ind w:right="8"/>
              <w:spacing w:after="0"/>
              <w:rPr>
                <w:sz w:val="20"/>
                <w:szCs w:val="20"/>
                <w:color w:val="auto"/>
              </w:rPr>
            </w:pPr>
            <w:r>
              <w:rPr>
                <w:rFonts w:ascii="Arial" w:cs="Arial" w:eastAsia="Arial" w:hAnsi="Arial"/>
                <w:sz w:val="14"/>
                <w:szCs w:val="14"/>
                <w:color w:val="auto"/>
              </w:rPr>
              <w:t>259.6</w:t>
            </w:r>
          </w:p>
        </w:tc>
        <w:tc>
          <w:tcPr>
            <w:tcW w:w="80" w:type="dxa"/>
            <w:vAlign w:val="bottom"/>
          </w:tcPr>
          <w:p>
            <w:pPr>
              <w:spacing w:after="0"/>
              <w:rPr>
                <w:sz w:val="19"/>
                <w:szCs w:val="19"/>
                <w:color w:val="auto"/>
              </w:rPr>
            </w:pPr>
          </w:p>
        </w:tc>
        <w:tc>
          <w:tcPr>
            <w:tcW w:w="340" w:type="dxa"/>
            <w:vAlign w:val="bottom"/>
          </w:tcPr>
          <w:p>
            <w:pPr>
              <w:jc w:val="right"/>
              <w:ind w:right="168"/>
              <w:spacing w:after="0"/>
              <w:rPr>
                <w:sz w:val="20"/>
                <w:szCs w:val="20"/>
                <w:color w:val="auto"/>
              </w:rPr>
            </w:pPr>
            <w:r>
              <w:rPr>
                <w:rFonts w:ascii="Arial" w:cs="Arial" w:eastAsia="Arial" w:hAnsi="Arial"/>
                <w:sz w:val="14"/>
                <w:szCs w:val="14"/>
                <w:color w:val="auto"/>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109.2</w:t>
            </w:r>
          </w:p>
        </w:tc>
      </w:tr>
      <w:tr>
        <w:trPr>
          <w:trHeight w:val="22"/>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0"/>
        </w:trPr>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tbl>
      <w:tblPr>
        <w:tblLayout w:type="fixed"/>
        <w:tblInd w:w="20" w:type="dxa"/>
        <w:tblCellMar>
          <w:top w:w="0" w:type="dxa"/>
          <w:left w:w="0" w:type="dxa"/>
          <w:bottom w:w="0" w:type="dxa"/>
          <w:right w:w="0" w:type="dxa"/>
        </w:tblCellMar>
      </w:tblPr>
      <w:tr>
        <w:trPr>
          <w:trHeight w:val="190"/>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10.2</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15.8</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2.6</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0.5</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2.1</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3.7</w:t>
            </w:r>
          </w:p>
        </w:tc>
      </w:tr>
      <w:tr>
        <w:trPr>
          <w:trHeight w:val="459"/>
        </w:trPr>
        <w:tc>
          <w:tcPr>
            <w:tcW w:w="580" w:type="dxa"/>
            <w:vAlign w:val="bottom"/>
          </w:tcPr>
          <w:p>
            <w:pPr>
              <w:jc w:val="right"/>
              <w:ind w:right="428"/>
              <w:spacing w:after="0"/>
              <w:rPr>
                <w:sz w:val="20"/>
                <w:szCs w:val="20"/>
                <w:color w:val="auto"/>
              </w:rPr>
            </w:pPr>
            <w:r>
              <w:rPr>
                <w:rFonts w:ascii="Arial" w:cs="Arial" w:eastAsia="Arial" w:hAnsi="Arial"/>
                <w:sz w:val="14"/>
                <w:szCs w:val="14"/>
                <w:color w:val="auto"/>
                <w:w w:val="76"/>
              </w:rPr>
              <w:t>$</w:t>
            </w: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700" w:type="dxa"/>
            <w:vAlign w:val="bottom"/>
          </w:tcPr>
          <w:p>
            <w:pPr>
              <w:jc w:val="right"/>
              <w:ind w:right="46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0.2</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0.9</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0.1</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0.3</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5.2</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0.8</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0.5</w:t>
            </w:r>
          </w:p>
        </w:tc>
      </w:tr>
      <w:tr>
        <w:trPr>
          <w:trHeight w:val="243"/>
        </w:trPr>
        <w:tc>
          <w:tcPr>
            <w:tcW w:w="580" w:type="dxa"/>
            <w:vAlign w:val="bottom"/>
          </w:tcPr>
          <w:p>
            <w:pPr>
              <w:spacing w:after="0"/>
              <w:rPr>
                <w:sz w:val="21"/>
                <w:szCs w:val="21"/>
                <w:color w:val="auto"/>
              </w:rPr>
            </w:pPr>
          </w:p>
        </w:tc>
        <w:tc>
          <w:tcPr>
            <w:tcW w:w="880" w:type="dxa"/>
            <w:vAlign w:val="bottom"/>
          </w:tcPr>
          <w:p>
            <w:pPr>
              <w:jc w:val="right"/>
              <w:ind w:right="28"/>
              <w:spacing w:after="0"/>
              <w:rPr>
                <w:sz w:val="20"/>
                <w:szCs w:val="20"/>
                <w:color w:val="auto"/>
              </w:rPr>
            </w:pPr>
            <w:r>
              <w:rPr>
                <w:rFonts w:ascii="Arial" w:cs="Arial" w:eastAsia="Arial" w:hAnsi="Arial"/>
                <w:sz w:val="14"/>
                <w:szCs w:val="14"/>
                <w:color w:val="auto"/>
              </w:rPr>
              <w:t>6.5</w:t>
            </w:r>
          </w:p>
        </w:tc>
        <w:tc>
          <w:tcPr>
            <w:tcW w:w="70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3.6</w:t>
            </w:r>
          </w:p>
        </w:tc>
      </w:tr>
    </w:tbl>
    <w:p>
      <w:pPr>
        <w:sectPr>
          <w:pgSz w:w="11900" w:h="16838" w:orient="portrait"/>
          <w:cols w:equalWidth="0" w:num="2">
            <w:col w:w="7140" w:space="480"/>
            <w:col w:w="3000"/>
          </w:cols>
          <w:pgMar w:left="640" w:top="1101" w:right="639" w:bottom="1440" w:gutter="0" w:footer="0" w:header="0"/>
        </w:sectPr>
      </w:pPr>
    </w:p>
    <w:bookmarkStart w:id="13" w:name="page14"/>
    <w:bookmarkEnd w:id="13"/>
    <w:p>
      <w:pPr>
        <w:ind w:left="4673"/>
        <w:spacing w:after="0"/>
        <w:rPr>
          <w:sz w:val="20"/>
          <w:szCs w:val="20"/>
          <w:color w:val="auto"/>
        </w:rPr>
      </w:pPr>
      <w:r>
        <w:rPr>
          <w:rFonts w:ascii="Arial" w:cs="Arial" w:eastAsia="Arial" w:hAnsi="Arial"/>
          <w:sz w:val="20"/>
          <w:szCs w:val="20"/>
          <w:b w:val="1"/>
          <w:bCs w:val="1"/>
          <w:color w:val="auto"/>
        </w:rPr>
        <w:t>Rent the Runway, Inc.</w:t>
      </w:r>
    </w:p>
    <w:p>
      <w:pPr>
        <w:ind w:left="2993"/>
        <w:spacing w:after="0" w:line="217" w:lineRule="auto"/>
        <w:rPr>
          <w:sz w:val="20"/>
          <w:szCs w:val="20"/>
          <w:color w:val="auto"/>
        </w:rPr>
      </w:pPr>
      <w:r>
        <w:rPr>
          <w:rFonts w:ascii="Arial" w:cs="Arial" w:eastAsia="Arial" w:hAnsi="Arial"/>
          <w:sz w:val="20"/>
          <w:szCs w:val="20"/>
          <w:b w:val="1"/>
          <w:bCs w:val="1"/>
          <w:color w:val="auto"/>
        </w:rPr>
        <w:t>Reconciliation of GAAP to Non-GAAP Financial Measures</w:t>
      </w:r>
    </w:p>
    <w:p>
      <w:pPr>
        <w:spacing w:after="0" w:line="1" w:lineRule="exact"/>
        <w:rPr>
          <w:sz w:val="20"/>
          <w:szCs w:val="20"/>
          <w:color w:val="auto"/>
        </w:rPr>
      </w:pPr>
    </w:p>
    <w:p>
      <w:pPr>
        <w:jc w:val="center"/>
        <w:ind w:right="-192"/>
        <w:spacing w:after="0"/>
        <w:rPr>
          <w:sz w:val="20"/>
          <w:szCs w:val="20"/>
          <w:color w:val="auto"/>
        </w:rPr>
      </w:pPr>
      <w:r>
        <w:rPr>
          <w:rFonts w:ascii="Arial" w:cs="Arial" w:eastAsia="Arial" w:hAnsi="Arial"/>
          <w:sz w:val="20"/>
          <w:szCs w:val="20"/>
          <w:b w:val="1"/>
          <w:bCs w:val="1"/>
          <w:color w:val="auto"/>
        </w:rPr>
        <w:t>(in millions)</w:t>
      </w:r>
    </w:p>
    <w:p>
      <w:pPr>
        <w:spacing w:after="0" w:line="200" w:lineRule="exact"/>
        <w:rPr>
          <w:sz w:val="20"/>
          <w:szCs w:val="20"/>
          <w:color w:val="auto"/>
        </w:rPr>
      </w:pPr>
    </w:p>
    <w:p>
      <w:pPr>
        <w:spacing w:after="0" w:line="227" w:lineRule="exact"/>
        <w:rPr>
          <w:sz w:val="20"/>
          <w:szCs w:val="20"/>
          <w:color w:val="auto"/>
        </w:rPr>
      </w:pPr>
    </w:p>
    <w:p>
      <w:pPr>
        <w:ind w:left="73"/>
        <w:spacing w:after="0" w:line="234" w:lineRule="auto"/>
        <w:rPr>
          <w:sz w:val="20"/>
          <w:szCs w:val="20"/>
          <w:color w:val="auto"/>
        </w:rPr>
      </w:pPr>
      <w:r>
        <w:rPr>
          <w:rFonts w:ascii="Arial" w:cs="Arial" w:eastAsia="Arial" w:hAnsi="Arial"/>
          <w:sz w:val="20"/>
          <w:szCs w:val="20"/>
          <w:color w:val="auto"/>
        </w:rPr>
        <w:t>The following table presents a reconciliation of net loss, the most comparable GAAP financial measure, to Adjusted EBITDA for the periods presented:</w:t>
      </w:r>
    </w:p>
    <w:p>
      <w:pPr>
        <w:spacing w:after="0" w:line="23" w:lineRule="exact"/>
        <w:rPr>
          <w:sz w:val="20"/>
          <w:szCs w:val="20"/>
          <w:color w:val="auto"/>
        </w:rPr>
      </w:pPr>
    </w:p>
    <w:tbl>
      <w:tblPr>
        <w:tblLayout w:type="fixed"/>
        <w:tblInd w:w="4313" w:type="dxa"/>
        <w:tblCellMar>
          <w:top w:w="0" w:type="dxa"/>
          <w:left w:w="0" w:type="dxa"/>
          <w:bottom w:w="0" w:type="dxa"/>
          <w:right w:w="0" w:type="dxa"/>
        </w:tblCellMar>
      </w:tblPr>
      <w:tr>
        <w:trPr>
          <w:trHeight w:val="211"/>
        </w:trPr>
        <w:tc>
          <w:tcPr>
            <w:tcW w:w="278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Three Months Ended January 31,</w:t>
            </w:r>
          </w:p>
        </w:tc>
        <w:tc>
          <w:tcPr>
            <w:tcW w:w="38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200" w:type="dxa"/>
            <w:vAlign w:val="bottom"/>
            <w:tcBorders>
              <w:bottom w:val="single" w:sz="8" w:color="auto"/>
            </w:tcBorders>
            <w:gridSpan w:val="2"/>
          </w:tcPr>
          <w:p>
            <w:pPr>
              <w:jc w:val="right"/>
              <w:ind w:right="728"/>
              <w:spacing w:after="0"/>
              <w:rPr>
                <w:sz w:val="20"/>
                <w:szCs w:val="20"/>
                <w:color w:val="auto"/>
              </w:rPr>
            </w:pPr>
            <w:r>
              <w:rPr>
                <w:rFonts w:ascii="Arial" w:cs="Arial" w:eastAsia="Arial" w:hAnsi="Arial"/>
                <w:sz w:val="14"/>
                <w:szCs w:val="14"/>
                <w:b w:val="1"/>
                <w:bCs w:val="1"/>
                <w:color w:val="auto"/>
              </w:rPr>
              <w:t>Year Ended January 31,</w:t>
            </w:r>
          </w:p>
        </w:tc>
      </w:tr>
      <w:tr>
        <w:trPr>
          <w:trHeight w:val="236"/>
        </w:trPr>
        <w:tc>
          <w:tcPr>
            <w:tcW w:w="1580" w:type="dxa"/>
            <w:vAlign w:val="bottom"/>
            <w:tcBorders>
              <w:bottom w:val="single" w:sz="8" w:color="auto"/>
            </w:tcBorders>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2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2021</w:t>
            </w:r>
          </w:p>
        </w:tc>
        <w:tc>
          <w:tcPr>
            <w:tcW w:w="2080" w:type="dxa"/>
            <w:vAlign w:val="bottom"/>
            <w:tcBorders>
              <w:bottom w:val="single" w:sz="8" w:color="auto"/>
            </w:tcBorders>
            <w:gridSpan w:val="3"/>
          </w:tcPr>
          <w:p>
            <w:pPr>
              <w:jc w:val="right"/>
              <w:ind w:right="588"/>
              <w:spacing w:after="0"/>
              <w:rPr>
                <w:sz w:val="20"/>
                <w:szCs w:val="20"/>
                <w:color w:val="auto"/>
              </w:rPr>
            </w:pPr>
            <w:r>
              <w:rPr>
                <w:rFonts w:ascii="Arial" w:cs="Arial" w:eastAsia="Arial" w:hAnsi="Arial"/>
                <w:sz w:val="14"/>
                <w:szCs w:val="14"/>
                <w:b w:val="1"/>
                <w:bCs w:val="1"/>
                <w:color w:val="auto"/>
              </w:rPr>
              <w:t>2022</w:t>
            </w:r>
          </w:p>
        </w:tc>
        <w:tc>
          <w:tcPr>
            <w:tcW w:w="1600" w:type="dxa"/>
            <w:vAlign w:val="bottom"/>
            <w:tcBorders>
              <w:bottom w:val="single" w:sz="8" w:color="auto"/>
            </w:tcBorders>
          </w:tcPr>
          <w:p>
            <w:pPr>
              <w:jc w:val="right"/>
              <w:ind w:right="548"/>
              <w:spacing w:after="0"/>
              <w:rPr>
                <w:sz w:val="20"/>
                <w:szCs w:val="20"/>
                <w:color w:val="auto"/>
              </w:rPr>
            </w:pPr>
            <w:r>
              <w:rPr>
                <w:rFonts w:ascii="Arial" w:cs="Arial" w:eastAsia="Arial" w:hAnsi="Arial"/>
                <w:sz w:val="14"/>
                <w:szCs w:val="14"/>
                <w:b w:val="1"/>
                <w:bCs w:val="1"/>
                <w:color w:val="auto"/>
              </w:rPr>
              <w:t>2021</w:t>
            </w:r>
          </w:p>
        </w:tc>
      </w:tr>
      <w:tr>
        <w:trPr>
          <w:trHeight w:val="222"/>
        </w:trPr>
        <w:tc>
          <w:tcPr>
            <w:tcW w:w="158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2080" w:type="dxa"/>
            <w:vAlign w:val="bottom"/>
            <w:gridSpan w:val="3"/>
          </w:tcPr>
          <w:p>
            <w:pPr>
              <w:jc w:val="right"/>
              <w:ind w:right="1148"/>
              <w:spacing w:after="0"/>
              <w:rPr>
                <w:sz w:val="20"/>
                <w:szCs w:val="20"/>
                <w:color w:val="auto"/>
              </w:rPr>
            </w:pPr>
            <w:r>
              <w:rPr>
                <w:rFonts w:ascii="Arial" w:cs="Arial" w:eastAsia="Arial" w:hAnsi="Arial"/>
                <w:sz w:val="14"/>
                <w:szCs w:val="14"/>
                <w:b w:val="1"/>
                <w:bCs w:val="1"/>
                <w:color w:val="auto"/>
              </w:rPr>
              <w:t>(in millions)</w:t>
            </w:r>
          </w:p>
        </w:tc>
        <w:tc>
          <w:tcPr>
            <w:tcW w:w="1600" w:type="dxa"/>
            <w:vAlign w:val="bottom"/>
          </w:tcPr>
          <w:p>
            <w:pPr>
              <w:spacing w:after="0"/>
              <w:rPr>
                <w:sz w:val="19"/>
                <w:szCs w:val="19"/>
                <w:color w:val="auto"/>
              </w:rPr>
            </w:pPr>
          </w:p>
        </w:tc>
      </w:tr>
    </w:tbl>
    <w:p>
      <w:pPr>
        <w:spacing w:after="0" w:line="37" w:lineRule="exact"/>
        <w:rPr>
          <w:sz w:val="20"/>
          <w:szCs w:val="20"/>
          <w:color w:val="auto"/>
        </w:rPr>
      </w:pPr>
    </w:p>
    <w:p>
      <w:pPr>
        <w:sectPr>
          <w:pgSz w:w="11900" w:h="16838" w:orient="portrait"/>
          <w:cols w:equalWidth="0" w:num="1">
            <w:col w:w="11193"/>
          </w:cols>
          <w:pgMar w:left="247" w:top="1101" w:right="459" w:bottom="1440" w:gutter="0" w:footer="0" w:header="0"/>
        </w:sectPr>
      </w:pPr>
    </w:p>
    <w:p>
      <w:pPr>
        <w:ind w:left="93"/>
        <w:spacing w:after="0"/>
        <w:rPr>
          <w:sz w:val="20"/>
          <w:szCs w:val="20"/>
          <w:color w:val="auto"/>
        </w:rPr>
      </w:pPr>
      <w:r>
        <w:rPr>
          <w:rFonts w:ascii="Arial" w:cs="Arial" w:eastAsia="Arial" w:hAnsi="Arial"/>
          <w:sz w:val="18"/>
          <w:szCs w:val="18"/>
          <w:color w:val="auto"/>
        </w:rPr>
        <w:t>Net loss</w:t>
      </w:r>
    </w:p>
    <w:p>
      <w:pPr>
        <w:spacing w:after="0" w:line="74"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Interest (income) / expense, net </w:t>
      </w:r>
      <w:r>
        <w:rPr>
          <w:rFonts w:ascii="Arial" w:cs="Arial" w:eastAsia="Arial" w:hAnsi="Arial"/>
          <w:sz w:val="23"/>
          <w:szCs w:val="23"/>
          <w:color w:val="auto"/>
          <w:vertAlign w:val="superscript"/>
        </w:rPr>
        <w:t>(1)</w:t>
      </w:r>
    </w:p>
    <w:p>
      <w:pPr>
        <w:spacing w:after="0" w:line="39" w:lineRule="exact"/>
        <w:rPr>
          <w:sz w:val="20"/>
          <w:szCs w:val="20"/>
          <w:color w:val="auto"/>
        </w:rPr>
      </w:pPr>
    </w:p>
    <w:p>
      <w:pPr>
        <w:ind w:left="93"/>
        <w:spacing w:after="0"/>
        <w:rPr>
          <w:sz w:val="20"/>
          <w:szCs w:val="20"/>
          <w:color w:val="auto"/>
        </w:rPr>
      </w:pPr>
      <w:r>
        <w:rPr>
          <w:rFonts w:ascii="Arial" w:cs="Arial" w:eastAsia="Arial" w:hAnsi="Arial"/>
          <w:sz w:val="18"/>
          <w:szCs w:val="18"/>
          <w:color w:val="auto"/>
        </w:rPr>
        <w:t>Rental product depreciation</w:t>
      </w:r>
    </w:p>
    <w:p>
      <w:pPr>
        <w:spacing w:after="0" w:line="56"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depreciation and amortization </w:t>
      </w:r>
      <w:r>
        <w:rPr>
          <w:rFonts w:ascii="Arial" w:cs="Arial" w:eastAsia="Arial" w:hAnsi="Arial"/>
          <w:sz w:val="23"/>
          <w:szCs w:val="23"/>
          <w:color w:val="auto"/>
          <w:vertAlign w:val="superscript"/>
        </w:rPr>
        <w:t>(2)</w:t>
      </w:r>
    </w:p>
    <w:p>
      <w:pPr>
        <w:spacing w:after="0" w:line="39" w:lineRule="exact"/>
        <w:rPr>
          <w:sz w:val="20"/>
          <w:szCs w:val="20"/>
          <w:color w:val="auto"/>
        </w:rPr>
      </w:pPr>
    </w:p>
    <w:p>
      <w:pPr>
        <w:ind w:left="93"/>
        <w:spacing w:after="0"/>
        <w:rPr>
          <w:sz w:val="20"/>
          <w:szCs w:val="20"/>
          <w:color w:val="auto"/>
        </w:rPr>
      </w:pPr>
      <w:r>
        <w:rPr>
          <w:rFonts w:ascii="Arial" w:cs="Arial" w:eastAsia="Arial" w:hAnsi="Arial"/>
          <w:sz w:val="18"/>
          <w:szCs w:val="18"/>
          <w:color w:val="auto"/>
        </w:rPr>
        <w:t>Share-based compensation</w:t>
      </w:r>
      <w:r>
        <w:rPr>
          <w:rFonts w:ascii="Arial" w:cs="Arial" w:eastAsia="Arial" w:hAnsi="Arial"/>
          <w:sz w:val="23"/>
          <w:szCs w:val="23"/>
          <w:color w:val="auto"/>
          <w:vertAlign w:val="superscript"/>
        </w:rPr>
        <w:t>(3)</w:t>
      </w:r>
    </w:p>
    <w:p>
      <w:pPr>
        <w:spacing w:after="0" w:line="10"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Write-off of liquidated assets </w:t>
      </w:r>
      <w:r>
        <w:rPr>
          <w:rFonts w:ascii="Arial" w:cs="Arial" w:eastAsia="Arial" w:hAnsi="Arial"/>
          <w:sz w:val="23"/>
          <w:szCs w:val="23"/>
          <w:color w:val="auto"/>
          <w:vertAlign w:val="superscript"/>
        </w:rPr>
        <w:t>(4)</w:t>
      </w:r>
    </w:p>
    <w:p>
      <w:pPr>
        <w:spacing w:after="0" w:line="1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Non-recurring adjustments </w:t>
      </w:r>
      <w:r>
        <w:rPr>
          <w:rFonts w:ascii="Arial" w:cs="Arial" w:eastAsia="Arial" w:hAnsi="Arial"/>
          <w:sz w:val="23"/>
          <w:szCs w:val="23"/>
          <w:color w:val="auto"/>
          <w:vertAlign w:val="superscript"/>
        </w:rPr>
        <w:t>(5)</w:t>
      </w:r>
    </w:p>
    <w:p>
      <w:pPr>
        <w:spacing w:after="0" w:line="19" w:lineRule="exact"/>
        <w:rPr>
          <w:sz w:val="20"/>
          <w:szCs w:val="20"/>
          <w:color w:val="auto"/>
        </w:rPr>
      </w:pPr>
    </w:p>
    <w:p>
      <w:pPr>
        <w:ind w:left="93"/>
        <w:spacing w:after="0"/>
        <w:rPr>
          <w:sz w:val="20"/>
          <w:szCs w:val="20"/>
          <w:color w:val="auto"/>
        </w:rPr>
      </w:pPr>
      <w:r>
        <w:rPr>
          <w:rFonts w:ascii="Arial" w:cs="Arial" w:eastAsia="Arial" w:hAnsi="Arial"/>
          <w:sz w:val="18"/>
          <w:szCs w:val="18"/>
          <w:color w:val="auto"/>
        </w:rPr>
        <w:t>Income Tax (Benefit) / Expense</w:t>
      </w:r>
    </w:p>
    <w:p>
      <w:pPr>
        <w:spacing w:after="0" w:line="65" w:lineRule="exact"/>
        <w:rPr>
          <w:sz w:val="20"/>
          <w:szCs w:val="20"/>
          <w:color w:val="auto"/>
        </w:rPr>
      </w:pPr>
    </w:p>
    <w:p>
      <w:pPr>
        <w:ind w:left="93"/>
        <w:spacing w:after="0"/>
        <w:rPr>
          <w:sz w:val="20"/>
          <w:szCs w:val="20"/>
          <w:color w:val="auto"/>
        </w:rPr>
      </w:pPr>
      <w:r>
        <w:rPr>
          <w:rFonts w:ascii="Arial" w:cs="Arial" w:eastAsia="Arial" w:hAnsi="Arial"/>
          <w:sz w:val="17"/>
          <w:szCs w:val="17"/>
          <w:color w:val="auto"/>
        </w:rPr>
        <w:t xml:space="preserve">(Gain) / loss on warrant liability revaluation, net </w:t>
      </w:r>
      <w:r>
        <w:rPr>
          <w:rFonts w:ascii="Arial" w:cs="Arial" w:eastAsia="Arial" w:hAnsi="Arial"/>
          <w:sz w:val="22"/>
          <w:szCs w:val="22"/>
          <w:color w:val="auto"/>
          <w:vertAlign w:val="superscript"/>
        </w:rPr>
        <w:t>(6)</w:t>
      </w:r>
    </w:p>
    <w:p>
      <w:pPr>
        <w:spacing w:after="0" w:line="41"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(Gain) / loss on debt extinguishment, net </w:t>
      </w:r>
      <w:r>
        <w:rPr>
          <w:rFonts w:ascii="Arial" w:cs="Arial" w:eastAsia="Arial" w:hAnsi="Arial"/>
          <w:sz w:val="23"/>
          <w:szCs w:val="23"/>
          <w:color w:val="auto"/>
          <w:vertAlign w:val="superscript"/>
        </w:rPr>
        <w:t>(7)</w:t>
      </w:r>
    </w:p>
    <w:p>
      <w:pPr>
        <w:spacing w:after="0" w:line="2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(income) / expense, net </w:t>
      </w:r>
      <w:r>
        <w:rPr>
          <w:rFonts w:ascii="Arial" w:cs="Arial" w:eastAsia="Arial" w:hAnsi="Arial"/>
          <w:sz w:val="23"/>
          <w:szCs w:val="23"/>
          <w:color w:val="auto"/>
          <w:vertAlign w:val="superscript"/>
        </w:rPr>
        <w:t>(8)</w:t>
      </w:r>
    </w:p>
    <w:p>
      <w:pPr>
        <w:spacing w:after="0" w:line="9"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Other (gains) / losses </w:t>
      </w:r>
      <w:r>
        <w:rPr>
          <w:rFonts w:ascii="Arial" w:cs="Arial" w:eastAsia="Arial" w:hAnsi="Arial"/>
          <w:sz w:val="23"/>
          <w:szCs w:val="23"/>
          <w:color w:val="auto"/>
          <w:vertAlign w:val="superscript"/>
        </w:rPr>
        <w:t>(9)</w:t>
      </w:r>
    </w:p>
    <w:p>
      <w:pPr>
        <w:spacing w:after="0" w:line="52" w:lineRule="exact"/>
        <w:rPr>
          <w:sz w:val="20"/>
          <w:szCs w:val="20"/>
          <w:color w:val="auto"/>
        </w:rPr>
      </w:pPr>
    </w:p>
    <w:p>
      <w:pPr>
        <w:ind w:left="93"/>
        <w:spacing w:after="0"/>
        <w:rPr>
          <w:sz w:val="20"/>
          <w:szCs w:val="20"/>
          <w:color w:val="auto"/>
        </w:rPr>
      </w:pPr>
      <w:r>
        <w:rPr>
          <w:rFonts w:ascii="Arial" w:cs="Arial" w:eastAsia="Arial" w:hAnsi="Arial"/>
          <w:sz w:val="18"/>
          <w:szCs w:val="18"/>
          <w:color w:val="auto"/>
        </w:rPr>
        <w:t>Adjusted EBITDA</w:t>
      </w:r>
    </w:p>
    <w:p>
      <w:pPr>
        <w:spacing w:after="0" w:line="104" w:lineRule="exact"/>
        <w:rPr>
          <w:sz w:val="20"/>
          <w:szCs w:val="20"/>
          <w:color w:val="auto"/>
        </w:rPr>
      </w:pPr>
    </w:p>
    <w:p>
      <w:pPr>
        <w:ind w:left="93"/>
        <w:spacing w:after="0"/>
        <w:rPr>
          <w:sz w:val="20"/>
          <w:szCs w:val="20"/>
          <w:color w:val="auto"/>
        </w:rPr>
      </w:pPr>
      <w:r>
        <w:rPr>
          <w:rFonts w:ascii="Arial" w:cs="Arial" w:eastAsia="Arial" w:hAnsi="Arial"/>
          <w:sz w:val="18"/>
          <w:szCs w:val="18"/>
          <w:color w:val="auto"/>
        </w:rPr>
        <w:t xml:space="preserve">Adjusted EBITDA Margin </w:t>
      </w:r>
      <w:r>
        <w:rPr>
          <w:rFonts w:ascii="Arial" w:cs="Arial" w:eastAsia="Arial" w:hAnsi="Arial"/>
          <w:sz w:val="23"/>
          <w:szCs w:val="23"/>
          <w:color w:val="auto"/>
          <w:vertAlign w:val="superscript"/>
        </w:rPr>
        <w:t>(10)</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9"/>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(39.3)</w:t>
            </w:r>
          </w:p>
        </w:tc>
        <w:tc>
          <w:tcPr>
            <w:tcW w:w="80" w:type="dxa"/>
            <w:vAlign w:val="bottom"/>
          </w:tcPr>
          <w:p>
            <w:pPr>
              <w:spacing w:after="0"/>
              <w:rPr>
                <w:sz w:val="20"/>
                <w:szCs w:val="20"/>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(38.8)</w:t>
            </w:r>
          </w:p>
        </w:tc>
        <w:tc>
          <w:tcPr>
            <w:tcW w:w="10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(211.8)</w:t>
            </w:r>
          </w:p>
        </w:tc>
        <w:tc>
          <w:tcPr>
            <w:tcW w:w="80" w:type="dxa"/>
            <w:vAlign w:val="bottom"/>
          </w:tcPr>
          <w:p>
            <w:pPr>
              <w:spacing w:after="0"/>
              <w:rPr>
                <w:sz w:val="20"/>
                <w:szCs w:val="20"/>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(171.1)</w:t>
            </w:r>
          </w:p>
        </w:tc>
      </w:tr>
      <w:tr>
        <w:trPr>
          <w:trHeight w:val="284"/>
        </w:trPr>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9.3</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53.0</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46.6</w:t>
            </w:r>
          </w:p>
        </w:tc>
      </w:tr>
      <w:tr>
        <w:trPr>
          <w:trHeight w:val="283"/>
        </w:trPr>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12.7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15.0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50.3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69.9</w:t>
            </w:r>
          </w:p>
        </w:tc>
      </w:tr>
      <w:tr>
        <w:trPr>
          <w:trHeight w:val="283"/>
        </w:trPr>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19.4</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23.0</w:t>
            </w:r>
          </w:p>
        </w:tc>
      </w:tr>
      <w:tr>
        <w:trPr>
          <w:trHeight w:val="283"/>
        </w:trPr>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5.2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26.6</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8.2</w:t>
            </w:r>
          </w:p>
        </w:tc>
      </w:tr>
      <w:tr>
        <w:trPr>
          <w:trHeight w:val="283"/>
        </w:trPr>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0.8</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4.8</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3.3</w:t>
            </w:r>
          </w:p>
        </w:tc>
      </w:tr>
      <w:tr>
        <w:trPr>
          <w:trHeight w:val="283"/>
        </w:trPr>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0.7</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5.3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4.2</w:t>
            </w:r>
          </w:p>
        </w:tc>
      </w:tr>
      <w:tr>
        <w:trPr>
          <w:trHeight w:val="284"/>
        </w:trPr>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0.1</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w:t>
            </w:r>
          </w:p>
        </w:tc>
      </w:tr>
      <w:tr>
        <w:trPr>
          <w:trHeight w:val="283"/>
        </w:trPr>
        <w:tc>
          <w:tcPr>
            <w:tcW w:w="5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24.9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(0.4)</w:t>
            </w:r>
          </w:p>
        </w:tc>
      </w:tr>
      <w:tr>
        <w:trPr>
          <w:trHeight w:val="283"/>
        </w:trPr>
        <w:tc>
          <w:tcPr>
            <w:tcW w:w="5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140" w:type="dxa"/>
            <w:vAlign w:val="bottom"/>
            <w:gridSpan w:val="2"/>
          </w:tcPr>
          <w:p>
            <w:pPr>
              <w:jc w:val="right"/>
              <w:ind w:right="34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12.2</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0.6</w:t>
            </w:r>
          </w:p>
        </w:tc>
      </w:tr>
      <w:tr>
        <w:trPr>
          <w:trHeight w:val="283"/>
        </w:trPr>
        <w:tc>
          <w:tcPr>
            <w:tcW w:w="500" w:type="dxa"/>
            <w:vAlign w:val="bottom"/>
          </w:tcPr>
          <w:p>
            <w:pPr>
              <w:spacing w:after="0"/>
              <w:rPr>
                <w:sz w:val="24"/>
                <w:szCs w:val="24"/>
                <w:color w:val="auto"/>
              </w:rPr>
            </w:pPr>
          </w:p>
        </w:tc>
        <w:tc>
          <w:tcPr>
            <w:tcW w:w="1120" w:type="dxa"/>
            <w:vAlign w:val="bottom"/>
            <w:gridSpan w:val="2"/>
          </w:tcPr>
          <w:p>
            <w:pPr>
              <w:jc w:val="right"/>
              <w:ind w:right="320"/>
              <w:spacing w:after="0"/>
              <w:rPr>
                <w:sz w:val="20"/>
                <w:szCs w:val="20"/>
                <w:color w:val="auto"/>
              </w:rPr>
            </w:pPr>
            <w:r>
              <w:rPr>
                <w:rFonts w:ascii="Arial" w:cs="Arial" w:eastAsia="Arial" w:hAnsi="Arial"/>
                <w:sz w:val="18"/>
                <w:szCs w:val="18"/>
                <w:color w:val="auto"/>
              </w:rPr>
              <w:t>—</w:t>
            </w:r>
          </w:p>
        </w:tc>
        <w:tc>
          <w:tcPr>
            <w:tcW w:w="500" w:type="dxa"/>
            <w:vAlign w:val="bottom"/>
          </w:tcPr>
          <w:p>
            <w:pPr>
              <w:spacing w:after="0"/>
              <w:rPr>
                <w:sz w:val="24"/>
                <w:szCs w:val="24"/>
                <w:color w:val="auto"/>
              </w:rPr>
            </w:pP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(5.0)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(3.9)</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(6.2)</w:t>
            </w:r>
          </w:p>
        </w:tc>
      </w:tr>
      <w:tr>
        <w:trPr>
          <w:trHeight w:val="283"/>
        </w:trPr>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0.2</w:t>
            </w: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40" w:type="dxa"/>
            <w:vAlign w:val="bottom"/>
          </w:tcPr>
          <w:p>
            <w:pPr>
              <w:jc w:val="right"/>
              <w:ind w:right="150"/>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0.3</w:t>
            </w: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100" w:type="dxa"/>
            <w:vAlign w:val="bottom"/>
          </w:tcPr>
          <w:p>
            <w:pPr>
              <w:jc w:val="right"/>
              <w:ind w:right="150"/>
              <w:spacing w:after="0"/>
              <w:rPr>
                <w:sz w:val="20"/>
                <w:szCs w:val="20"/>
                <w:color w:val="auto"/>
              </w:rPr>
            </w:pPr>
            <w:r>
              <w:rPr>
                <w:rFonts w:ascii="Arial" w:cs="Arial" w:eastAsia="Arial" w:hAnsi="Arial"/>
                <w:sz w:val="18"/>
                <w:szCs w:val="18"/>
                <w:color w:val="auto"/>
              </w:rPr>
              <w:t>1.6</w:t>
            </w:r>
          </w:p>
        </w:tc>
      </w:tr>
      <w:tr>
        <w:trPr>
          <w:trHeight w:val="23"/>
        </w:trPr>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54"/>
        </w:trPr>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0"/>
              <w:spacing w:after="0"/>
              <w:rPr>
                <w:sz w:val="20"/>
                <w:szCs w:val="20"/>
                <w:color w:val="auto"/>
              </w:rPr>
            </w:pPr>
            <w:r>
              <w:rPr>
                <w:rFonts w:ascii="Arial" w:cs="Arial" w:eastAsia="Arial" w:hAnsi="Arial"/>
                <w:sz w:val="18"/>
                <w:szCs w:val="18"/>
                <w:color w:val="auto"/>
              </w:rPr>
              <w:t>(5.5)</w:t>
            </w:r>
          </w:p>
        </w:tc>
        <w:tc>
          <w:tcPr>
            <w:tcW w:w="80" w:type="dxa"/>
            <w:vAlign w:val="bottom"/>
          </w:tcPr>
          <w:p>
            <w:pPr>
              <w:spacing w:after="0"/>
              <w:rPr>
                <w:sz w:val="22"/>
                <w:szCs w:val="22"/>
                <w:color w:val="auto"/>
              </w:rPr>
            </w:pPr>
          </w:p>
        </w:tc>
        <w:tc>
          <w:tcPr>
            <w:tcW w:w="500" w:type="dxa"/>
            <w:vAlign w:val="bottom"/>
          </w:tcPr>
          <w:p>
            <w:pPr>
              <w:jc w:val="right"/>
              <w:ind w:right="29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90"/>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10"/>
              <w:spacing w:after="0"/>
              <w:rPr>
                <w:sz w:val="20"/>
                <w:szCs w:val="20"/>
                <w:color w:val="auto"/>
              </w:rPr>
            </w:pPr>
            <w:r>
              <w:rPr>
                <w:rFonts w:ascii="Arial" w:cs="Arial" w:eastAsia="Arial" w:hAnsi="Arial"/>
                <w:sz w:val="18"/>
                <w:szCs w:val="18"/>
                <w:color w:val="auto"/>
              </w:rPr>
              <w:t>(19.2)</w:t>
            </w:r>
          </w:p>
        </w:tc>
        <w:tc>
          <w:tcPr>
            <w:tcW w:w="80" w:type="dxa"/>
            <w:vAlign w:val="bottom"/>
          </w:tcPr>
          <w:p>
            <w:pPr>
              <w:spacing w:after="0"/>
              <w:rPr>
                <w:sz w:val="22"/>
                <w:szCs w:val="22"/>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90"/>
              <w:spacing w:after="0"/>
              <w:rPr>
                <w:sz w:val="20"/>
                <w:szCs w:val="20"/>
                <w:color w:val="auto"/>
              </w:rPr>
            </w:pPr>
            <w:r>
              <w:rPr>
                <w:rFonts w:ascii="Arial" w:cs="Arial" w:eastAsia="Arial" w:hAnsi="Arial"/>
                <w:sz w:val="18"/>
                <w:szCs w:val="18"/>
                <w:color w:val="auto"/>
              </w:rPr>
              <w:t>(20.3)</w:t>
            </w:r>
          </w:p>
        </w:tc>
      </w:tr>
      <w:tr>
        <w:trPr>
          <w:trHeight w:val="23"/>
        </w:trPr>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0"/>
        </w:trPr>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r>
      <w:tr>
        <w:trPr>
          <w:trHeight w:val="254"/>
        </w:trPr>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(8.6)%</w:t>
            </w:r>
          </w:p>
        </w:tc>
        <w:tc>
          <w:tcPr>
            <w:tcW w:w="80" w:type="dxa"/>
            <w:vAlign w:val="bottom"/>
          </w:tcPr>
          <w:p>
            <w:pPr>
              <w:spacing w:after="0"/>
              <w:rPr>
                <w:sz w:val="22"/>
                <w:szCs w:val="22"/>
                <w:color w:val="auto"/>
              </w:rPr>
            </w:pPr>
          </w:p>
        </w:tc>
        <w:tc>
          <w:tcPr>
            <w:tcW w:w="500" w:type="dxa"/>
            <w:vAlign w:val="bottom"/>
          </w:tcPr>
          <w:p>
            <w:pPr>
              <w:spacing w:after="0"/>
              <w:rPr>
                <w:sz w:val="22"/>
                <w:szCs w:val="22"/>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(12.8)%</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8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(12.9)%</w:t>
            </w:r>
          </w:p>
        </w:tc>
      </w:tr>
    </w:tbl>
    <w:p>
      <w:pPr>
        <w:spacing w:after="0" w:line="225" w:lineRule="exact"/>
        <w:rPr>
          <w:sz w:val="20"/>
          <w:szCs w:val="20"/>
          <w:color w:val="auto"/>
        </w:rPr>
      </w:pPr>
    </w:p>
    <w:p>
      <w:pPr>
        <w:sectPr>
          <w:pgSz w:w="11900" w:h="16838" w:orient="portrait"/>
          <w:cols w:equalWidth="0" w:num="2">
            <w:col w:w="4013" w:space="300"/>
            <w:col w:w="6880"/>
          </w:cols>
          <w:pgMar w:left="247" w:top="1101" w:right="459" w:bottom="1440" w:gutter="0" w:footer="0" w:header="0"/>
          <w:type w:val="continuous"/>
        </w:sectPr>
      </w:pPr>
    </w:p>
    <w:p>
      <w:pPr>
        <w:spacing w:after="0" w:line="369" w:lineRule="exact"/>
        <w:rPr>
          <w:sz w:val="20"/>
          <w:szCs w:val="20"/>
          <w:color w:val="auto"/>
        </w:rPr>
      </w:pPr>
    </w:p>
    <w:p>
      <w:pPr>
        <w:ind w:left="333" w:right="320" w:hanging="333"/>
        <w:spacing w:after="0" w:line="222" w:lineRule="auto"/>
        <w:tabs>
          <w:tab w:leader="none" w:pos="326"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debt discount amortization of $1.0 million in the three months ended January 31, 2022 and $2.0 million in the three months ended January 31, 2021 and $5.9 million in the year ended January 31, 2022 and $5.0 million in the year ended January 31, 2021.</w:t>
      </w:r>
    </w:p>
    <w:p>
      <w:pPr>
        <w:spacing w:after="0" w:line="6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non-rental product depreciation and capitalized software amortization.</w:t>
      </w:r>
    </w:p>
    <w:p>
      <w:pPr>
        <w:spacing w:after="0" w:line="93" w:lineRule="exact"/>
        <w:rPr>
          <w:rFonts w:ascii="Arial" w:cs="Arial" w:eastAsia="Arial" w:hAnsi="Arial"/>
          <w:sz w:val="19"/>
          <w:szCs w:val="19"/>
          <w:color w:val="auto"/>
          <w:vertAlign w:val="superscript"/>
        </w:rPr>
      </w:pPr>
    </w:p>
    <w:p>
      <w:pPr>
        <w:ind w:left="333" w:right="100" w:hanging="333"/>
        <w:spacing w:after="0" w:line="222" w:lineRule="auto"/>
        <w:tabs>
          <w:tab w:leader="none" w:pos="326"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the non-cash expense for share-based compensation. The year ended January 31, 2022 includes $14.4 million related to the one-time satisfaction of the liquidity based vesting conditions for certain RSUs previously outstanding and certain RSUs which were granted upon the effectiveness of our IPO in October 2021.</w:t>
      </w:r>
    </w:p>
    <w:p>
      <w:pPr>
        <w:spacing w:after="0" w:line="6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Reflects the write-off of the remaining book value of liquidated products that had previously been held for sale.</w:t>
      </w:r>
    </w:p>
    <w:p>
      <w:pPr>
        <w:spacing w:after="0" w:line="106" w:lineRule="exact"/>
        <w:rPr>
          <w:rFonts w:ascii="Arial" w:cs="Arial" w:eastAsia="Arial" w:hAnsi="Arial"/>
          <w:sz w:val="19"/>
          <w:szCs w:val="19"/>
          <w:color w:val="auto"/>
          <w:vertAlign w:val="superscript"/>
        </w:rPr>
      </w:pPr>
    </w:p>
    <w:p>
      <w:pPr>
        <w:ind w:left="333" w:right="100" w:hanging="333"/>
        <w:spacing w:after="0" w:line="264" w:lineRule="auto"/>
        <w:tabs>
          <w:tab w:leader="none" w:pos="326"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Non-recurring adjustments for the three months ended January 31, 2022 includes $0.7 million of costs related to public company SOX readiness and for the three months ended January 31, 2021 includes $0.1 million of COVID related matters. Non-recurring adjustments for the year ended January 31, 2022 includes $5.2 million of public readiness preparation costs and for the year ended January 31, 2021 includes $3.2 million of costs related to COVID-19 related matters including severance, furlough benefits, one-time bonuses, and related legal fees and $0.5 million of shipping carrier transition costs.</w:t>
      </w:r>
    </w:p>
    <w:p>
      <w:pPr>
        <w:spacing w:after="0" w:line="78" w:lineRule="exact"/>
        <w:rPr>
          <w:rFonts w:ascii="Arial" w:cs="Arial" w:eastAsia="Arial" w:hAnsi="Arial"/>
          <w:sz w:val="19"/>
          <w:szCs w:val="19"/>
          <w:color w:val="auto"/>
          <w:vertAlign w:val="superscript"/>
        </w:rPr>
      </w:pPr>
    </w:p>
    <w:p>
      <w:pPr>
        <w:ind w:left="333" w:right="100" w:hanging="333"/>
        <w:spacing w:after="0" w:line="222" w:lineRule="auto"/>
        <w:tabs>
          <w:tab w:leader="none" w:pos="326"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the expense associated with revaluing prior liability-classified lender warrants to the respective fair values at period end, or prior to conversion. As of January 31, 2022, all outstanding warrants are equity-classified and therefore do not require remeasurement going forward.</w:t>
      </w:r>
    </w:p>
    <w:p>
      <w:pPr>
        <w:spacing w:after="0" w:line="6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debt extinguishment costs related to debt paydown in the periods presented.</w:t>
      </w:r>
    </w:p>
    <w:p>
      <w:pPr>
        <w:spacing w:after="0" w:line="93" w:lineRule="exact"/>
        <w:rPr>
          <w:rFonts w:ascii="Arial" w:cs="Arial" w:eastAsia="Arial" w:hAnsi="Arial"/>
          <w:sz w:val="19"/>
          <w:szCs w:val="19"/>
          <w:color w:val="auto"/>
          <w:vertAlign w:val="superscript"/>
        </w:rPr>
      </w:pPr>
    </w:p>
    <w:p>
      <w:pPr>
        <w:ind w:left="333" w:right="420" w:hanging="333"/>
        <w:spacing w:after="0" w:line="222" w:lineRule="auto"/>
        <w:tabs>
          <w:tab w:leader="none" w:pos="326" w:val="left"/>
        </w:tabs>
        <w:numPr>
          <w:ilvl w:val="0"/>
          <w:numId w:val="9"/>
        </w:numPr>
        <w:rPr>
          <w:rFonts w:ascii="Arial" w:cs="Arial" w:eastAsia="Arial" w:hAnsi="Arial"/>
          <w:sz w:val="19"/>
          <w:szCs w:val="19"/>
          <w:i w:val="1"/>
          <w:iCs w:val="1"/>
          <w:color w:val="auto"/>
          <w:vertAlign w:val="superscript"/>
        </w:rPr>
      </w:pPr>
      <w:r>
        <w:rPr>
          <w:rFonts w:ascii="Arial" w:cs="Arial" w:eastAsia="Arial" w:hAnsi="Arial"/>
          <w:sz w:val="14"/>
          <w:szCs w:val="14"/>
          <w:color w:val="auto"/>
        </w:rPr>
        <w:t>Primarily includes $(4.0) million of insurance claim proceeds for the year ended January 31, 2022 and $(5.0) million of insurance claim proceeds and $(1.3) million of proceeds from monetizing tax credits for the three months and the year ended January 31, 2021.</w:t>
      </w:r>
    </w:p>
    <w:p>
      <w:pPr>
        <w:spacing w:after="0" w:line="66" w:lineRule="exact"/>
        <w:rPr>
          <w:rFonts w:ascii="Arial" w:cs="Arial" w:eastAsia="Arial" w:hAnsi="Arial"/>
          <w:sz w:val="19"/>
          <w:szCs w:val="19"/>
          <w:i w:val="1"/>
          <w:iCs w:val="1"/>
          <w:color w:val="auto"/>
          <w:vertAlign w:val="superscript"/>
        </w:rPr>
      </w:pPr>
    </w:p>
    <w:p>
      <w:pPr>
        <w:ind w:left="313" w:hanging="313"/>
        <w:spacing w:after="0"/>
        <w:tabs>
          <w:tab w:leader="none" w:pos="313" w:val="left"/>
        </w:tabs>
        <w:numPr>
          <w:ilvl w:val="0"/>
          <w:numId w:val="9"/>
        </w:numPr>
        <w:rPr>
          <w:rFonts w:ascii="Arial" w:cs="Arial" w:eastAsia="Arial" w:hAnsi="Arial"/>
          <w:sz w:val="19"/>
          <w:szCs w:val="19"/>
          <w:color w:val="auto"/>
          <w:vertAlign w:val="superscript"/>
        </w:rPr>
      </w:pPr>
      <w:r>
        <w:rPr>
          <w:rFonts w:ascii="Arial" w:cs="Arial" w:eastAsia="Arial" w:hAnsi="Arial"/>
          <w:sz w:val="14"/>
          <w:szCs w:val="14"/>
          <w:color w:val="auto"/>
        </w:rPr>
        <w:t>Includes costs associated with the write-off of asset disposals, operating lease terminations and foreign exchange.</w:t>
      </w:r>
    </w:p>
    <w:p>
      <w:pPr>
        <w:spacing w:after="0" w:line="106" w:lineRule="exact"/>
        <w:rPr>
          <w:rFonts w:ascii="Arial" w:cs="Arial" w:eastAsia="Arial" w:hAnsi="Arial"/>
          <w:sz w:val="19"/>
          <w:szCs w:val="19"/>
          <w:color w:val="auto"/>
          <w:vertAlign w:val="superscript"/>
        </w:rPr>
      </w:pPr>
    </w:p>
    <w:p>
      <w:pPr>
        <w:ind w:left="313" w:hanging="313"/>
        <w:spacing w:after="0"/>
        <w:tabs>
          <w:tab w:leader="none" w:pos="313" w:val="left"/>
        </w:tabs>
        <w:numPr>
          <w:ilvl w:val="0"/>
          <w:numId w:val="9"/>
        </w:numPr>
        <w:rPr>
          <w:rFonts w:ascii="Arial" w:cs="Arial" w:eastAsia="Arial" w:hAnsi="Arial"/>
          <w:sz w:val="9"/>
          <w:szCs w:val="9"/>
          <w:color w:val="auto"/>
        </w:rPr>
      </w:pPr>
      <w:r>
        <w:rPr>
          <w:rFonts w:ascii="Arial" w:cs="Arial" w:eastAsia="Arial" w:hAnsi="Arial"/>
          <w:sz w:val="14"/>
          <w:szCs w:val="14"/>
          <w:color w:val="auto"/>
        </w:rPr>
        <w:t>Adjusted EBITDA Margin calculated as Adjusted EBITDA as a percentage of revenue.</w:t>
      </w:r>
    </w:p>
    <w:sectPr>
      <w:pgSz w:w="11900" w:h="16838" w:orient="portrait"/>
      <w:cols w:equalWidth="0" w:num="1">
        <w:col w:w="11193"/>
      </w:cols>
      <w:pgMar w:left="247" w:top="1101"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46E87CCD"/>
    <w:multiLevelType w:val="hybridMultilevel"/>
    <w:lvl w:ilvl="0">
      <w:lvlJc w:val="left"/>
      <w:lvlText w:val="☐"/>
      <w:numFmt w:val="bullet"/>
      <w:start w:val="1"/>
    </w:lvl>
  </w:abstractNum>
  <w:abstractNum w:abstractNumId="1">
    <w:nsid w:val="3D1B58BA"/>
    <w:multiLevelType w:val="hybridMultilevel"/>
    <w:lvl w:ilvl="0">
      <w:lvlJc w:val="left"/>
      <w:lvlText w:val="•"/>
      <w:numFmt w:val="bullet"/>
      <w:start w:val="1"/>
    </w:lvl>
  </w:abstractNum>
  <w:abstractNum w:abstractNumId="2">
    <w:nsid w:val="507ED7AB"/>
    <w:multiLevelType w:val="hybridMultilevel"/>
    <w:lvl w:ilvl="0">
      <w:lvlJc w:val="left"/>
      <w:lvlText w:val="•"/>
      <w:numFmt w:val="bullet"/>
      <w:start w:val="1"/>
    </w:lvl>
  </w:abstractNum>
  <w:abstractNum w:abstractNumId="3">
    <w:nsid w:val="2EB141F2"/>
    <w:multiLevelType w:val="hybridMultilevel"/>
    <w:lvl w:ilvl="0">
      <w:lvlJc w:val="left"/>
      <w:lvlText w:val="•"/>
      <w:numFmt w:val="bullet"/>
      <w:start w:val="1"/>
    </w:lvl>
  </w:abstractNum>
  <w:abstractNum w:abstractNumId="4">
    <w:nsid w:val="41B71EFB"/>
    <w:multiLevelType w:val="hybridMultilevel"/>
    <w:lvl w:ilvl="0">
      <w:lvlJc w:val="left"/>
      <w:lvlText w:val="•"/>
      <w:numFmt w:val="bullet"/>
      <w:start w:val="1"/>
    </w:lvl>
  </w:abstractNum>
  <w:abstractNum w:abstractNumId="5">
    <w:nsid w:val="79E2A9E3"/>
    <w:multiLevelType w:val="hybridMultilevel"/>
    <w:lvl w:ilvl="0">
      <w:lvlJc w:val="left"/>
      <w:lvlText w:val="•"/>
      <w:numFmt w:val="bullet"/>
      <w:start w:val="1"/>
    </w:lvl>
  </w:abstractNum>
  <w:abstractNum w:abstractNumId="6">
    <w:nsid w:val="7545E146"/>
    <w:multiLevelType w:val="hybridMultilevel"/>
    <w:lvl w:ilvl="0">
      <w:lvlJc w:val="left"/>
      <w:lvlText w:val="•"/>
      <w:numFmt w:val="bullet"/>
      <w:start w:val="1"/>
    </w:lvl>
  </w:abstractNum>
  <w:abstractNum w:abstractNumId="7">
    <w:nsid w:val="515F007C"/>
    <w:multiLevelType w:val="hybridMultilevel"/>
    <w:lvl w:ilvl="0">
      <w:lvlJc w:val="left"/>
      <w:lvlText w:val="•"/>
      <w:numFmt w:val="bullet"/>
      <w:start w:val="1"/>
    </w:lvl>
  </w:abstractNum>
  <w:abstractNum w:abstractNumId="8">
    <w:nsid w:val="5BD062C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2022-04-13T15:11:05Z</dcterms:created>
  <dcterms:modified xsi:type="dcterms:W3CDTF">2022-04-13T15:11:05Z</dcterms:modified>
</cp:coreProperties>
</file>