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20"/>
        <w:spacing w:after="0"/>
        <w:rPr>
          <w:sz w:val="20"/>
          <w:szCs w:val="20"/>
          <w:color w:val="auto"/>
        </w:rPr>
      </w:pPr>
      <w:r>
        <w:rPr>
          <w:rFonts w:ascii="Arial" w:cs="Arial" w:eastAsia="Arial" w:hAnsi="Arial"/>
          <w:sz w:val="18"/>
          <w:szCs w:val="18"/>
          <w:b w:val="1"/>
          <w:bCs w:val="1"/>
          <w:color w:val="auto"/>
        </w:rPr>
        <w:t>As filed with the Securities and Exchange Commission on April 14, 2022</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Registration </w:t>
      </w:r>
      <w:r>
        <w:rPr>
          <w:rFonts w:ascii="Arial" w:cs="Arial" w:eastAsia="Arial" w:hAnsi="Arial"/>
          <w:sz w:val="21"/>
          <w:szCs w:val="21"/>
          <w:b w:val="1"/>
          <w:bCs w:val="1"/>
          <w:color w:val="auto"/>
        </w:rPr>
        <w:t>No. 333-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328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S-8</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REGISTRATION STATEMENT</w:t>
      </w:r>
    </w:p>
    <w:p>
      <w:pPr>
        <w:jc w:val="center"/>
        <w:ind w:right="1120"/>
        <w:spacing w:after="0" w:line="217"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0" w:lineRule="exact"/>
        <w:rPr>
          <w:sz w:val="24"/>
          <w:szCs w:val="24"/>
          <w:color w:val="auto"/>
        </w:rPr>
      </w:pPr>
    </w:p>
    <w:p>
      <w:pPr>
        <w:spacing w:after="0" w:line="202"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Rent the Runway, Inc.</w:t>
      </w:r>
    </w:p>
    <w:p>
      <w:pPr>
        <w:spacing w:after="0" w:line="39" w:lineRule="exact"/>
        <w:rPr>
          <w:sz w:val="24"/>
          <w:szCs w:val="24"/>
          <w:color w:val="auto"/>
        </w:rPr>
      </w:pPr>
    </w:p>
    <w:p>
      <w:pPr>
        <w:ind w:left="1800"/>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0120"/>
          </w:cols>
          <w:pgMar w:left="1440" w:top="211" w:right="339" w:bottom="1440" w:gutter="0" w:footer="0" w:header="0"/>
        </w:sectPr>
      </w:pPr>
    </w:p>
    <w:p>
      <w:pPr>
        <w:spacing w:after="0" w:line="302"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80-0376379</w:t>
      </w:r>
    </w:p>
    <w:p>
      <w:pPr>
        <w:spacing w:after="0" w:line="48" w:lineRule="exact"/>
        <w:rPr>
          <w:sz w:val="24"/>
          <w:szCs w:val="24"/>
          <w:color w:val="auto"/>
        </w:rPr>
      </w:pPr>
    </w:p>
    <w:p>
      <w:pPr>
        <w:sectPr>
          <w:pgSz w:w="11900" w:h="16838" w:orient="portrait"/>
          <w:cols w:equalWidth="0" w:num="2">
            <w:col w:w="5400" w:space="720"/>
            <w:col w:w="4000"/>
          </w:cols>
          <w:pgMar w:left="1440" w:top="211" w:right="339" w:bottom="1440" w:gutter="0" w:footer="0" w:header="0"/>
          <w:type w:val="continuous"/>
        </w:sectPr>
      </w:pPr>
    </w:p>
    <w:p>
      <w:pPr>
        <w:ind w:left="440"/>
        <w:spacing w:after="0"/>
        <w:rPr>
          <w:sz w:val="20"/>
          <w:szCs w:val="20"/>
          <w:color w:val="auto"/>
        </w:rPr>
      </w:pPr>
      <w:r>
        <w:rPr>
          <w:rFonts w:ascii="Arial" w:cs="Arial" w:eastAsia="Arial" w:hAnsi="Arial"/>
          <w:sz w:val="14"/>
          <w:szCs w:val="14"/>
          <w:b w:val="1"/>
          <w:bCs w:val="1"/>
          <w:color w:val="auto"/>
        </w:rPr>
        <w:t>(State or other jurisdiction of</w:t>
      </w:r>
    </w:p>
    <w:p>
      <w:pPr>
        <w:spacing w:after="0" w:line="6" w:lineRule="exact"/>
        <w:rPr>
          <w:sz w:val="24"/>
          <w:szCs w:val="24"/>
          <w:color w:val="auto"/>
        </w:rPr>
      </w:pPr>
    </w:p>
    <w:p>
      <w:pPr>
        <w:ind w:left="40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820"/>
        <w:spacing w:after="0"/>
        <w:rPr>
          <w:sz w:val="20"/>
          <w:szCs w:val="20"/>
          <w:color w:val="auto"/>
        </w:rPr>
      </w:pPr>
      <w:r>
        <w:rPr>
          <w:rFonts w:ascii="Arial" w:cs="Arial" w:eastAsia="Arial" w:hAnsi="Arial"/>
          <w:sz w:val="14"/>
          <w:szCs w:val="14"/>
          <w:b w:val="1"/>
          <w:bCs w:val="1"/>
          <w:color w:val="auto"/>
        </w:rPr>
        <w:t>(I.R.S. Employer</w:t>
      </w:r>
    </w:p>
    <w:p>
      <w:pPr>
        <w:spacing w:after="0" w:line="6" w:lineRule="exact"/>
        <w:rPr>
          <w:sz w:val="24"/>
          <w:szCs w:val="24"/>
          <w:color w:val="auto"/>
        </w:rPr>
      </w:pPr>
    </w:p>
    <w:p>
      <w:pPr>
        <w:jc w:val="center"/>
        <w:ind w:right="2820"/>
        <w:spacing w:after="0"/>
        <w:rPr>
          <w:sz w:val="20"/>
          <w:szCs w:val="20"/>
          <w:color w:val="auto"/>
        </w:rPr>
      </w:pPr>
      <w:r>
        <w:rPr>
          <w:rFonts w:ascii="Arial" w:cs="Arial" w:eastAsia="Arial" w:hAnsi="Arial"/>
          <w:sz w:val="14"/>
          <w:szCs w:val="14"/>
          <w:b w:val="1"/>
          <w:bCs w:val="1"/>
          <w:color w:val="auto"/>
        </w:rPr>
        <w:t>Identification No.)</w:t>
      </w:r>
    </w:p>
    <w:p>
      <w:pPr>
        <w:spacing w:after="0" w:line="81" w:lineRule="exact"/>
        <w:rPr>
          <w:sz w:val="24"/>
          <w:szCs w:val="24"/>
          <w:color w:val="auto"/>
        </w:rPr>
      </w:pPr>
    </w:p>
    <w:p>
      <w:pPr>
        <w:sectPr>
          <w:pgSz w:w="11900" w:h="16838" w:orient="portrait"/>
          <w:cols w:equalWidth="0" w:num="2">
            <w:col w:w="5360" w:space="720"/>
            <w:col w:w="4040"/>
          </w:cols>
          <w:pgMar w:left="1440" w:top="211" w:right="339" w:bottom="1440" w:gutter="0" w:footer="0" w:header="0"/>
          <w:type w:val="continuous"/>
        </w:sectPr>
      </w:pPr>
    </w:p>
    <w:p>
      <w:pPr>
        <w:jc w:val="center"/>
        <w:ind w:right="1100"/>
        <w:spacing w:after="0"/>
        <w:rPr>
          <w:sz w:val="20"/>
          <w:szCs w:val="20"/>
          <w:color w:val="auto"/>
        </w:rPr>
      </w:pPr>
      <w:r>
        <w:rPr>
          <w:rFonts w:ascii="Arial" w:cs="Arial" w:eastAsia="Arial" w:hAnsi="Arial"/>
          <w:sz w:val="18"/>
          <w:szCs w:val="18"/>
          <w:b w:val="1"/>
          <w:bCs w:val="1"/>
          <w:color w:val="auto"/>
        </w:rPr>
        <w:t>10 Jay Street</w:t>
      </w:r>
    </w:p>
    <w:p>
      <w:pPr>
        <w:jc w:val="center"/>
        <w:ind w:right="1100"/>
        <w:spacing w:after="0" w:line="223" w:lineRule="auto"/>
        <w:rPr>
          <w:sz w:val="20"/>
          <w:szCs w:val="20"/>
          <w:color w:val="auto"/>
        </w:rPr>
      </w:pPr>
      <w:r>
        <w:rPr>
          <w:rFonts w:ascii="Arial" w:cs="Arial" w:eastAsia="Arial" w:hAnsi="Arial"/>
          <w:sz w:val="18"/>
          <w:szCs w:val="18"/>
          <w:b w:val="1"/>
          <w:bCs w:val="1"/>
          <w:color w:val="auto"/>
        </w:rPr>
        <w:t>Brooklyn, New York 11201</w:t>
      </w:r>
    </w:p>
    <w:p>
      <w:pPr>
        <w:jc w:val="center"/>
        <w:ind w:right="1100"/>
        <w:spacing w:after="0" w:line="226" w:lineRule="auto"/>
        <w:rPr>
          <w:sz w:val="20"/>
          <w:szCs w:val="20"/>
          <w:color w:val="auto"/>
        </w:rPr>
      </w:pPr>
      <w:r>
        <w:rPr>
          <w:rFonts w:ascii="Arial" w:cs="Arial" w:eastAsia="Arial" w:hAnsi="Arial"/>
          <w:sz w:val="18"/>
          <w:szCs w:val="18"/>
          <w:b w:val="1"/>
          <w:bCs w:val="1"/>
          <w:color w:val="auto"/>
        </w:rPr>
        <w:t>Telephone: (212) 524-6860</w:t>
      </w:r>
    </w:p>
    <w:p>
      <w:pPr>
        <w:ind w:left="2800"/>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0120"/>
          </w:cols>
          <w:pgMar w:left="1440" w:top="211" w:right="339" w:bottom="1440" w:gutter="0" w:footer="0" w:header="0"/>
          <w:type w:val="continuous"/>
        </w:sectPr>
      </w:pP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Rent the Runway, Inc. Amended and Restated 2021 Incentive Award Plan</w:t>
      </w:r>
    </w:p>
    <w:p>
      <w:pPr>
        <w:jc w:val="center"/>
        <w:ind w:right="1120"/>
        <w:spacing w:after="0" w:line="230" w:lineRule="auto"/>
        <w:rPr>
          <w:sz w:val="20"/>
          <w:szCs w:val="20"/>
          <w:color w:val="auto"/>
        </w:rPr>
      </w:pPr>
      <w:r>
        <w:rPr>
          <w:rFonts w:ascii="Arial" w:cs="Arial" w:eastAsia="Arial" w:hAnsi="Arial"/>
          <w:sz w:val="18"/>
          <w:szCs w:val="18"/>
          <w:b w:val="1"/>
          <w:bCs w:val="1"/>
          <w:color w:val="auto"/>
        </w:rPr>
        <w:t>Rent the Runway, Inc. 2021 Employee Stock Purchase Plan</w:t>
      </w:r>
    </w:p>
    <w:p>
      <w:pPr>
        <w:jc w:val="center"/>
        <w:ind w:right="1120"/>
        <w:spacing w:after="0"/>
        <w:rPr>
          <w:sz w:val="20"/>
          <w:szCs w:val="20"/>
          <w:color w:val="auto"/>
        </w:rPr>
      </w:pPr>
      <w:r>
        <w:rPr>
          <w:rFonts w:ascii="Arial" w:cs="Arial" w:eastAsia="Arial" w:hAnsi="Arial"/>
          <w:sz w:val="14"/>
          <w:szCs w:val="14"/>
          <w:b w:val="1"/>
          <w:bCs w:val="1"/>
          <w:color w:val="auto"/>
        </w:rPr>
        <w:t>(Full title of the plans)</w:t>
      </w: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Jennifer Y. Hyman, Co-Founder, Chief Executive Officer and Chair</w:t>
      </w:r>
    </w:p>
    <w:p>
      <w:pPr>
        <w:jc w:val="center"/>
        <w:ind w:right="1120"/>
        <w:spacing w:after="0" w:line="223" w:lineRule="auto"/>
        <w:rPr>
          <w:sz w:val="20"/>
          <w:szCs w:val="20"/>
          <w:color w:val="auto"/>
        </w:rPr>
      </w:pPr>
      <w:r>
        <w:rPr>
          <w:rFonts w:ascii="Arial" w:cs="Arial" w:eastAsia="Arial" w:hAnsi="Arial"/>
          <w:sz w:val="18"/>
          <w:szCs w:val="18"/>
          <w:b w:val="1"/>
          <w:bCs w:val="1"/>
          <w:color w:val="auto"/>
        </w:rPr>
        <w:t>Rent the Runway, Inc.</w:t>
      </w:r>
    </w:p>
    <w:p>
      <w:pPr>
        <w:jc w:val="center"/>
        <w:ind w:right="1120"/>
        <w:spacing w:after="0" w:line="219" w:lineRule="auto"/>
        <w:rPr>
          <w:sz w:val="20"/>
          <w:szCs w:val="20"/>
          <w:color w:val="auto"/>
        </w:rPr>
      </w:pPr>
      <w:r>
        <w:rPr>
          <w:rFonts w:ascii="Arial" w:cs="Arial" w:eastAsia="Arial" w:hAnsi="Arial"/>
          <w:sz w:val="18"/>
          <w:szCs w:val="18"/>
          <w:b w:val="1"/>
          <w:bCs w:val="1"/>
          <w:color w:val="auto"/>
        </w:rPr>
        <w:t>10 Jay Street</w:t>
      </w:r>
    </w:p>
    <w:p>
      <w:pPr>
        <w:jc w:val="center"/>
        <w:ind w:right="1120"/>
        <w:spacing w:after="0" w:line="220" w:lineRule="auto"/>
        <w:rPr>
          <w:sz w:val="20"/>
          <w:szCs w:val="20"/>
          <w:color w:val="auto"/>
        </w:rPr>
      </w:pPr>
      <w:r>
        <w:rPr>
          <w:rFonts w:ascii="Arial" w:cs="Arial" w:eastAsia="Arial" w:hAnsi="Arial"/>
          <w:sz w:val="18"/>
          <w:szCs w:val="18"/>
          <w:b w:val="1"/>
          <w:bCs w:val="1"/>
          <w:color w:val="auto"/>
        </w:rPr>
        <w:t>Brooklyn, New York 11201</w:t>
      </w:r>
    </w:p>
    <w:p>
      <w:pPr>
        <w:jc w:val="center"/>
        <w:ind w:right="1120"/>
        <w:spacing w:after="0" w:line="225" w:lineRule="auto"/>
        <w:rPr>
          <w:sz w:val="20"/>
          <w:szCs w:val="20"/>
          <w:color w:val="auto"/>
        </w:rPr>
      </w:pPr>
      <w:r>
        <w:rPr>
          <w:rFonts w:ascii="Arial" w:cs="Arial" w:eastAsia="Arial" w:hAnsi="Arial"/>
          <w:sz w:val="18"/>
          <w:szCs w:val="18"/>
          <w:b w:val="1"/>
          <w:bCs w:val="1"/>
          <w:color w:val="auto"/>
        </w:rPr>
        <w:t>Telephone: (212) 524-6860</w:t>
      </w:r>
    </w:p>
    <w:p>
      <w:pPr>
        <w:spacing w:after="0" w:line="1" w:lineRule="exact"/>
        <w:rPr>
          <w:sz w:val="24"/>
          <w:szCs w:val="24"/>
          <w:color w:val="auto"/>
        </w:rPr>
      </w:pPr>
    </w:p>
    <w:p>
      <w:pPr>
        <w:ind w:left="1020"/>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203"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2940" w:type="dxa"/>
            <w:vAlign w:val="bottom"/>
          </w:tcPr>
          <w:p>
            <w:pPr>
              <w:spacing w:after="0"/>
              <w:rPr>
                <w:sz w:val="20"/>
                <w:szCs w:val="20"/>
                <w:color w:val="auto"/>
              </w:rPr>
            </w:pPr>
          </w:p>
        </w:tc>
        <w:tc>
          <w:tcPr>
            <w:tcW w:w="512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193"/>
        </w:trPr>
        <w:tc>
          <w:tcPr>
            <w:tcW w:w="2940" w:type="dxa"/>
            <w:vAlign w:val="bottom"/>
          </w:tcPr>
          <w:p>
            <w:pPr>
              <w:jc w:val="center"/>
              <w:ind w:right="370"/>
              <w:spacing w:after="0" w:line="193" w:lineRule="exact"/>
              <w:rPr>
                <w:sz w:val="20"/>
                <w:szCs w:val="20"/>
                <w:color w:val="auto"/>
              </w:rPr>
            </w:pPr>
            <w:r>
              <w:rPr>
                <w:rFonts w:ascii="Arial" w:cs="Arial" w:eastAsia="Arial" w:hAnsi="Arial"/>
                <w:sz w:val="18"/>
                <w:szCs w:val="18"/>
                <w:b w:val="1"/>
                <w:bCs w:val="1"/>
                <w:color w:val="auto"/>
                <w:w w:val="99"/>
              </w:rPr>
              <w:t>Marc D. Jaffe</w:t>
            </w:r>
          </w:p>
        </w:tc>
        <w:tc>
          <w:tcPr>
            <w:tcW w:w="5120" w:type="dxa"/>
            <w:vAlign w:val="bottom"/>
          </w:tcPr>
          <w:p>
            <w:pPr>
              <w:jc w:val="center"/>
              <w:ind w:left="2810"/>
              <w:spacing w:after="0" w:line="193" w:lineRule="exact"/>
              <w:rPr>
                <w:sz w:val="20"/>
                <w:szCs w:val="20"/>
                <w:color w:val="auto"/>
              </w:rPr>
            </w:pPr>
            <w:r>
              <w:rPr>
                <w:rFonts w:ascii="Arial" w:cs="Arial" w:eastAsia="Arial" w:hAnsi="Arial"/>
                <w:sz w:val="18"/>
                <w:szCs w:val="18"/>
                <w:b w:val="1"/>
                <w:bCs w:val="1"/>
                <w:color w:val="auto"/>
                <w:w w:val="99"/>
              </w:rPr>
              <w:t>Scarlett O’Sullivan</w:t>
            </w:r>
          </w:p>
        </w:tc>
      </w:tr>
      <w:tr>
        <w:trPr>
          <w:trHeight w:val="189"/>
        </w:trPr>
        <w:tc>
          <w:tcPr>
            <w:tcW w:w="2940" w:type="dxa"/>
            <w:vAlign w:val="bottom"/>
          </w:tcPr>
          <w:p>
            <w:pPr>
              <w:jc w:val="center"/>
              <w:ind w:right="370"/>
              <w:spacing w:after="0" w:line="189" w:lineRule="exact"/>
              <w:rPr>
                <w:sz w:val="20"/>
                <w:szCs w:val="20"/>
                <w:color w:val="auto"/>
              </w:rPr>
            </w:pPr>
            <w:r>
              <w:rPr>
                <w:rFonts w:ascii="Arial" w:cs="Arial" w:eastAsia="Arial" w:hAnsi="Arial"/>
                <w:sz w:val="18"/>
                <w:szCs w:val="18"/>
                <w:b w:val="1"/>
                <w:bCs w:val="1"/>
                <w:color w:val="auto"/>
                <w:w w:val="99"/>
              </w:rPr>
              <w:t>Jenna Cooper</w:t>
            </w:r>
          </w:p>
        </w:tc>
        <w:tc>
          <w:tcPr>
            <w:tcW w:w="5120" w:type="dxa"/>
            <w:vAlign w:val="bottom"/>
          </w:tcPr>
          <w:p>
            <w:pPr>
              <w:jc w:val="center"/>
              <w:ind w:left="2810"/>
              <w:spacing w:after="0" w:line="189" w:lineRule="exact"/>
              <w:rPr>
                <w:sz w:val="20"/>
                <w:szCs w:val="20"/>
                <w:color w:val="auto"/>
              </w:rPr>
            </w:pPr>
            <w:r>
              <w:rPr>
                <w:rFonts w:ascii="Arial" w:cs="Arial" w:eastAsia="Arial" w:hAnsi="Arial"/>
                <w:sz w:val="18"/>
                <w:szCs w:val="18"/>
                <w:b w:val="1"/>
                <w:bCs w:val="1"/>
                <w:color w:val="auto"/>
                <w:w w:val="99"/>
              </w:rPr>
              <w:t>Cara Schembri</w:t>
            </w:r>
          </w:p>
        </w:tc>
      </w:tr>
      <w:tr>
        <w:trPr>
          <w:trHeight w:val="189"/>
        </w:trPr>
        <w:tc>
          <w:tcPr>
            <w:tcW w:w="2940" w:type="dxa"/>
            <w:vAlign w:val="bottom"/>
          </w:tcPr>
          <w:p>
            <w:pPr>
              <w:jc w:val="center"/>
              <w:ind w:right="350"/>
              <w:spacing w:after="0" w:line="189" w:lineRule="exact"/>
              <w:rPr>
                <w:sz w:val="20"/>
                <w:szCs w:val="20"/>
                <w:color w:val="auto"/>
              </w:rPr>
            </w:pPr>
            <w:r>
              <w:rPr>
                <w:rFonts w:ascii="Arial" w:cs="Arial" w:eastAsia="Arial" w:hAnsi="Arial"/>
                <w:sz w:val="18"/>
                <w:szCs w:val="18"/>
                <w:b w:val="1"/>
                <w:bCs w:val="1"/>
                <w:color w:val="auto"/>
                <w:w w:val="99"/>
              </w:rPr>
              <w:t>Latham &amp; Watkins LLP</w:t>
            </w:r>
          </w:p>
        </w:tc>
        <w:tc>
          <w:tcPr>
            <w:tcW w:w="5120" w:type="dxa"/>
            <w:vAlign w:val="bottom"/>
          </w:tcPr>
          <w:p>
            <w:pPr>
              <w:jc w:val="center"/>
              <w:ind w:left="2810"/>
              <w:spacing w:after="0" w:line="189" w:lineRule="exact"/>
              <w:rPr>
                <w:sz w:val="20"/>
                <w:szCs w:val="20"/>
                <w:color w:val="auto"/>
              </w:rPr>
            </w:pPr>
            <w:r>
              <w:rPr>
                <w:rFonts w:ascii="Arial" w:cs="Arial" w:eastAsia="Arial" w:hAnsi="Arial"/>
                <w:sz w:val="18"/>
                <w:szCs w:val="18"/>
                <w:b w:val="1"/>
                <w:bCs w:val="1"/>
                <w:color w:val="auto"/>
                <w:w w:val="99"/>
              </w:rPr>
              <w:t>Rent the Runway, Inc.</w:t>
            </w:r>
          </w:p>
        </w:tc>
      </w:tr>
      <w:tr>
        <w:trPr>
          <w:trHeight w:val="189"/>
        </w:trPr>
        <w:tc>
          <w:tcPr>
            <w:tcW w:w="2940" w:type="dxa"/>
            <w:vAlign w:val="bottom"/>
          </w:tcPr>
          <w:p>
            <w:pPr>
              <w:jc w:val="center"/>
              <w:ind w:right="350"/>
              <w:spacing w:after="0" w:line="189" w:lineRule="exact"/>
              <w:rPr>
                <w:sz w:val="20"/>
                <w:szCs w:val="20"/>
                <w:color w:val="auto"/>
              </w:rPr>
            </w:pPr>
            <w:r>
              <w:rPr>
                <w:rFonts w:ascii="Arial" w:cs="Arial" w:eastAsia="Arial" w:hAnsi="Arial"/>
                <w:sz w:val="18"/>
                <w:szCs w:val="18"/>
                <w:b w:val="1"/>
                <w:bCs w:val="1"/>
                <w:color w:val="auto"/>
                <w:w w:val="99"/>
              </w:rPr>
              <w:t>1271 Avenue of the Americas</w:t>
            </w:r>
          </w:p>
        </w:tc>
        <w:tc>
          <w:tcPr>
            <w:tcW w:w="5120" w:type="dxa"/>
            <w:vAlign w:val="bottom"/>
          </w:tcPr>
          <w:p>
            <w:pPr>
              <w:jc w:val="center"/>
              <w:ind w:left="2810"/>
              <w:spacing w:after="0" w:line="189" w:lineRule="exact"/>
              <w:rPr>
                <w:sz w:val="20"/>
                <w:szCs w:val="20"/>
                <w:color w:val="auto"/>
              </w:rPr>
            </w:pPr>
            <w:r>
              <w:rPr>
                <w:rFonts w:ascii="Arial" w:cs="Arial" w:eastAsia="Arial" w:hAnsi="Arial"/>
                <w:sz w:val="18"/>
                <w:szCs w:val="18"/>
                <w:b w:val="1"/>
                <w:bCs w:val="1"/>
                <w:color w:val="auto"/>
                <w:w w:val="99"/>
              </w:rPr>
              <w:t>10 Jay Street</w:t>
            </w:r>
          </w:p>
        </w:tc>
      </w:tr>
      <w:tr>
        <w:trPr>
          <w:trHeight w:val="189"/>
        </w:trPr>
        <w:tc>
          <w:tcPr>
            <w:tcW w:w="2940" w:type="dxa"/>
            <w:vAlign w:val="bottom"/>
          </w:tcPr>
          <w:p>
            <w:pPr>
              <w:jc w:val="center"/>
              <w:ind w:right="350"/>
              <w:spacing w:after="0" w:line="189" w:lineRule="exact"/>
              <w:rPr>
                <w:sz w:val="20"/>
                <w:szCs w:val="20"/>
                <w:color w:val="auto"/>
              </w:rPr>
            </w:pPr>
            <w:r>
              <w:rPr>
                <w:rFonts w:ascii="Arial" w:cs="Arial" w:eastAsia="Arial" w:hAnsi="Arial"/>
                <w:sz w:val="18"/>
                <w:szCs w:val="18"/>
                <w:b w:val="1"/>
                <w:bCs w:val="1"/>
                <w:color w:val="auto"/>
                <w:w w:val="98"/>
              </w:rPr>
              <w:t>New York, New York 10020</w:t>
            </w:r>
          </w:p>
        </w:tc>
        <w:tc>
          <w:tcPr>
            <w:tcW w:w="5120" w:type="dxa"/>
            <w:vAlign w:val="bottom"/>
          </w:tcPr>
          <w:p>
            <w:pPr>
              <w:jc w:val="center"/>
              <w:ind w:left="2790"/>
              <w:spacing w:after="0" w:line="189" w:lineRule="exact"/>
              <w:rPr>
                <w:sz w:val="20"/>
                <w:szCs w:val="20"/>
                <w:color w:val="auto"/>
              </w:rPr>
            </w:pPr>
            <w:r>
              <w:rPr>
                <w:rFonts w:ascii="Arial" w:cs="Arial" w:eastAsia="Arial" w:hAnsi="Arial"/>
                <w:sz w:val="18"/>
                <w:szCs w:val="18"/>
                <w:b w:val="1"/>
                <w:bCs w:val="1"/>
                <w:color w:val="auto"/>
                <w:w w:val="99"/>
              </w:rPr>
              <w:t>Brooklyn, New York 11201</w:t>
            </w:r>
          </w:p>
        </w:tc>
      </w:tr>
      <w:tr>
        <w:trPr>
          <w:trHeight w:val="239"/>
        </w:trPr>
        <w:tc>
          <w:tcPr>
            <w:tcW w:w="294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(212) 906-1200</w:t>
            </w:r>
          </w:p>
        </w:tc>
        <w:tc>
          <w:tcPr>
            <w:tcW w:w="512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(212) 524-6860</w:t>
            </w:r>
          </w:p>
        </w:tc>
      </w:tr>
    </w:tbl>
    <w:p>
      <w:pPr>
        <w:sectPr>
          <w:pgSz w:w="11900" w:h="16838" w:orient="portrait"/>
          <w:cols w:equalWidth="0" w:num="1">
            <w:col w:w="10120"/>
          </w:cols>
          <w:pgMar w:left="1440" w:top="211" w:right="339" w:bottom="1440" w:gutter="0" w:footer="0" w:header="0"/>
          <w:type w:val="continuous"/>
        </w:sectPr>
      </w:pPr>
    </w:p>
    <w:bookmarkStart w:id="1" w:name="page2"/>
    <w:bookmarkEnd w:id="1"/>
    <w:p>
      <w:pPr>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78" w:right="359" w:bottom="1440" w:gutter="0" w:footer="0" w:header="0"/>
        </w:sectPr>
      </w:pPr>
    </w:p>
    <w:p>
      <w:pPr>
        <w:spacing w:after="0" w:line="225" w:lineRule="exact"/>
        <w:rPr>
          <w:sz w:val="20"/>
          <w:szCs w:val="20"/>
          <w:color w:val="auto"/>
        </w:rPr>
      </w:pPr>
    </w:p>
    <w:p>
      <w:pPr>
        <w:ind w:left="2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0"/>
          <w:szCs w:val="20"/>
          <w:color w:val="auto"/>
        </w:rPr>
      </w:pPr>
    </w:p>
    <w:p>
      <w:pPr>
        <w:sectPr>
          <w:pgSz w:w="11900" w:h="16838" w:orient="portrait"/>
          <w:cols w:equalWidth="0" w:num="2">
            <w:col w:w="4120" w:space="720"/>
            <w:col w:w="6380"/>
          </w:cols>
          <w:pgMar w:left="320" w:top="1178" w:right="359" w:bottom="1440" w:gutter="0" w:footer="0" w:header="0"/>
          <w:type w:val="continuous"/>
        </w:sect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48"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120" w:space="720"/>
            <w:col w:w="6380"/>
          </w:cols>
          <w:pgMar w:left="320" w:top="1178" w:right="359" w:bottom="1440" w:gutter="0" w:footer="0" w:header="0"/>
          <w:type w:val="continuous"/>
        </w:sectPr>
      </w:pPr>
    </w:p>
    <w:p>
      <w:pPr>
        <w:spacing w:after="0" w:line="164" w:lineRule="exact"/>
        <w:rPr>
          <w:sz w:val="20"/>
          <w:szCs w:val="20"/>
          <w:color w:val="auto"/>
        </w:rPr>
      </w:pPr>
    </w:p>
    <w:p>
      <w:pPr>
        <w:ind w:right="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38" w:orient="portrait"/>
          <w:cols w:equalWidth="0" w:num="1">
            <w:col w:w="11220"/>
          </w:cols>
          <w:pgMar w:left="320" w:top="1178" w:right="35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This Registration Statement on Form S-8 is being filed for the purpose of registering an additional 7,664,535 shares of the Registrant’s Class A common stock that may become issuable pursuant to the Rent the Runway, Inc. Amended and Restated 2021 Incentive Award Plan (“2021 Plan”) and for which a Registration Statement of the Registrant on Form S-8 relating to the same employee benefit plans is effective.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BY REFERENCE OF CONTENTS OF REGISTRATION STATEMENT ON FORM S-8</w:t>
      </w:r>
    </w:p>
    <w:p>
      <w:pPr>
        <w:spacing w:after="0" w:line="247" w:lineRule="exact"/>
        <w:rPr>
          <w:sz w:val="20"/>
          <w:szCs w:val="20"/>
          <w:color w:val="auto"/>
        </w:rPr>
      </w:pPr>
    </w:p>
    <w:p>
      <w:pPr>
        <w:ind w:right="10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The contents of the Registration Statement on </w:t>
      </w:r>
      <w:hyperlink r:id="rId8">
        <w:r>
          <w:rPr>
            <w:rFonts w:ascii="Arial" w:cs="Arial" w:eastAsia="Arial" w:hAnsi="Arial"/>
            <w:sz w:val="18"/>
            <w:szCs w:val="18"/>
            <w:u w:val="single" w:color="auto"/>
            <w:color w:val="0000FF"/>
          </w:rPr>
          <w:t>Form S-8 (File No. 333-260564)</w:t>
        </w:r>
      </w:hyperlink>
      <w:r>
        <w:rPr>
          <w:rFonts w:ascii="Arial" w:cs="Arial" w:eastAsia="Arial" w:hAnsi="Arial"/>
          <w:sz w:val="18"/>
          <w:szCs w:val="18"/>
          <w:color w:val="auto"/>
        </w:rPr>
        <w:t>, filed with the Securities and Exchange Commission, relating to the 2021 Plan and the 2021 ESPP, are incorporated herein by reference.</w:t>
      </w:r>
    </w:p>
    <w:p>
      <w:pPr>
        <w:sectPr>
          <w:pgSz w:w="11900" w:h="16838" w:orient="portrait"/>
          <w:cols w:equalWidth="0" w:num="1">
            <w:col w:w="11240"/>
          </w:cols>
          <w:pgMar w:left="320" w:top="913" w:right="339" w:bottom="1440" w:gutter="0" w:footer="0" w:header="0"/>
        </w:sectPr>
      </w:pPr>
    </w:p>
    <w:p>
      <w:pPr>
        <w:ind w:left="240"/>
        <w:spacing w:after="0" w:line="234" w:lineRule="auto"/>
        <w:rPr>
          <w:sz w:val="20"/>
          <w:szCs w:val="20"/>
          <w:color w:val="auto"/>
        </w:rPr>
      </w:pPr>
      <w:r>
        <w:rPr>
          <w:rFonts w:ascii="Arial" w:cs="Arial" w:eastAsia="Arial" w:hAnsi="Arial"/>
          <w:sz w:val="18"/>
          <w:szCs w:val="18"/>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76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5.1*</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23.1*</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23.2*</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38" w:lineRule="exact"/>
        <w:rPr>
          <w:sz w:val="20"/>
          <w:szCs w:val="20"/>
          <w:color w:val="auto"/>
        </w:rPr>
      </w:pPr>
    </w:p>
    <w:p>
      <w:pPr>
        <w:ind w:right="280"/>
        <w:spacing w:after="0" w:line="235" w:lineRule="auto"/>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Amended and Restated Certificate of Incorporation of the Registrant, dated October 29, 2021 (incorporated by reference to</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Exhibit 3.1 to the Registrant’s Current Report on Form 8-K (File No. 001-40958) filed on October 29, 2021)</w:t>
        </w:r>
      </w:hyperlink>
    </w:p>
    <w:p>
      <w:pPr>
        <w:spacing w:after="0" w:line="27" w:lineRule="exact"/>
        <w:rPr>
          <w:sz w:val="20"/>
          <w:szCs w:val="20"/>
          <w:color w:val="auto"/>
        </w:rPr>
      </w:pPr>
    </w:p>
    <w:p>
      <w:pPr>
        <w:ind w:right="440"/>
        <w:spacing w:after="0" w:line="235" w:lineRule="auto"/>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Amended and Restated Bylaws of the Registrant, dated October 29, 2021 (incorporated by reference to Exhibit 3.2 to the</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Registrant’s Current Report on Form 8-K (File No. 001-40958) filed on October 29, 2021)</w:t>
        </w:r>
      </w:hyperlink>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Opinion of Latham &amp; Watkins LLP</w:t>
        </w:r>
      </w:hyperlink>
    </w:p>
    <w:p>
      <w:pPr>
        <w:spacing w:after="0" w:line="36" w:lineRule="exact"/>
        <w:rPr>
          <w:sz w:val="20"/>
          <w:szCs w:val="20"/>
          <w:color w:val="auto"/>
        </w:rPr>
      </w:pPr>
    </w:p>
    <w:p>
      <w:pPr>
        <w:ind w:right="2860"/>
        <w:spacing w:after="0" w:line="281" w:lineRule="auto"/>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Consent of PricewaterhouseCoopers LLP, Independent Registered Public Accounting Firm</w:t>
        </w:r>
      </w:hyperlink>
      <w:r>
        <w:rPr>
          <w:rFonts w:ascii="Arial" w:cs="Arial" w:eastAsia="Arial" w:hAnsi="Arial"/>
          <w:sz w:val="18"/>
          <w:szCs w:val="18"/>
          <w:u w:val="single" w:color="auto"/>
          <w:color w:val="0000FF"/>
        </w:rPr>
        <w:t xml:space="preserve"> </w:t>
      </w:r>
      <w:hyperlink w:anchor="page7">
        <w:r>
          <w:rPr>
            <w:rFonts w:ascii="Arial" w:cs="Arial" w:eastAsia="Arial" w:hAnsi="Arial"/>
            <w:sz w:val="18"/>
            <w:szCs w:val="18"/>
            <w:u w:val="single" w:color="auto"/>
            <w:color w:val="0000FF"/>
          </w:rPr>
          <w:t>Consent of Latham &amp; Watkins LLP (included in Exhibit 5.1)</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Power of Attorney (included on signature page)</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880" w:space="300"/>
            <w:col w:w="10060"/>
          </w:cols>
          <w:pgMar w:left="320" w:top="913" w:right="339" w:bottom="1440" w:gutter="0" w:footer="0" w:header="0"/>
          <w:type w:val="continuous"/>
        </w:sectPr>
      </w:pPr>
    </w:p>
    <w:tbl>
      <w:tblPr>
        <w:tblLayout w:type="fixed"/>
        <w:tblInd w:w="2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9960" w:type="dxa"/>
            <w:vAlign w:val="bottom"/>
            <w:gridSpan w:val="6"/>
          </w:tcPr>
          <w:p>
            <w:pPr>
              <w:spacing w:after="0" w:line="178" w:lineRule="exact"/>
              <w:rPr>
                <w:rFonts w:ascii="Arial" w:cs="Arial" w:eastAsia="Arial" w:hAnsi="Arial"/>
                <w:sz w:val="18"/>
                <w:szCs w:val="18"/>
                <w:color w:val="0000FF"/>
                <w:w w:val="99"/>
              </w:rPr>
            </w:pPr>
            <w:hyperlink r:id="rId13">
              <w:r>
                <w:rPr>
                  <w:rFonts w:ascii="Arial" w:cs="Arial" w:eastAsia="Arial" w:hAnsi="Arial"/>
                  <w:sz w:val="18"/>
                  <w:szCs w:val="18"/>
                  <w:color w:val="0000FF"/>
                  <w:w w:val="99"/>
                </w:rPr>
                <w:t>Amended and Restated 2021 Incentive Award Plan (incorporated by reference to Exhibit 10.9 to the Registrant’s Registration</w:t>
              </w:r>
            </w:hyperlink>
          </w:p>
        </w:tc>
      </w:tr>
      <w:tr>
        <w:trPr>
          <w:trHeight w:val="169"/>
        </w:trPr>
        <w:tc>
          <w:tcPr>
            <w:tcW w:w="1160" w:type="dxa"/>
            <w:vAlign w:val="bottom"/>
          </w:tcPr>
          <w:p>
            <w:pPr>
              <w:spacing w:after="0" w:line="156" w:lineRule="exact"/>
              <w:rPr>
                <w:sz w:val="20"/>
                <w:szCs w:val="20"/>
                <w:color w:val="auto"/>
              </w:rPr>
            </w:pPr>
            <w:r>
              <w:rPr>
                <w:rFonts w:ascii="Arial" w:cs="Arial" w:eastAsia="Arial" w:hAnsi="Arial"/>
                <w:sz w:val="18"/>
                <w:szCs w:val="18"/>
                <w:color w:val="auto"/>
              </w:rPr>
              <w:t>99.1</w:t>
            </w:r>
          </w:p>
        </w:tc>
        <w:tc>
          <w:tcPr>
            <w:tcW w:w="7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3">
              <w:r>
                <w:rPr>
                  <w:rFonts w:ascii="Arial" w:cs="Arial" w:eastAsia="Arial" w:hAnsi="Arial"/>
                  <w:sz w:val="18"/>
                  <w:szCs w:val="18"/>
                  <w:color w:val="0000FF"/>
                  <w:w w:val="99"/>
                </w:rPr>
                <w:t>Statement on Form S-1/A (File No. 333-260027), filed on October 18, 2021 with the Commission)</w:t>
              </w:r>
            </w:hyperlink>
          </w:p>
        </w:tc>
        <w:tc>
          <w:tcPr>
            <w:tcW w:w="2200" w:type="dxa"/>
            <w:vAlign w:val="bottom"/>
            <w:tcBorders>
              <w:top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9960" w:type="dxa"/>
            <w:vAlign w:val="bottom"/>
            <w:gridSpan w:val="6"/>
          </w:tcPr>
          <w:p>
            <w:pPr>
              <w:spacing w:after="0"/>
              <w:rPr>
                <w:rFonts w:ascii="Arial" w:cs="Arial" w:eastAsia="Arial" w:hAnsi="Arial"/>
                <w:sz w:val="18"/>
                <w:szCs w:val="18"/>
                <w:color w:val="0000FF"/>
              </w:rPr>
            </w:pPr>
            <w:hyperlink r:id="rId14">
              <w:r>
                <w:rPr>
                  <w:rFonts w:ascii="Arial" w:cs="Arial" w:eastAsia="Arial" w:hAnsi="Arial"/>
                  <w:sz w:val="18"/>
                  <w:szCs w:val="18"/>
                  <w:color w:val="0000FF"/>
                </w:rPr>
                <w:t>2021 Employee Stock Purchase Plan (incorporated by reference to Exhibit 10.14 to the Registrant’s Registration Statement</w:t>
              </w:r>
            </w:hyperlink>
          </w:p>
        </w:tc>
      </w:tr>
      <w:tr>
        <w:trPr>
          <w:trHeight w:val="169"/>
        </w:trPr>
        <w:tc>
          <w:tcPr>
            <w:tcW w:w="1160" w:type="dxa"/>
            <w:vAlign w:val="bottom"/>
          </w:tcPr>
          <w:p>
            <w:pPr>
              <w:spacing w:after="0" w:line="156" w:lineRule="exact"/>
              <w:rPr>
                <w:sz w:val="20"/>
                <w:szCs w:val="20"/>
                <w:color w:val="auto"/>
              </w:rPr>
            </w:pPr>
            <w:r>
              <w:rPr>
                <w:rFonts w:ascii="Arial" w:cs="Arial" w:eastAsia="Arial" w:hAnsi="Arial"/>
                <w:sz w:val="18"/>
                <w:szCs w:val="18"/>
                <w:color w:val="auto"/>
              </w:rPr>
              <w:t>99.2</w:t>
            </w:r>
          </w:p>
        </w:tc>
        <w:tc>
          <w:tcPr>
            <w:tcW w:w="980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4">
              <w:r>
                <w:rPr>
                  <w:rFonts w:ascii="Arial" w:cs="Arial" w:eastAsia="Arial" w:hAnsi="Arial"/>
                  <w:sz w:val="18"/>
                  <w:szCs w:val="18"/>
                  <w:color w:val="0000FF"/>
                </w:rPr>
                <w:t>on Form S-1/A (File No. 333-260027), filed on October 18, 2021 with the Commission)</w:t>
              </w:r>
            </w:hyperlink>
          </w:p>
        </w:tc>
        <w:tc>
          <w:tcPr>
            <w:tcW w:w="160" w:type="dxa"/>
            <w:vAlign w:val="bottom"/>
            <w:gridSpan w:val="2"/>
          </w:tcPr>
          <w:p>
            <w:pPr>
              <w:spacing w:after="0"/>
              <w:rPr>
                <w:sz w:val="14"/>
                <w:szCs w:val="14"/>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107.1*</w:t>
            </w:r>
          </w:p>
        </w:tc>
        <w:tc>
          <w:tcPr>
            <w:tcW w:w="1280" w:type="dxa"/>
            <w:vAlign w:val="bottom"/>
            <w:tcBorders>
              <w:top w:val="single" w:sz="8" w:color="0000FF"/>
              <w:bottom w:val="single" w:sz="8" w:color="0000FF"/>
            </w:tcBorders>
          </w:tcPr>
          <w:p>
            <w:pPr>
              <w:spacing w:after="0"/>
              <w:rPr>
                <w:rFonts w:ascii="Arial" w:cs="Arial" w:eastAsia="Arial" w:hAnsi="Arial"/>
                <w:sz w:val="18"/>
                <w:szCs w:val="18"/>
                <w:color w:val="0000FF"/>
                <w:w w:val="97"/>
              </w:rPr>
            </w:pPr>
            <w:r>
              <w:rPr>
                <w:rFonts w:ascii="Arial" w:cs="Arial" w:eastAsia="Arial" w:hAnsi="Arial"/>
                <w:sz w:val="18"/>
                <w:szCs w:val="18"/>
                <w:color w:val="0000FF"/>
                <w:w w:val="97"/>
              </w:rPr>
              <w:t xml:space="preserve">Filing </w:t>
            </w:r>
            <w:hyperlink w:anchor="page6">
              <w:r>
                <w:rPr>
                  <w:rFonts w:ascii="Arial" w:cs="Arial" w:eastAsia="Arial" w:hAnsi="Arial"/>
                  <w:sz w:val="18"/>
                  <w:szCs w:val="18"/>
                  <w:color w:val="0000FF"/>
                  <w:w w:val="97"/>
                </w:rPr>
                <w:t>Fee Table</w:t>
              </w:r>
            </w:hyperlink>
          </w:p>
        </w:tc>
        <w:tc>
          <w:tcPr>
            <w:tcW w:w="5580" w:type="dxa"/>
            <w:vAlign w:val="bottom"/>
            <w:tcBorders>
              <w:top w:val="single" w:sz="8" w:color="0000FF"/>
            </w:tcBorders>
          </w:tcPr>
          <w:p>
            <w:pPr>
              <w:spacing w:after="0"/>
              <w:rPr>
                <w:sz w:val="19"/>
                <w:szCs w:val="19"/>
                <w:color w:val="auto"/>
              </w:rPr>
            </w:pPr>
          </w:p>
        </w:tc>
        <w:tc>
          <w:tcPr>
            <w:tcW w:w="3100" w:type="dxa"/>
            <w:vAlign w:val="bottom"/>
            <w:gridSpan w:val="4"/>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240"/>
          </w:cols>
          <w:pgMar w:left="320" w:top="913" w:right="33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April 14, 2022</w:t>
      </w: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74"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 April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14605</wp:posOffset>
            </wp:positionV>
            <wp:extent cx="30861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Jennifer Y. Hyman</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320" w:top="913" w:right="37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4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Each person whose signature appears below hereby constitutes and appoints Jennifer Y. Hyman and Scarlett O’Sullivan,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requisite and necessary or desirable to be done in connection therewith as fully to all intents and purposes as he might or could do in person, hereby ratifying and confirming all that said attorneys-in-fact and agents, or any of them, or their or his or her substitute or substitutes may lawfully do or cause to be done by virtue hereof.</w:t>
      </w:r>
    </w:p>
    <w:p>
      <w:pPr>
        <w:spacing w:after="0" w:line="221"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20"/>
          </w:cols>
          <w:pgMar w:left="320" w:top="1399" w:right="459" w:bottom="1440" w:gutter="0" w:footer="0" w:header="0"/>
        </w:sectPr>
      </w:pP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09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8"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209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Jennifer Y. Hyman</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Scarlett O’Sullivan</w:t>
      </w:r>
    </w:p>
    <w:p>
      <w:pPr>
        <w:spacing w:after="0" w:line="13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Scott Friend</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Jennifer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Jennifer Fleiss</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Tim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Tim Bixby</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Melanie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Melanie Harris</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Beth Kaplan</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Dan Nova</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Gwyneth Paltrow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Gwyneth Paltrow</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Carley 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Carley Roney</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Dan Rosenweig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Dan Rosenweig</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Mike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91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Mike Roth</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500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 Executive</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148"/>
        </w:trPr>
        <w:tc>
          <w:tcPr>
            <w:tcW w:w="51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Officer)</w:t>
            </w: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100" w:type="dxa"/>
            <w:vAlign w:val="bottom"/>
            <w:gridSpan w:val="2"/>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135"/>
        </w:trPr>
        <w:tc>
          <w:tcPr>
            <w:tcW w:w="51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2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5100" w:type="dxa"/>
            <w:vAlign w:val="bottom"/>
            <w:gridSpan w:val="2"/>
            <w:vMerge w:val="continue"/>
          </w:tcPr>
          <w:p>
            <w:pPr>
              <w:spacing w:after="0"/>
              <w:rPr>
                <w:sz w:val="8"/>
                <w:szCs w:val="8"/>
                <w:color w:val="auto"/>
              </w:rPr>
            </w:pPr>
          </w:p>
        </w:tc>
        <w:tc>
          <w:tcPr>
            <w:tcW w:w="2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14, 2022</w:t>
            </w:r>
          </w:p>
        </w:tc>
        <w:tc>
          <w:tcPr>
            <w:tcW w:w="0" w:type="dxa"/>
            <w:vAlign w:val="bottom"/>
          </w:tcPr>
          <w:p>
            <w:pPr>
              <w:spacing w:after="0"/>
              <w:rPr>
                <w:sz w:val="1"/>
                <w:szCs w:val="1"/>
                <w:color w:val="auto"/>
              </w:rPr>
            </w:pPr>
          </w:p>
        </w:tc>
      </w:tr>
    </w:tbl>
    <w:p>
      <w:pPr>
        <w:sectPr>
          <w:pgSz w:w="11900" w:h="16838" w:orient="portrait"/>
          <w:cols w:equalWidth="0" w:num="2">
            <w:col w:w="2680" w:space="720"/>
            <w:col w:w="7720"/>
          </w:cols>
          <w:pgMar w:left="320" w:top="1399" w:right="459" w:bottom="1440" w:gutter="0" w:footer="0" w:header="0"/>
          <w:type w:val="continuous"/>
        </w:sectPr>
      </w:pPr>
    </w:p>
    <w:bookmarkStart w:id="5" w:name="page6"/>
    <w:bookmarkEnd w:id="5"/>
    <w:p>
      <w:pPr>
        <w:ind w:left="10140"/>
        <w:spacing w:after="0"/>
        <w:rPr>
          <w:sz w:val="20"/>
          <w:szCs w:val="20"/>
          <w:color w:val="auto"/>
        </w:rPr>
      </w:pPr>
      <w:r>
        <w:rPr>
          <w:rFonts w:ascii="Arial" w:cs="Arial" w:eastAsia="Arial" w:hAnsi="Arial"/>
          <w:sz w:val="18"/>
          <w:szCs w:val="18"/>
          <w:b w:val="1"/>
          <w:bCs w:val="1"/>
          <w:color w:val="auto"/>
        </w:rPr>
        <w:t>Exhibit 107.1</w:t>
      </w:r>
    </w:p>
    <w:p>
      <w:pPr>
        <w:spacing w:after="0" w:line="21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Calculation of Filing Fee Tables</w:t>
      </w:r>
    </w:p>
    <w:p>
      <w:pPr>
        <w:spacing w:after="0" w:line="18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Form S-8</w:t>
      </w:r>
    </w:p>
    <w:p>
      <w:pPr>
        <w:jc w:val="center"/>
        <w:ind w:right="20"/>
        <w:spacing w:after="0"/>
        <w:rPr>
          <w:sz w:val="20"/>
          <w:szCs w:val="20"/>
          <w:color w:val="auto"/>
        </w:rPr>
      </w:pPr>
      <w:r>
        <w:rPr>
          <w:rFonts w:ascii="Arial" w:cs="Arial" w:eastAsia="Arial" w:hAnsi="Arial"/>
          <w:sz w:val="18"/>
          <w:szCs w:val="18"/>
          <w:color w:val="auto"/>
        </w:rPr>
        <w:t>(Form Type)</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Rent the Runway,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1—Newly Registered Securities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220" w:type="dxa"/>
            <w:vAlign w:val="bottom"/>
            <w:tcBorders>
              <w:top w:val="single" w:sz="8" w:color="auto"/>
              <w:left w:val="single" w:sz="8" w:color="auto"/>
              <w:right w:val="single" w:sz="8" w:color="auto"/>
            </w:tcBorders>
          </w:tcPr>
          <w:p>
            <w:pPr>
              <w:ind w:left="260"/>
              <w:spacing w:after="0" w:line="202" w:lineRule="exact"/>
              <w:rPr>
                <w:sz w:val="20"/>
                <w:szCs w:val="20"/>
                <w:color w:val="auto"/>
              </w:rPr>
            </w:pPr>
            <w:r>
              <w:rPr>
                <w:rFonts w:ascii="Arial" w:cs="Arial" w:eastAsia="Arial" w:hAnsi="Arial"/>
                <w:sz w:val="18"/>
                <w:szCs w:val="18"/>
                <w:b w:val="1"/>
                <w:bCs w:val="1"/>
                <w:color w:val="auto"/>
              </w:rPr>
              <w:t>Security</w:t>
            </w:r>
          </w:p>
        </w:tc>
        <w:tc>
          <w:tcPr>
            <w:tcW w:w="1460" w:type="dxa"/>
            <w:vAlign w:val="bottom"/>
            <w:tcBorders>
              <w:top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Security Class</w:t>
            </w:r>
          </w:p>
        </w:tc>
        <w:tc>
          <w:tcPr>
            <w:tcW w:w="1140" w:type="dxa"/>
            <w:vAlign w:val="bottom"/>
            <w:tcBorders>
              <w:top w:val="single" w:sz="8" w:color="auto"/>
              <w:right w:val="single" w:sz="8" w:color="auto"/>
            </w:tcBorders>
          </w:tcPr>
          <w:p>
            <w:pPr>
              <w:ind w:left="400"/>
              <w:spacing w:after="0" w:line="202" w:lineRule="exact"/>
              <w:rPr>
                <w:sz w:val="20"/>
                <w:szCs w:val="20"/>
                <w:color w:val="auto"/>
              </w:rPr>
            </w:pPr>
            <w:r>
              <w:rPr>
                <w:rFonts w:ascii="Arial" w:cs="Arial" w:eastAsia="Arial" w:hAnsi="Arial"/>
                <w:sz w:val="18"/>
                <w:szCs w:val="18"/>
                <w:b w:val="1"/>
                <w:bCs w:val="1"/>
                <w:color w:val="auto"/>
              </w:rPr>
              <w:t>Fee</w:t>
            </w:r>
          </w:p>
        </w:tc>
        <w:tc>
          <w:tcPr>
            <w:tcW w:w="178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Amount</w:t>
            </w:r>
          </w:p>
        </w:tc>
        <w:tc>
          <w:tcPr>
            <w:tcW w:w="136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Proposed</w:t>
            </w:r>
          </w:p>
        </w:tc>
        <w:tc>
          <w:tcPr>
            <w:tcW w:w="150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8"/>
              </w:rPr>
              <w:t>Maximum</w:t>
            </w:r>
          </w:p>
        </w:tc>
        <w:tc>
          <w:tcPr>
            <w:tcW w:w="1200" w:type="dxa"/>
            <w:vAlign w:val="bottom"/>
            <w:tcBorders>
              <w:top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Fee Rate</w:t>
            </w:r>
          </w:p>
        </w:tc>
        <w:tc>
          <w:tcPr>
            <w:tcW w:w="1600" w:type="dxa"/>
            <w:vAlign w:val="bottom"/>
            <w:tcBorders>
              <w:top w:val="single" w:sz="8" w:color="auto"/>
              <w:right w:val="single" w:sz="8" w:color="auto"/>
            </w:tcBorders>
          </w:tcPr>
          <w:p>
            <w:pPr>
              <w:ind w:left="340"/>
              <w:spacing w:after="0" w:line="202" w:lineRule="exact"/>
              <w:rPr>
                <w:sz w:val="20"/>
                <w:szCs w:val="20"/>
                <w:color w:val="auto"/>
              </w:rPr>
            </w:pPr>
            <w:r>
              <w:rPr>
                <w:rFonts w:ascii="Arial" w:cs="Arial" w:eastAsia="Arial" w:hAnsi="Arial"/>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Type</w:t>
            </w:r>
          </w:p>
        </w:tc>
        <w:tc>
          <w:tcPr>
            <w:tcW w:w="1460" w:type="dxa"/>
            <w:vAlign w:val="bottom"/>
            <w:tcBorders>
              <w:right w:val="single" w:sz="8" w:color="auto"/>
            </w:tcBorders>
          </w:tcPr>
          <w:p>
            <w:pPr>
              <w:ind w:left="540"/>
              <w:spacing w:after="0"/>
              <w:rPr>
                <w:sz w:val="20"/>
                <w:szCs w:val="20"/>
                <w:color w:val="auto"/>
              </w:rPr>
            </w:pPr>
            <w:r>
              <w:rPr>
                <w:rFonts w:ascii="Arial" w:cs="Arial" w:eastAsia="Arial" w:hAnsi="Arial"/>
                <w:sz w:val="18"/>
                <w:szCs w:val="18"/>
                <w:b w:val="1"/>
                <w:bCs w:val="1"/>
                <w:color w:val="auto"/>
              </w:rPr>
              <w:t>Title</w:t>
            </w:r>
          </w:p>
        </w:tc>
        <w:tc>
          <w:tcPr>
            <w:tcW w:w="11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Calculation</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to be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Maximum</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Aggregate</w:t>
            </w:r>
          </w:p>
        </w:tc>
        <w:tc>
          <w:tcPr>
            <w:tcW w:w="12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Registration Fee</w:t>
            </w:r>
          </w:p>
        </w:tc>
        <w:tc>
          <w:tcPr>
            <w:tcW w:w="0" w:type="dxa"/>
            <w:vAlign w:val="bottom"/>
          </w:tcPr>
          <w:p>
            <w:pPr>
              <w:spacing w:after="0"/>
              <w:rPr>
                <w:sz w:val="1"/>
                <w:szCs w:val="1"/>
                <w:color w:val="auto"/>
              </w:rPr>
            </w:pPr>
          </w:p>
        </w:tc>
      </w:tr>
      <w:tr>
        <w:trPr>
          <w:trHeight w:val="121"/>
        </w:trPr>
        <w:tc>
          <w:tcPr>
            <w:tcW w:w="1220" w:type="dxa"/>
            <w:vAlign w:val="bottom"/>
            <w:tcBorders>
              <w:left w:val="single" w:sz="8" w:color="auto"/>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8"/>
                <w:szCs w:val="18"/>
                <w:b w:val="1"/>
                <w:bCs w:val="1"/>
                <w:color w:val="auto"/>
              </w:rPr>
              <w:t>Rule</w:t>
            </w:r>
          </w:p>
        </w:tc>
        <w:tc>
          <w:tcPr>
            <w:tcW w:w="17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rPr>
              <w:t>Registered (1)</w:t>
            </w:r>
          </w:p>
        </w:tc>
        <w:tc>
          <w:tcPr>
            <w:tcW w:w="13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rPr>
              <w:t>Offering Price</w:t>
            </w:r>
          </w:p>
        </w:tc>
        <w:tc>
          <w:tcPr>
            <w:tcW w:w="1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rPr>
              <w:t>Offering Price</w:t>
            </w:r>
          </w:p>
        </w:tc>
        <w:tc>
          <w:tcPr>
            <w:tcW w:w="12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 Unit</w:t>
            </w:r>
          </w:p>
        </w:tc>
        <w:tc>
          <w:tcPr>
            <w:tcW w:w="150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220" w:type="dxa"/>
            <w:vAlign w:val="bottom"/>
            <w:tcBorders>
              <w:left w:val="single" w:sz="8" w:color="auto"/>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c>
          <w:tcPr>
            <w:tcW w:w="136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12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Equity</w:t>
            </w: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Class A common</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Rule 457(c)</w:t>
            </w:r>
          </w:p>
        </w:tc>
        <w:tc>
          <w:tcPr>
            <w:tcW w:w="1780" w:type="dxa"/>
            <w:vAlign w:val="bottom"/>
            <w:tcBorders>
              <w:right w:val="single" w:sz="8" w:color="auto"/>
            </w:tcBorders>
          </w:tcPr>
          <w:p>
            <w:pPr>
              <w:jc w:val="right"/>
              <w:ind w:right="556"/>
              <w:spacing w:after="0"/>
              <w:rPr>
                <w:sz w:val="20"/>
                <w:szCs w:val="20"/>
                <w:color w:val="auto"/>
              </w:rPr>
            </w:pPr>
            <w:r>
              <w:rPr>
                <w:rFonts w:ascii="Arial" w:cs="Arial" w:eastAsia="Arial" w:hAnsi="Arial"/>
                <w:sz w:val="18"/>
                <w:szCs w:val="18"/>
                <w:color w:val="auto"/>
              </w:rPr>
              <w:t>7,664,535 (2)</w:t>
            </w:r>
          </w:p>
        </w:tc>
        <w:tc>
          <w:tcPr>
            <w:tcW w:w="1360" w:type="dxa"/>
            <w:vAlign w:val="bottom"/>
            <w:tcBorders>
              <w:right w:val="single" w:sz="8" w:color="auto"/>
            </w:tcBorders>
          </w:tcPr>
          <w:p>
            <w:pPr>
              <w:jc w:val="right"/>
              <w:ind w:right="495"/>
              <w:spacing w:after="0"/>
              <w:rPr>
                <w:sz w:val="20"/>
                <w:szCs w:val="20"/>
                <w:color w:val="auto"/>
              </w:rPr>
            </w:pPr>
            <w:r>
              <w:rPr>
                <w:rFonts w:ascii="Arial" w:cs="Arial" w:eastAsia="Arial" w:hAnsi="Arial"/>
                <w:sz w:val="18"/>
                <w:szCs w:val="18"/>
                <w:color w:val="auto"/>
              </w:rPr>
              <w:t>$5.27 (3)</w:t>
            </w:r>
          </w:p>
        </w:tc>
        <w:tc>
          <w:tcPr>
            <w:tcW w:w="1500" w:type="dxa"/>
            <w:vAlign w:val="bottom"/>
            <w:tcBorders>
              <w:right w:val="single" w:sz="8" w:color="auto"/>
            </w:tcBorders>
          </w:tcPr>
          <w:p>
            <w:pPr>
              <w:jc w:val="right"/>
              <w:ind w:right="355"/>
              <w:spacing w:after="0"/>
              <w:rPr>
                <w:sz w:val="20"/>
                <w:szCs w:val="20"/>
                <w:color w:val="auto"/>
              </w:rPr>
            </w:pPr>
            <w:r>
              <w:rPr>
                <w:rFonts w:ascii="Arial" w:cs="Arial" w:eastAsia="Arial" w:hAnsi="Arial"/>
                <w:sz w:val="18"/>
                <w:szCs w:val="18"/>
                <w:color w:val="auto"/>
              </w:rPr>
              <w:t>$40,392,100</w:t>
            </w:r>
          </w:p>
        </w:tc>
        <w:tc>
          <w:tcPr>
            <w:tcW w:w="12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$92.70 per</w:t>
            </w: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stock, $0.001</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and Rule</w:t>
            </w:r>
          </w:p>
        </w:tc>
        <w:tc>
          <w:tcPr>
            <w:tcW w:w="17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$1,000,000</w:t>
            </w: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 value per</w:t>
            </w:r>
          </w:p>
        </w:tc>
        <w:tc>
          <w:tcPr>
            <w:tcW w:w="1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457(h)</w:t>
            </w:r>
          </w:p>
        </w:tc>
        <w:tc>
          <w:tcPr>
            <w:tcW w:w="17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w:t>
            </w:r>
          </w:p>
        </w:tc>
        <w:tc>
          <w:tcPr>
            <w:tcW w:w="11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Total Offering Amounts</w:t>
            </w:r>
          </w:p>
        </w:tc>
        <w:tc>
          <w:tcPr>
            <w:tcW w:w="114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right"/>
              <w:ind w:right="355"/>
              <w:spacing w:after="0"/>
              <w:rPr>
                <w:sz w:val="20"/>
                <w:szCs w:val="20"/>
                <w:color w:val="auto"/>
              </w:rPr>
            </w:pPr>
            <w:r>
              <w:rPr>
                <w:rFonts w:ascii="Arial" w:cs="Arial" w:eastAsia="Arial" w:hAnsi="Arial"/>
                <w:sz w:val="18"/>
                <w:szCs w:val="18"/>
                <w:color w:val="auto"/>
              </w:rPr>
              <w:t>$40,392,100</w:t>
            </w:r>
          </w:p>
        </w:tc>
        <w:tc>
          <w:tcPr>
            <w:tcW w:w="12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8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Total Fee Offsets (4)</w:t>
            </w:r>
          </w:p>
        </w:tc>
        <w:tc>
          <w:tcPr>
            <w:tcW w:w="114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Net Fee Due</w:t>
            </w: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0" w:right="160" w:hanging="364"/>
        <w:spacing w:after="0"/>
        <w:tabs>
          <w:tab w:leader="none" w:pos="560" w:val="left"/>
        </w:tabs>
        <w:numPr>
          <w:ilvl w:val="0"/>
          <w:numId w:val="1"/>
        </w:numPr>
        <w:rPr>
          <w:rFonts w:ascii="Arial" w:cs="Arial" w:eastAsia="Arial" w:hAnsi="Arial"/>
          <w:sz w:val="34"/>
          <w:szCs w:val="34"/>
          <w:color w:val="auto"/>
          <w:vertAlign w:val="subscript"/>
        </w:rPr>
      </w:pPr>
      <w:r>
        <w:rPr>
          <w:rFonts w:ascii="Arial" w:cs="Arial" w:eastAsia="Arial" w:hAnsi="Arial"/>
          <w:sz w:val="16"/>
          <w:szCs w:val="16"/>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113" w:lineRule="exact"/>
        <w:rPr>
          <w:rFonts w:ascii="Arial" w:cs="Arial" w:eastAsia="Arial" w:hAnsi="Arial"/>
          <w:sz w:val="34"/>
          <w:szCs w:val="34"/>
          <w:color w:val="auto"/>
          <w:vertAlign w:val="subscript"/>
        </w:rPr>
      </w:pPr>
    </w:p>
    <w:p>
      <w:pPr>
        <w:ind w:left="560" w:right="460" w:hanging="364"/>
        <w:spacing w:after="0" w:line="237" w:lineRule="auto"/>
        <w:tabs>
          <w:tab w:leader="none" w:pos="560" w:val="left"/>
        </w:tabs>
        <w:numPr>
          <w:ilvl w:val="0"/>
          <w:numId w:val="1"/>
        </w:numPr>
        <w:rPr>
          <w:rFonts w:ascii="Arial" w:cs="Arial" w:eastAsia="Arial" w:hAnsi="Arial"/>
          <w:sz w:val="20"/>
          <w:szCs w:val="20"/>
          <w:color w:val="auto"/>
        </w:rPr>
      </w:pPr>
      <w:r>
        <w:rPr>
          <w:rFonts w:ascii="Arial" w:cs="Arial" w:eastAsia="Arial" w:hAnsi="Arial"/>
          <w:sz w:val="18"/>
          <w:szCs w:val="18"/>
          <w:color w:val="auto"/>
        </w:rPr>
        <w:t>Consists of an additional 7,664,535 shares of Class A common stock that may become issuable under the Rent the Runway, Inc. 2021 Incentive Award Plan (the “2021 Plan”) pursuant to the terms of the 2021 Plan.</w:t>
      </w:r>
    </w:p>
    <w:p>
      <w:pPr>
        <w:spacing w:after="0" w:line="108" w:lineRule="exact"/>
        <w:rPr>
          <w:rFonts w:ascii="Arial" w:cs="Arial" w:eastAsia="Arial" w:hAnsi="Arial"/>
          <w:sz w:val="20"/>
          <w:szCs w:val="20"/>
          <w:color w:val="auto"/>
        </w:rPr>
      </w:pPr>
    </w:p>
    <w:p>
      <w:pPr>
        <w:ind w:left="560" w:right="200" w:hanging="364"/>
        <w:spacing w:after="0" w:line="242" w:lineRule="auto"/>
        <w:tabs>
          <w:tab w:leader="none" w:pos="560" w:val="left"/>
        </w:tabs>
        <w:numPr>
          <w:ilvl w:val="0"/>
          <w:numId w:val="1"/>
        </w:numPr>
        <w:rPr>
          <w:rFonts w:ascii="Arial" w:cs="Arial" w:eastAsia="Arial" w:hAnsi="Arial"/>
          <w:sz w:val="20"/>
          <w:szCs w:val="20"/>
          <w:color w:val="auto"/>
        </w:rPr>
      </w:pPr>
      <w:r>
        <w:rPr>
          <w:rFonts w:ascii="Arial" w:cs="Arial" w:eastAsia="Arial" w:hAnsi="Arial"/>
          <w:sz w:val="18"/>
          <w:szCs w:val="18"/>
          <w:color w:val="auto"/>
        </w:rPr>
        <w:t>Estimated solely for the purpose of calculating the registration fee pursuant to Rules 457(c) and 457(h) of the Securities Act of 1933, as amended, and based upon the average of the high and low prices of Rent the Runway, Inc.’s (the “Registrant”) Class A common stock as reported on The Nasdaq Stock Market LLC on April 11, 2022.</w:t>
      </w:r>
    </w:p>
    <w:p>
      <w:pPr>
        <w:spacing w:after="0" w:line="134" w:lineRule="exact"/>
        <w:rPr>
          <w:rFonts w:ascii="Arial" w:cs="Arial" w:eastAsia="Arial" w:hAnsi="Arial"/>
          <w:sz w:val="20"/>
          <w:szCs w:val="20"/>
          <w:color w:val="auto"/>
        </w:rPr>
      </w:pPr>
    </w:p>
    <w:p>
      <w:pPr>
        <w:ind w:left="560" w:hanging="364"/>
        <w:spacing w:after="0"/>
        <w:tabs>
          <w:tab w:leader="none" w:pos="560" w:val="left"/>
        </w:tabs>
        <w:numPr>
          <w:ilvl w:val="0"/>
          <w:numId w:val="1"/>
        </w:numPr>
        <w:rPr>
          <w:rFonts w:ascii="Arial" w:cs="Arial" w:eastAsia="Arial" w:hAnsi="Arial"/>
          <w:sz w:val="20"/>
          <w:szCs w:val="20"/>
          <w:color w:val="auto"/>
        </w:rPr>
      </w:pPr>
      <w:r>
        <w:rPr>
          <w:rFonts w:ascii="Arial" w:cs="Arial" w:eastAsia="Arial" w:hAnsi="Arial"/>
          <w:sz w:val="18"/>
          <w:szCs w:val="18"/>
          <w:color w:val="auto"/>
        </w:rPr>
        <w:t>The Registrant does not have any fee offsets.</w:t>
      </w:r>
    </w:p>
    <w:p>
      <w:pPr>
        <w:sectPr>
          <w:pgSz w:w="11900" w:h="16838" w:orient="portrait"/>
          <w:cols w:equalWidth="0" w:num="1">
            <w:col w:w="11260"/>
          </w:cols>
          <w:pgMar w:left="320" w:top="913"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3"/>
          <w:szCs w:val="13"/>
          <w:color w:val="auto"/>
        </w:rPr>
        <w:t>1271 Avenue of the Americas</w:t>
      </w:r>
    </w:p>
    <w:p>
      <w:pPr>
        <w:jc w:val="right"/>
        <w:spacing w:after="0" w:line="195" w:lineRule="auto"/>
        <w:rPr>
          <w:sz w:val="20"/>
          <w:szCs w:val="20"/>
          <w:color w:val="auto"/>
        </w:rPr>
      </w:pPr>
      <w:r>
        <w:rPr>
          <w:rFonts w:ascii="Arial" w:cs="Arial" w:eastAsia="Arial" w:hAnsi="Arial"/>
          <w:sz w:val="13"/>
          <w:szCs w:val="13"/>
          <w:color w:val="auto"/>
        </w:rPr>
        <w:t>New York, New York 10020-1401</w:t>
      </w:r>
    </w:p>
    <w:p>
      <w:pPr>
        <w:jc w:val="right"/>
        <w:spacing w:after="0" w:line="195" w:lineRule="auto"/>
        <w:rPr>
          <w:sz w:val="20"/>
          <w:szCs w:val="20"/>
          <w:color w:val="auto"/>
        </w:rPr>
      </w:pPr>
      <w:r>
        <w:rPr>
          <w:rFonts w:ascii="Arial" w:cs="Arial" w:eastAsia="Arial" w:hAnsi="Arial"/>
          <w:sz w:val="13"/>
          <w:szCs w:val="13"/>
          <w:color w:val="auto"/>
        </w:rPr>
        <w:t>Tel: +1.212.906.1200 Fax: +1.212.751.4864</w:t>
      </w:r>
    </w:p>
    <w:p>
      <w:pPr>
        <w:jc w:val="right"/>
        <w:spacing w:after="0"/>
        <w:rPr>
          <w:sz w:val="20"/>
          <w:szCs w:val="20"/>
          <w:color w:val="auto"/>
        </w:rPr>
      </w:pPr>
      <w:r>
        <w:rPr>
          <w:rFonts w:ascii="Arial" w:cs="Arial" w:eastAsia="Arial" w:hAnsi="Arial"/>
          <w:sz w:val="13"/>
          <w:szCs w:val="13"/>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72872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37287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April 14, 2022</w:t>
      </w:r>
    </w:p>
    <w:p>
      <w:pPr>
        <w:spacing w:after="0" w:line="24" w:lineRule="exact"/>
        <w:rPr>
          <w:sz w:val="20"/>
          <w:szCs w:val="20"/>
          <w:color w:val="auto"/>
        </w:rPr>
      </w:pPr>
    </w:p>
    <w:tbl>
      <w:tblPr>
        <w:tblLayout w:type="fixed"/>
        <w:tblInd w:w="6760" w:type="dxa"/>
        <w:tblCellMar>
          <w:top w:w="0" w:type="dxa"/>
          <w:left w:w="0" w:type="dxa"/>
          <w:bottom w:w="0" w:type="dxa"/>
          <w:right w:w="0" w:type="dxa"/>
        </w:tblCellMar>
      </w:tblPr>
      <w:tr>
        <w:trPr>
          <w:trHeight w:val="170"/>
        </w:trPr>
        <w:tc>
          <w:tcPr>
            <w:tcW w:w="156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Firm/Affiliate Offices</w:t>
            </w:r>
          </w:p>
        </w:tc>
      </w:tr>
      <w:tr>
        <w:trPr>
          <w:trHeight w:val="160"/>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93"/>
              </w:rPr>
              <w:t>Austin</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88"/>
              </w:rPr>
              <w:t>Moscow</w:t>
            </w:r>
          </w:p>
        </w:tc>
      </w:tr>
      <w:tr>
        <w:trPr>
          <w:trHeight w:val="175"/>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97"/>
              </w:rPr>
              <w:t>Beijing</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90"/>
              </w:rPr>
              <w:t>Munich</w:t>
            </w:r>
          </w:p>
        </w:tc>
      </w:tr>
      <w:tr>
        <w:trPr>
          <w:trHeight w:val="175"/>
        </w:trPr>
        <w:tc>
          <w:tcPr>
            <w:tcW w:w="1560" w:type="dxa"/>
            <w:vAlign w:val="bottom"/>
          </w:tcPr>
          <w:p>
            <w:pPr>
              <w:jc w:val="center"/>
              <w:ind w:left="617"/>
              <w:spacing w:after="0"/>
              <w:rPr>
                <w:sz w:val="20"/>
                <w:szCs w:val="20"/>
                <w:color w:val="auto"/>
              </w:rPr>
            </w:pPr>
            <w:r>
              <w:rPr>
                <w:rFonts w:ascii="Arial" w:cs="Arial" w:eastAsia="Arial" w:hAnsi="Arial"/>
                <w:sz w:val="13"/>
                <w:szCs w:val="13"/>
                <w:color w:val="auto"/>
                <w:w w:val="88"/>
              </w:rPr>
              <w:t>Boston</w:t>
            </w:r>
          </w:p>
        </w:tc>
        <w:tc>
          <w:tcPr>
            <w:tcW w:w="2920" w:type="dxa"/>
            <w:vAlign w:val="bottom"/>
          </w:tcPr>
          <w:p>
            <w:pPr>
              <w:jc w:val="center"/>
              <w:ind w:left="617"/>
              <w:spacing w:after="0"/>
              <w:rPr>
                <w:sz w:val="20"/>
                <w:szCs w:val="20"/>
                <w:color w:val="auto"/>
              </w:rPr>
            </w:pPr>
            <w:r>
              <w:rPr>
                <w:rFonts w:ascii="Arial" w:cs="Arial" w:eastAsia="Arial" w:hAnsi="Arial"/>
                <w:sz w:val="13"/>
                <w:szCs w:val="13"/>
                <w:color w:val="auto"/>
                <w:w w:val="92"/>
              </w:rPr>
              <w:t>New York</w:t>
            </w:r>
          </w:p>
        </w:tc>
      </w:tr>
      <w:tr>
        <w:trPr>
          <w:trHeight w:val="176"/>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4"/>
              </w:rPr>
              <w:t>Brussels</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88"/>
              </w:rPr>
              <w:t>Orange County</w:t>
            </w:r>
          </w:p>
        </w:tc>
      </w:tr>
      <w:tr>
        <w:trPr>
          <w:trHeight w:val="176"/>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92"/>
              </w:rPr>
              <w:t>Century City</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87"/>
              </w:rPr>
              <w:t>Paris</w:t>
            </w:r>
          </w:p>
        </w:tc>
      </w:tr>
      <w:tr>
        <w:trPr>
          <w:trHeight w:val="175"/>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7"/>
              </w:rPr>
              <w:t>Chicago</w:t>
            </w:r>
          </w:p>
        </w:tc>
        <w:tc>
          <w:tcPr>
            <w:tcW w:w="2920" w:type="dxa"/>
            <w:vAlign w:val="bottom"/>
          </w:tcPr>
          <w:p>
            <w:pPr>
              <w:jc w:val="center"/>
              <w:ind w:left="617"/>
              <w:spacing w:after="0"/>
              <w:rPr>
                <w:sz w:val="20"/>
                <w:szCs w:val="20"/>
                <w:color w:val="auto"/>
              </w:rPr>
            </w:pPr>
            <w:r>
              <w:rPr>
                <w:rFonts w:ascii="Arial" w:cs="Arial" w:eastAsia="Arial" w:hAnsi="Arial"/>
                <w:sz w:val="13"/>
                <w:szCs w:val="13"/>
                <w:color w:val="auto"/>
                <w:w w:val="88"/>
              </w:rPr>
              <w:t>Riyadh</w:t>
            </w:r>
          </w:p>
        </w:tc>
      </w:tr>
      <w:tr>
        <w:trPr>
          <w:trHeight w:val="176"/>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8"/>
              </w:rPr>
              <w:t>Dubai</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88"/>
              </w:rPr>
              <w:t>San Diego</w:t>
            </w:r>
          </w:p>
        </w:tc>
      </w:tr>
      <w:tr>
        <w:trPr>
          <w:trHeight w:val="175"/>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6"/>
              </w:rPr>
              <w:t>Düsseldorf</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84"/>
              </w:rPr>
              <w:t>San Francisco</w:t>
            </w:r>
          </w:p>
        </w:tc>
      </w:tr>
      <w:tr>
        <w:trPr>
          <w:trHeight w:val="176"/>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8"/>
              </w:rPr>
              <w:t>Frankfurt</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90"/>
              </w:rPr>
              <w:t>Seoul</w:t>
            </w:r>
          </w:p>
        </w:tc>
      </w:tr>
      <w:tr>
        <w:trPr>
          <w:trHeight w:val="176"/>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5"/>
              </w:rPr>
              <w:t>Hamburg</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83"/>
              </w:rPr>
              <w:t>Shanghai</w:t>
            </w:r>
          </w:p>
        </w:tc>
      </w:tr>
      <w:tr>
        <w:trPr>
          <w:trHeight w:val="175"/>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9"/>
              </w:rPr>
              <w:t>Hong Kong</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90"/>
              </w:rPr>
              <w:t>Silicon Valley</w:t>
            </w:r>
          </w:p>
        </w:tc>
      </w:tr>
      <w:tr>
        <w:trPr>
          <w:trHeight w:val="176"/>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6"/>
              </w:rPr>
              <w:t>Houston</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84"/>
              </w:rPr>
              <w:t>Singapore</w:t>
            </w:r>
          </w:p>
        </w:tc>
      </w:tr>
      <w:tr>
        <w:trPr>
          <w:trHeight w:val="175"/>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7"/>
              </w:rPr>
              <w:t>London</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90"/>
              </w:rPr>
              <w:t>Tel Aviv</w:t>
            </w:r>
          </w:p>
        </w:tc>
      </w:tr>
      <w:tr>
        <w:trPr>
          <w:trHeight w:val="176"/>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86"/>
              </w:rPr>
              <w:t>Los Angeles</w:t>
            </w:r>
          </w:p>
        </w:tc>
        <w:tc>
          <w:tcPr>
            <w:tcW w:w="2920" w:type="dxa"/>
            <w:vAlign w:val="bottom"/>
          </w:tcPr>
          <w:p>
            <w:pPr>
              <w:jc w:val="center"/>
              <w:ind w:left="617"/>
              <w:spacing w:after="0"/>
              <w:rPr>
                <w:sz w:val="20"/>
                <w:szCs w:val="20"/>
                <w:color w:val="auto"/>
              </w:rPr>
            </w:pPr>
            <w:r>
              <w:rPr>
                <w:rFonts w:ascii="Arial" w:cs="Arial" w:eastAsia="Arial" w:hAnsi="Arial"/>
                <w:sz w:val="13"/>
                <w:szCs w:val="13"/>
                <w:color w:val="auto"/>
                <w:w w:val="90"/>
              </w:rPr>
              <w:t>Tokyo</w:t>
            </w:r>
          </w:p>
        </w:tc>
      </w:tr>
      <w:tr>
        <w:trPr>
          <w:trHeight w:val="175"/>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95"/>
              </w:rPr>
              <w:t>Madrid</w:t>
            </w:r>
          </w:p>
        </w:tc>
        <w:tc>
          <w:tcPr>
            <w:tcW w:w="2920" w:type="dxa"/>
            <w:vAlign w:val="bottom"/>
          </w:tcPr>
          <w:p>
            <w:pPr>
              <w:jc w:val="center"/>
              <w:ind w:left="597"/>
              <w:spacing w:after="0"/>
              <w:rPr>
                <w:sz w:val="20"/>
                <w:szCs w:val="20"/>
                <w:color w:val="auto"/>
              </w:rPr>
            </w:pPr>
            <w:r>
              <w:rPr>
                <w:rFonts w:ascii="Arial" w:cs="Arial" w:eastAsia="Arial" w:hAnsi="Arial"/>
                <w:sz w:val="13"/>
                <w:szCs w:val="13"/>
                <w:color w:val="auto"/>
                <w:w w:val="88"/>
              </w:rPr>
              <w:t>Washington, D.C.</w:t>
            </w:r>
          </w:p>
        </w:tc>
      </w:tr>
      <w:tr>
        <w:trPr>
          <w:trHeight w:val="176"/>
        </w:trPr>
        <w:tc>
          <w:tcPr>
            <w:tcW w:w="1560" w:type="dxa"/>
            <w:vAlign w:val="bottom"/>
          </w:tcPr>
          <w:p>
            <w:pPr>
              <w:jc w:val="center"/>
              <w:ind w:left="597"/>
              <w:spacing w:after="0"/>
              <w:rPr>
                <w:sz w:val="20"/>
                <w:szCs w:val="20"/>
                <w:color w:val="auto"/>
              </w:rPr>
            </w:pPr>
            <w:r>
              <w:rPr>
                <w:rFonts w:ascii="Arial" w:cs="Arial" w:eastAsia="Arial" w:hAnsi="Arial"/>
                <w:sz w:val="13"/>
                <w:szCs w:val="13"/>
                <w:color w:val="auto"/>
                <w:w w:val="96"/>
              </w:rPr>
              <w:t>Milan</w:t>
            </w:r>
          </w:p>
        </w:tc>
        <w:tc>
          <w:tcPr>
            <w:tcW w:w="2920" w:type="dxa"/>
            <w:vAlign w:val="bottom"/>
          </w:tcPr>
          <w:p>
            <w:pPr>
              <w:spacing w:after="0"/>
              <w:rPr>
                <w:sz w:val="15"/>
                <w:szCs w:val="15"/>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April 14, 2022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Rent the Runway, Inc.</w:t>
      </w:r>
    </w:p>
    <w:p>
      <w:pPr>
        <w:spacing w:after="0" w:line="198" w:lineRule="auto"/>
        <w:rPr>
          <w:sz w:val="20"/>
          <w:szCs w:val="20"/>
          <w:color w:val="auto"/>
        </w:rPr>
      </w:pPr>
      <w:r>
        <w:rPr>
          <w:rFonts w:ascii="Arial" w:cs="Arial" w:eastAsia="Arial" w:hAnsi="Arial"/>
          <w:sz w:val="17"/>
          <w:szCs w:val="17"/>
          <w:color w:val="auto"/>
        </w:rPr>
        <w:t>10 Jay Street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Brooklyn, New York 11201</w:t>
      </w:r>
    </w:p>
    <w:p>
      <w:pPr>
        <w:spacing w:after="0" w:line="210" w:lineRule="exact"/>
        <w:rPr>
          <w:sz w:val="20"/>
          <w:szCs w:val="20"/>
          <w:color w:val="auto"/>
        </w:rPr>
      </w:pPr>
    </w:p>
    <w:p>
      <w:pPr>
        <w:ind w:left="1060" w:right="160" w:hanging="404"/>
        <w:spacing w:after="0" w:line="225" w:lineRule="auto"/>
        <w:tabs>
          <w:tab w:leader="none" w:pos="104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Registration Statement on Form S-8; 7,664,535 shares of Class A Common Stock, par value $0.001 per share, of Rent the Runway, Inc.</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To the addressee set forth above:</w:t>
      </w:r>
    </w:p>
    <w:p>
      <w:pPr>
        <w:spacing w:after="0" w:line="183" w:lineRule="exact"/>
        <w:rPr>
          <w:sz w:val="20"/>
          <w:szCs w:val="20"/>
          <w:color w:val="auto"/>
        </w:rPr>
      </w:pPr>
    </w:p>
    <w:p>
      <w:pPr>
        <w:ind w:right="200" w:firstLine="6"/>
        <w:spacing w:after="0" w:line="206" w:lineRule="auto"/>
        <w:rPr>
          <w:sz w:val="20"/>
          <w:szCs w:val="20"/>
          <w:color w:val="auto"/>
        </w:rPr>
      </w:pPr>
      <w:r>
        <w:rPr>
          <w:rFonts w:ascii="Arial" w:cs="Arial" w:eastAsia="Arial" w:hAnsi="Arial"/>
          <w:sz w:val="17"/>
          <w:szCs w:val="17"/>
          <w:color w:val="auto"/>
        </w:rPr>
        <w:t>We have acted as special counsel to Rent the Runway,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by the Company with the Securities and Exchange Commission of a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issuance of up to 7,664,535 shares of the Company’s Class A common stock, par value $0.001 per share (the “</w:t>
      </w:r>
      <w:r>
        <w:rPr>
          <w:rFonts w:ascii="Arial" w:cs="Arial" w:eastAsia="Arial" w:hAnsi="Arial"/>
          <w:sz w:val="17"/>
          <w:szCs w:val="17"/>
          <w:u w:val="single" w:color="auto"/>
          <w:color w:val="auto"/>
        </w:rPr>
        <w:t>Shares</w:t>
      </w:r>
      <w:r>
        <w:rPr>
          <w:rFonts w:ascii="Arial" w:cs="Arial" w:eastAsia="Arial" w:hAnsi="Arial"/>
          <w:sz w:val="17"/>
          <w:szCs w:val="17"/>
          <w:color w:val="auto"/>
        </w:rPr>
        <w:t>”), which may be issued pursuant to the Company’s Amended and Restated 2021 Incentive Award Plan (the “</w:t>
      </w:r>
      <w:r>
        <w:rPr>
          <w:rFonts w:ascii="Arial" w:cs="Arial" w:eastAsia="Arial" w:hAnsi="Arial"/>
          <w:sz w:val="17"/>
          <w:szCs w:val="17"/>
          <w:u w:val="single" w:color="auto"/>
          <w:color w:val="auto"/>
        </w:rPr>
        <w:t>Plan</w:t>
      </w:r>
      <w:r>
        <w:rPr>
          <w:rFonts w:ascii="Arial" w:cs="Arial" w:eastAsia="Arial" w:hAnsi="Arial"/>
          <w:sz w:val="17"/>
          <w:szCs w:val="17"/>
          <w:color w:val="auto"/>
        </w:rPr>
        <w:t>”). This opinion is being furnished in connection with the requirements of Item 601(b)(5) of Regulation S-K under the Securities Act, and no opinion is expressed herein as to any matter pertaining to the contents of the Registration Statement or the prospectus forming a part thereof, other than as expressly stated herein with respect to the issuance of the Shares.</w:t>
      </w:r>
    </w:p>
    <w:p>
      <w:pPr>
        <w:spacing w:after="0" w:line="176" w:lineRule="exact"/>
        <w:rPr>
          <w:sz w:val="20"/>
          <w:szCs w:val="20"/>
          <w:color w:val="auto"/>
        </w:rPr>
      </w:pPr>
    </w:p>
    <w:p>
      <w:pPr>
        <w:ind w:right="260" w:firstLine="6"/>
        <w:spacing w:after="0" w:line="212" w:lineRule="auto"/>
        <w:rPr>
          <w:sz w:val="20"/>
          <w:szCs w:val="20"/>
          <w:color w:val="auto"/>
        </w:rPr>
      </w:pPr>
      <w:r>
        <w:rPr>
          <w:rFonts w:ascii="Arial" w:cs="Arial" w:eastAsia="Arial" w:hAnsi="Arial"/>
          <w:sz w:val="17"/>
          <w:szCs w:val="17"/>
          <w:color w:val="auto"/>
        </w:rPr>
        <w:t>As such counsel, we have examined such matters of fact and questions of law as we have considered appropriate for purposes of this letter. With your consent, we have relied upon the foregoing and upon certificates and other assurances of officers of the Company and others as to factual matters without having independently verified such factual matters. We are opining herein only as to the General Corporation Law of the State of Delaware, as amended (the “</w:t>
      </w:r>
      <w:r>
        <w:rPr>
          <w:rFonts w:ascii="Arial" w:cs="Arial" w:eastAsia="Arial" w:hAnsi="Arial"/>
          <w:sz w:val="17"/>
          <w:szCs w:val="17"/>
          <w:u w:val="single" w:color="auto"/>
          <w:color w:val="auto"/>
        </w:rPr>
        <w:t>DCGL</w:t>
      </w:r>
      <w:r>
        <w:rPr>
          <w:rFonts w:ascii="Arial" w:cs="Arial" w:eastAsia="Arial" w:hAnsi="Arial"/>
          <w:sz w:val="17"/>
          <w:szCs w:val="17"/>
          <w:color w:val="auto"/>
        </w:rPr>
        <w:t>”), and we express no opinion with respect to any other laws.</w:t>
      </w:r>
    </w:p>
    <w:p>
      <w:pPr>
        <w:spacing w:after="0" w:line="173" w:lineRule="exact"/>
        <w:rPr>
          <w:sz w:val="20"/>
          <w:szCs w:val="20"/>
          <w:color w:val="auto"/>
        </w:rPr>
      </w:pPr>
    </w:p>
    <w:p>
      <w:pPr>
        <w:ind w:right="100" w:firstLine="6"/>
        <w:spacing w:after="0" w:line="205"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recipients thereof, and have been issued by the Company for legal consideration in excess of par value in the circumstances contemplated by the Plan, assuming that the individual grants or awards under the Plan are duly authorized by all necessary corporate action and duly granted or awarded and exercised in accordance with the requirements of law and the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76" w:lineRule="exact"/>
        <w:rPr>
          <w:sz w:val="20"/>
          <w:szCs w:val="20"/>
          <w:color w:val="auto"/>
        </w:rPr>
      </w:pPr>
    </w:p>
    <w:p>
      <w:pPr>
        <w:ind w:right="20" w:firstLine="6"/>
        <w:spacing w:after="0" w:line="212"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Securities Act. We consent to your filing this opinion as an exhibit to the Registration Statement. In giving such consent, we do not thereby admit that we are in the category of persons whose consent is required under Section 7 of the Securities Act or the rules and regulations of the Securities and Exchange Commission thereunder.</w:t>
      </w:r>
    </w:p>
    <w:p>
      <w:pPr>
        <w:spacing w:after="0" w:line="173"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/s/ Latham &amp; Watkins LLP</w:t>
      </w:r>
    </w:p>
    <w:p>
      <w:pPr>
        <w:sectPr>
          <w:pgSz w:w="11900" w:h="16838" w:orient="portrait"/>
          <w:cols w:equalWidth="0" w:num="1">
            <w:col w:w="11240"/>
          </w:cols>
          <w:pgMar w:left="320" w:top="92" w:right="339" w:bottom="1440" w:gutter="0" w:footer="0" w:header="0"/>
        </w:sectPr>
      </w:pPr>
    </w:p>
    <w:bookmarkStart w:id="7" w:name="page8"/>
    <w:bookmarkEnd w:id="7"/>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We hereby consent to the incorporation by reference in this Registration Statement on Form S-8 of Rent the Runway, Inc. of our report dated April 14, 2022 relating to the financial statements, which appears in Rent the Runway, Inc.’s Annual Report on Form 10-K for the year ended January 31,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9" w:lineRule="auto"/>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April 14, 2022</w:t>
      </w:r>
    </w:p>
    <w:sectPr>
      <w:pgSz w:w="11900" w:h="16838" w:orient="portrait"/>
      <w:cols w:equalWidth="0" w:num="1">
        <w:col w:w="10840"/>
      </w:cols>
      <w:pgMar w:left="320" w:top="918"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8" Type="http://schemas.openxmlformats.org/officeDocument/2006/relationships/hyperlink" Target="https://www.sec.gov/Archives/edgar/data/0001468327/000119312521311477/d212386ds8.htm" TargetMode="External"/><Relationship Id="rId11" Type="http://schemas.openxmlformats.org/officeDocument/2006/relationships/hyperlink" Target="https://www.sec.gov/Archives/edgar/data/0001468327/000119312521313321/d211519dex31.htm" TargetMode="External"/><Relationship Id="rId12" Type="http://schemas.openxmlformats.org/officeDocument/2006/relationships/hyperlink" Target="https://www.sec.gov/Archives/edgar/data/0001468327/000119312521313321/d211519dex32.htm" TargetMode="External"/><Relationship Id="rId13" Type="http://schemas.openxmlformats.org/officeDocument/2006/relationships/hyperlink" Target="https://www.sec.gov/Archives/edgar/data/1468327/000119312521301156/d194411dex109.htm" TargetMode="External"/><Relationship Id="rId14" Type="http://schemas.openxmlformats.org/officeDocument/2006/relationships/hyperlink" Target="https://www.sec.gov/Archives/edgar/data/1468327/000119312521301156/d194411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2022-04-14T15:22:23Z</dcterms:created>
  <dcterms:modified xsi:type="dcterms:W3CDTF">2022-04-14T15:22:23Z</dcterms:modified>
</cp:coreProperties>
</file>