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581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1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Hyman Jennifer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8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1,529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3,180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3,180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1,125,603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8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1,529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1,124,074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123,108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123,108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-2785745</wp:posOffset>
            </wp:positionV>
            <wp:extent cx="28575" cy="2790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790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were sold solely to cover taxes upon the vesting of restricted stock units on February 1, 2022, pursuant to a standing 10b5-1 instruction, resulting in the automatic conversion of the shares into Class A Common Stock upon the execution of the sale.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0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the contingent right to receive one share of the Issuer's Class B Common Stock. The RSUs vested as to 25% upon the Issuer's initial public offering with the remainder vesting in 16 substantially equal quarterly installments thereafter. The RSUs have no expiration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Cara Schembri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Jennifer Y. Hyman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2022-02-03T19:56:59Z</dcterms:created>
  <dcterms:modified xsi:type="dcterms:W3CDTF">2022-02-03T19:56:59Z</dcterms:modified>
</cp:coreProperties>
</file>