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3211195</wp:posOffset>
            </wp:positionH>
            <wp:positionV relativeFrom="paragraph">
              <wp:posOffset>81280</wp:posOffset>
            </wp:positionV>
            <wp:extent cx="72009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(Amendment No.     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3211195</wp:posOffset>
            </wp:positionH>
            <wp:positionV relativeFrom="paragraph">
              <wp:posOffset>100330</wp:posOffset>
            </wp:positionV>
            <wp:extent cx="72009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the Registrant  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              Filed by a Party other than the Registrant  </w:t>
      </w:r>
      <w:r>
        <w:rPr>
          <w:rFonts w:ascii="MS PGothic" w:cs="MS PGothic" w:eastAsia="MS PGothic" w:hAnsi="MS PGothic"/>
          <w:sz w:val="18"/>
          <w:szCs w:val="18"/>
          <w:color w:val="auto"/>
        </w:rPr>
        <w:t xml:space="preserve">  ☐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Rule 14a-12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RENT THE RUNWAY,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35560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3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281940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2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64770</wp:posOffset>
            </wp:positionV>
            <wp:extent cx="7132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158750</wp:posOffset>
            </wp:positionV>
            <wp:extent cx="7132320" cy="342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304800</wp:posOffset>
            </wp:positionV>
            <wp:extent cx="713232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1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9154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91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7268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726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2024-02-09T15:40:12Z</dcterms:created>
  <dcterms:modified xsi:type="dcterms:W3CDTF">2024-02-09T15:40:12Z</dcterms:modified>
</cp:coreProperties>
</file>