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151765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SCHEDULE 14A INFORMATION</w:t>
      </w:r>
    </w:p>
    <w:p>
      <w:pPr>
        <w:spacing w:after="0" w:line="13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of the Securities Exchange Act of 1934</w:t>
      </w:r>
    </w:p>
    <w:p>
      <w:pPr>
        <w:jc w:val="center"/>
        <w:ind w:right="-34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177800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63" w:lineRule="exact"/>
        <w:rPr>
          <w:sz w:val="24"/>
          <w:szCs w:val="24"/>
          <w:color w:val="auto"/>
        </w:rPr>
      </w:pPr>
    </w:p>
    <w:p>
      <w:pPr>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41" w:lineRule="exact"/>
        <w:rPr>
          <w:sz w:val="24"/>
          <w:szCs w:val="24"/>
          <w:color w:val="auto"/>
        </w:rPr>
      </w:pPr>
    </w:p>
    <w:p>
      <w:pPr>
        <w:jc w:val="center"/>
        <w:ind w:right="-340"/>
        <w:spacing w:after="0"/>
        <w:rPr>
          <w:sz w:val="20"/>
          <w:szCs w:val="20"/>
          <w:color w:val="auto"/>
        </w:rPr>
      </w:pPr>
      <w:r>
        <w:rPr>
          <w:rFonts w:ascii="Arial" w:cs="Arial" w:eastAsia="Arial" w:hAnsi="Arial"/>
          <w:sz w:val="43"/>
          <w:szCs w:val="43"/>
          <w:b w:val="1"/>
          <w:bCs w:val="1"/>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64770</wp:posOffset>
            </wp:positionV>
            <wp:extent cx="6035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18"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85"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69215</wp:posOffset>
            </wp:positionV>
            <wp:extent cx="6035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178"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39"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530860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307975</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367665</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6995160" cy="905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283210</wp:posOffset>
            </wp:positionV>
            <wp:extent cx="439737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973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11201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June 1,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85"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I am pleased to invite you to attend Rent the Runway, Inc.’s 2026 Annual Meeting of Stockholders (the “Annual Meeting”) to be held on Tuesday, July 14, 2026 at 8:30 a.m., Eastern Time. Our Annual Meeting will be a “virtual meeting” of stockholders, which will be conducted exclusively online via live webcast.</w:t>
      </w:r>
    </w:p>
    <w:p>
      <w:pPr>
        <w:spacing w:after="0" w:line="12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Details regarding how to attend the meeting and the business to be conducted at the Annual Meeting are more fully described in the Notice of Annual Meeting and Proxy Statement.</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Your vote is very important. Whether you plan to participate in the Annual Meeting or not, please be sure to vote. Voting instructions can be found on page </w:t>
      </w:r>
      <w:r>
        <w:rPr>
          <w:rFonts w:ascii="Arial" w:cs="Arial" w:eastAsia="Arial" w:hAnsi="Arial"/>
          <w:sz w:val="18"/>
          <w:szCs w:val="18"/>
          <w:u w:val="single" w:color="auto"/>
          <w:color w:val="0000EE"/>
        </w:rPr>
        <w:t>5</w:t>
      </w:r>
      <w:r>
        <w:rPr>
          <w:rFonts w:ascii="Arial" w:cs="Arial" w:eastAsia="Arial" w:hAnsi="Arial"/>
          <w:sz w:val="18"/>
          <w:szCs w:val="18"/>
          <w:color w:val="auto"/>
        </w:rPr>
        <w:t xml:space="preserve"> of the proxy statement.</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On behalf of the Board of Directors and the management team, thank you for your ongoing support of and continued interest in Rent the Runway.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160274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27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Dhiren Fonseca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rPr>
          <w:sz w:val="20"/>
          <w:szCs w:val="20"/>
          <w:color w:val="auto"/>
        </w:rPr>
      </w:pPr>
      <w:r>
        <w:rPr>
          <w:rFonts w:ascii="Arial" w:cs="Arial" w:eastAsia="Arial" w:hAnsi="Arial"/>
          <w:sz w:val="18"/>
          <w:szCs w:val="18"/>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109220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114" w:right="12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right="1940"/>
        <w:spacing w:after="0" w:line="294" w:lineRule="auto"/>
        <w:rPr>
          <w:sz w:val="20"/>
          <w:szCs w:val="20"/>
          <w:color w:val="auto"/>
        </w:rPr>
      </w:pPr>
      <w:r>
        <w:rPr>
          <w:rFonts w:ascii="Arial" w:cs="Arial" w:eastAsia="Arial" w:hAnsi="Arial"/>
          <w:sz w:val="64"/>
          <w:szCs w:val="64"/>
          <w:b w:val="1"/>
          <w:bCs w:val="1"/>
          <w:color w:val="auto"/>
        </w:rPr>
        <w:t>Notice of 2026 Annual Meeting of Stockholders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14,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8:30 a.m. Eastern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www.virtualshareholdermeeting.com/RENT2026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May 20, 2026</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w:t>
      </w:r>
    </w:p>
    <w:p>
      <w:pPr>
        <w:spacing w:after="0" w:line="185" w:lineRule="exact"/>
        <w:rPr>
          <w:sz w:val="20"/>
          <w:szCs w:val="20"/>
          <w:color w:val="auto"/>
        </w:rPr>
      </w:pPr>
    </w:p>
    <w:p>
      <w:pPr>
        <w:ind w:left="700" w:right="46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 Teri Bariquit and Daniel Rosensweig as Class II directors to serve until the 2029 Annual Meeting of Stockholders and until their respective successors shall have been duly elected and qualified;</w:t>
      </w:r>
    </w:p>
    <w:p>
      <w:pPr>
        <w:spacing w:after="0" w:line="113" w:lineRule="exact"/>
        <w:rPr>
          <w:rFonts w:ascii="Arial" w:cs="Arial" w:eastAsia="Arial" w:hAnsi="Arial"/>
          <w:sz w:val="18"/>
          <w:szCs w:val="18"/>
          <w:color w:val="auto"/>
        </w:rPr>
      </w:pPr>
    </w:p>
    <w:p>
      <w:pPr>
        <w:ind w:left="700" w:right="8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Ratify the appointment of PricewaterhouseCoopers LLP as our independent registered public accounting firm for the fiscal year ending January 31, 2027;</w:t>
      </w:r>
    </w:p>
    <w:p>
      <w:pPr>
        <w:spacing w:after="0" w:line="113" w:lineRule="exact"/>
        <w:rPr>
          <w:rFonts w:ascii="Arial" w:cs="Arial" w:eastAsia="Arial" w:hAnsi="Arial"/>
          <w:sz w:val="18"/>
          <w:szCs w:val="18"/>
          <w:color w:val="auto"/>
        </w:rPr>
      </w:pPr>
    </w:p>
    <w:p>
      <w:pPr>
        <w:ind w:left="700" w:right="100" w:hanging="348"/>
        <w:spacing w:after="0" w:line="24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our Twelfth Amended and Restated Certificate of Incorporation, as amended (the “Charter”) to eliminate the 50,000,000 authorized shares of Class B common stock, none of which are currently outstanding, in the form attached hereto as Annex B-1 (the “Class B Stock Elimination Proposal”);</w:t>
      </w:r>
    </w:p>
    <w:p>
      <w:pPr>
        <w:spacing w:after="0" w:line="146" w:lineRule="exact"/>
        <w:rPr>
          <w:rFonts w:ascii="Arial" w:cs="Arial" w:eastAsia="Arial" w:hAnsi="Arial"/>
          <w:sz w:val="18"/>
          <w:szCs w:val="18"/>
          <w:color w:val="auto"/>
        </w:rPr>
      </w:pPr>
    </w:p>
    <w:p>
      <w:pPr>
        <w:ind w:left="700" w:right="380" w:hanging="348"/>
        <w:spacing w:after="0" w:line="25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eliminate the 10,000,000 authorized shares of preferred stock, none of which are currently outstanding, in the form attached hereto as Annex B-2 (the “Preferred Stock Elimination Proposal”);</w:t>
      </w:r>
    </w:p>
    <w:p>
      <w:pPr>
        <w:spacing w:after="0" w:line="128" w:lineRule="exact"/>
        <w:rPr>
          <w:rFonts w:ascii="Arial" w:cs="Arial" w:eastAsia="Arial" w:hAnsi="Arial"/>
          <w:sz w:val="18"/>
          <w:szCs w:val="18"/>
          <w:color w:val="auto"/>
        </w:rPr>
      </w:pPr>
    </w:p>
    <w:p>
      <w:pPr>
        <w:ind w:left="700" w:right="30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eliminate supermajority voting provisions in the form attached hereto as Annex B-3 (the “Supermajority Voting Elimination Proposal”);</w:t>
      </w:r>
    </w:p>
    <w:p>
      <w:pPr>
        <w:spacing w:after="0" w:line="113" w:lineRule="exact"/>
        <w:rPr>
          <w:rFonts w:ascii="Arial" w:cs="Arial" w:eastAsia="Arial" w:hAnsi="Arial"/>
          <w:sz w:val="18"/>
          <w:szCs w:val="18"/>
          <w:color w:val="auto"/>
        </w:rPr>
      </w:pPr>
    </w:p>
    <w:p>
      <w:pPr>
        <w:ind w:left="70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implement quorum requirement for meetings of the Board of Directors in the form attached hereto as Annex B-4 (the “Board Quorum Proposal”);</w:t>
      </w:r>
    </w:p>
    <w:p>
      <w:pPr>
        <w:spacing w:after="0" w:line="126" w:lineRule="exact"/>
        <w:rPr>
          <w:rFonts w:ascii="Arial" w:cs="Arial" w:eastAsia="Arial" w:hAnsi="Arial"/>
          <w:sz w:val="18"/>
          <w:szCs w:val="18"/>
          <w:color w:val="auto"/>
        </w:rPr>
      </w:pPr>
    </w:p>
    <w:p>
      <w:pPr>
        <w:ind w:left="700" w:right="300" w:hanging="348"/>
        <w:spacing w:after="0" w:line="25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permit stockholders holding at least 40% of the voting power of all of the then-outstanding Common Stock to call special meetings of stockholders of the Company in the form attached hereto as Annex B-5 (the “Special Meeting Proposal”);</w:t>
      </w:r>
    </w:p>
    <w:p>
      <w:pPr>
        <w:spacing w:after="0" w:line="128" w:lineRule="exact"/>
        <w:rPr>
          <w:rFonts w:ascii="Arial" w:cs="Arial" w:eastAsia="Arial" w:hAnsi="Arial"/>
          <w:sz w:val="18"/>
          <w:szCs w:val="18"/>
          <w:color w:val="auto"/>
        </w:rPr>
      </w:pPr>
    </w:p>
    <w:p>
      <w:pPr>
        <w:ind w:left="700" w:right="44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eliminate the prohibition against stockholders acting by written consent in the form attached hereto as Annex B-6 (the “Written Consent Proposal”);</w:t>
      </w:r>
    </w:p>
    <w:p>
      <w:pPr>
        <w:spacing w:after="0" w:line="113" w:lineRule="exact"/>
        <w:rPr>
          <w:rFonts w:ascii="Arial" w:cs="Arial" w:eastAsia="Arial" w:hAnsi="Arial"/>
          <w:sz w:val="18"/>
          <w:szCs w:val="18"/>
          <w:color w:val="auto"/>
        </w:rPr>
      </w:pPr>
    </w:p>
    <w:p>
      <w:pPr>
        <w:ind w:left="700" w:right="20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limit liability of officers as permitted by law in the form attached hereto as Annex B-7 (the “Officer Exculpation Proposal”);</w:t>
      </w:r>
    </w:p>
    <w:p>
      <w:pPr>
        <w:spacing w:after="0" w:line="126" w:lineRule="exact"/>
        <w:rPr>
          <w:rFonts w:ascii="Arial" w:cs="Arial" w:eastAsia="Arial" w:hAnsi="Arial"/>
          <w:sz w:val="18"/>
          <w:szCs w:val="18"/>
          <w:color w:val="auto"/>
        </w:rPr>
      </w:pPr>
    </w:p>
    <w:p>
      <w:pPr>
        <w:ind w:left="700" w:right="140" w:hanging="348"/>
        <w:spacing w:after="0" w:line="25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provide for certain board designation rights and make certain other conforming changes consistent with the Investor Rights Agreement (as defined herein) in the form attached hereto as Annex B-8 (the “Board Designation Rights Proposal”);</w:t>
      </w:r>
    </w:p>
    <w:p>
      <w:pPr>
        <w:spacing w:after="0" w:line="128" w:lineRule="exact"/>
        <w:rPr>
          <w:rFonts w:ascii="Arial" w:cs="Arial" w:eastAsia="Arial" w:hAnsi="Arial"/>
          <w:sz w:val="18"/>
          <w:szCs w:val="18"/>
          <w:color w:val="auto"/>
        </w:rPr>
      </w:pPr>
    </w:p>
    <w:p>
      <w:pPr>
        <w:ind w:left="700" w:right="30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revise certain corporate opportunity provisions, including limiting the definition of “Exempt Person” to designated directors of STORY3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83820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200" w:top="114" w:right="1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Nexus rather than all directors, and eliminating the provision that no director shall be liable to the Company, its subsidiaries, or its stockholders for breach of any duty relating to compliance with such corporate opportunity provisions in the form attached hereto as Annex B-9 (the “Corporate Opportunity Proposal” and, along with the Class B Stock Elimination Proposal, the Preferred Stock Elimination Proposal, the Supermajority Voting Elimination Proposal, the Board Quorum Proposal, the Special Meeting Proposal, the Written Consent Proposal, the Officer Exculpation Proposal and the Board Designation Rights Proposal, the “Charter Amendment Proposals”);</w:t>
      </w:r>
    </w:p>
    <w:p>
      <w:pPr>
        <w:spacing w:after="0" w:line="144" w:lineRule="exact"/>
        <w:rPr>
          <w:sz w:val="20"/>
          <w:szCs w:val="20"/>
          <w:color w:val="auto"/>
        </w:rPr>
      </w:pPr>
    </w:p>
    <w:p>
      <w:pPr>
        <w:ind w:left="700" w:right="100" w:hanging="348"/>
        <w:spacing w:after="0" w:line="24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the First Amendment (the “First Amendment”) to the Second Amended and Restated 2021 Incentive Award Plan (the “2021 Plan” and as amended by the First Amendment, the “Amended Plan”) to increase the maximum number of shares of Class A common stock authorized for issuance under the 2021 Plan by 3,899,439 to 10,171,225 (the “Plan Amendment Proposal”); and</w:t>
      </w:r>
    </w:p>
    <w:p>
      <w:pPr>
        <w:spacing w:after="0" w:line="133" w:lineRule="exact"/>
        <w:rPr>
          <w:rFonts w:ascii="Arial" w:cs="Arial" w:eastAsia="Arial" w:hAnsi="Arial"/>
          <w:sz w:val="18"/>
          <w:szCs w:val="18"/>
          <w:color w:val="auto"/>
        </w:rPr>
      </w:pPr>
    </w:p>
    <w:p>
      <w:pPr>
        <w:ind w:left="700" w:hanging="348"/>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 any other business that may properly come before the Annual Meeting.</w:t>
      </w:r>
    </w:p>
    <w:p>
      <w:pPr>
        <w:spacing w:after="0" w:line="29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Holders of record of our outstanding shares of Class A common stock at the close of business on May 20, 2026, are entitled to notice of and to vote at the Annual Meeting. A complete list of these stockholders will be available for examination by any stockholder during the 10 days prior to the Annual Meeting for a purpose relevant to the meeting by sending an email to investors@renttherunway.com and stating the purpose of the request and providing proof of ownership of Rent the Runway stock. This list of stockholders will also be available on the bottom panel of your screen during the meeting after entering the 16-digit control number included on the Notice of Internet Availability of Proxy Materials or any proxy card that you received, or on the materials provided by your bank or broker. The Annual Meeting may be continued, adjourned or postponed from time to time without notice other than by announcement at the Annual Meeting.</w:t>
      </w:r>
    </w:p>
    <w:p>
      <w:pPr>
        <w:spacing w:after="0" w:line="143"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Your vote is important. Whether or not you plan to attend the Annual Meeting, we encourage you to read the accompanying proxy statement and to submit your proxy or voting instructions as soon as possible. Even if you have voted by proxy, you may still vote during the Annual Meeting. Please note, however, that if your shares are held of record by a broker, bank, trustee, or other nominee and you wish to vote during the Annual Meeting, you must follow the instructions from such broker, bank, trustee,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107124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124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Cara Schembri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Legal &amp; Administrative Officer</w:t>
      </w:r>
    </w:p>
    <w:p>
      <w:pPr>
        <w:spacing w:after="0"/>
        <w:rPr>
          <w:sz w:val="20"/>
          <w:szCs w:val="20"/>
          <w:color w:val="auto"/>
        </w:rPr>
      </w:pPr>
      <w:r>
        <w:rPr>
          <w:rFonts w:ascii="Arial" w:cs="Arial" w:eastAsia="Arial" w:hAnsi="Arial"/>
          <w:sz w:val="18"/>
          <w:szCs w:val="18"/>
          <w:color w:val="auto"/>
        </w:rPr>
        <w:t>June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2026 Annual Meeting of Stockholders to be Held on July 14, 2026: </w:t>
      </w:r>
      <w:r>
        <w:rPr>
          <w:rFonts w:ascii="Arial" w:cs="Arial" w:eastAsia="Arial" w:hAnsi="Arial"/>
          <w:sz w:val="18"/>
          <w:szCs w:val="18"/>
          <w:color w:val="auto"/>
        </w:rPr>
        <w:t>The proxy statement and the annual report to stockholders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93345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114" w:right="1219" w:bottom="1440" w:gutter="0" w:footer="0" w:header="0"/>
        </w:sectPr>
      </w:pPr>
    </w:p>
    <w:bookmarkStart w:id="5" w:name="page6"/>
    <w:bookmarkEnd w:id="5"/>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Table of Contents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Proxy Overview</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w:t>
            </w:r>
          </w:p>
        </w:tc>
        <w:tc>
          <w:tcPr>
            <w:tcW w:w="760" w:type="dxa"/>
            <w:vAlign w:val="bottom"/>
          </w:tcPr>
          <w:p>
            <w:pPr>
              <w:spacing w:after="0"/>
              <w:rPr>
                <w:sz w:val="14"/>
                <w:szCs w:val="14"/>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About Rent the Runway</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Fiscal Year 2025 Business Highlights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Corporate Governance</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Voting and Meeting Information</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The Board and Corporate Governance</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Recapitalization Transactions &amp; Recent Events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Board Leadership Structure</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Board Diversity</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Board Oversight of Risk</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Board Meetings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Board Committees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Code of Conduct</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Compensation Committee Interlocks and Insider Participation</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Director Nomination Process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Investor Rights Agreement</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Communications with the Board</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2"/>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Policy for Recovery of Erroneously Awarded Compensation</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Insider Trading Policy</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Director Compensation</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17</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Proposal No. 1 – Election of Directors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Information About Board Nominees and Continuing Directors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Nominees to Our Board of Directors - Class II Directors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Class III Director Whose Term Expires at the 2027 Annual Meeting</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Class I Directors Whose Terms Expire at the 2028 Annual Meeting</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Audit Committee Report</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Proposal No. 2 – Ratification of the Appointment of Independent Registered Public Accounting Firm</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100" w:type="dxa"/>
            <w:vAlign w:val="bottom"/>
            <w:tcBorders>
              <w:top w:val="single" w:sz="8" w:color="0000EE"/>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Fees and Services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7"/>
          </w:tcPr>
          <w:p>
            <w:pPr>
              <w:spacing w:after="0"/>
              <w:rPr>
                <w:sz w:val="20"/>
                <w:szCs w:val="20"/>
                <w:color w:val="auto"/>
              </w:rPr>
            </w:pPr>
            <w:r>
              <w:rPr>
                <w:rFonts w:ascii="Arial" w:cs="Arial" w:eastAsia="Arial" w:hAnsi="Arial"/>
                <w:sz w:val="14"/>
                <w:szCs w:val="14"/>
                <w:color w:val="0000EE"/>
              </w:rPr>
              <w:t>Pre-Approval Policies and Procedures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Introduction to Proposals 3 through 11</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Proposal No. 3 – The Class B Stock Elimination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27</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Proposal No. 4 – The Preferred Stock Elimination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28</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Proposal No. 5 – The Supermajority Voting Elimination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29</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Proposal No. 6 – The Board Quorum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Proposal No. 7 – The Special Meeting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Proposal No. 8 – The Written Consent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2"/>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Proposal No. 9 – The Officer Exculpation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Proposal No. 10 – The Board Designation Rights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Proposal No. 11 – The Corporate Opportunity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Proposal No. 12 – The Plan Amendment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Executive Officers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45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2"/>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8"/>
          </w:tcPr>
          <w:p>
            <w:pPr>
              <w:spacing w:after="0"/>
              <w:rPr>
                <w:sz w:val="20"/>
                <w:szCs w:val="20"/>
                <w:color w:val="auto"/>
              </w:rPr>
            </w:pPr>
            <w:r>
              <w:rPr>
                <w:rFonts w:ascii="Arial" w:cs="Arial" w:eastAsia="Arial" w:hAnsi="Arial"/>
                <w:sz w:val="14"/>
                <w:szCs w:val="14"/>
                <w:color w:val="0000EE"/>
              </w:rPr>
              <w:t>Executive Compensation</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47</w:t>
            </w:r>
          </w:p>
        </w:tc>
        <w:tc>
          <w:tcPr>
            <w:tcW w:w="760" w:type="dxa"/>
            <w:vAlign w:val="bottom"/>
          </w:tcPr>
          <w:p>
            <w:pPr>
              <w:spacing w:after="0"/>
              <w:rPr>
                <w:sz w:val="15"/>
                <w:szCs w:val="15"/>
                <w:color w:val="auto"/>
              </w:rPr>
            </w:pPr>
          </w:p>
        </w:tc>
      </w:tr>
      <w:tr>
        <w:trPr>
          <w:trHeight w:val="48"/>
        </w:trPr>
        <w:tc>
          <w:tcPr>
            <w:tcW w:w="7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82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r>
      <w:tr>
        <w:trPr>
          <w:trHeight w:val="190"/>
        </w:trPr>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bl>
    <w:p>
      <w:pPr>
        <w:sectPr>
          <w:pgSz w:w="11900" w:h="16838" w:orient="portrait"/>
          <w:cols w:equalWidth="0" w:num="1">
            <w:col w:w="11020"/>
          </w:cols>
          <w:pgMar w:left="440" w:top="114" w:right="4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5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560" w:type="dxa"/>
            <w:vAlign w:val="bottom"/>
            <w:gridSpan w:val="9"/>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99"/>
        </w:trPr>
        <w:tc>
          <w:tcPr>
            <w:tcW w:w="760" w:type="dxa"/>
            <w:vAlign w:val="bottom"/>
          </w:tcPr>
          <w:p>
            <w:pPr>
              <w:spacing w:after="0"/>
              <w:rPr>
                <w:sz w:val="24"/>
                <w:szCs w:val="24"/>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Summary Compensation Table</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47</w:t>
            </w:r>
          </w:p>
        </w:tc>
        <w:tc>
          <w:tcPr>
            <w:tcW w:w="760" w:type="dxa"/>
            <w:vAlign w:val="bottom"/>
          </w:tcPr>
          <w:p>
            <w:pPr>
              <w:spacing w:after="0"/>
              <w:rPr>
                <w:sz w:val="24"/>
                <w:szCs w:val="24"/>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Equity Compensation Plan Information</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54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Certain Relationships and Related Person Transactions</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55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080" w:type="dxa"/>
            <w:vAlign w:val="bottom"/>
            <w:tcBorders>
              <w:top w:val="single" w:sz="8" w:color="0000EE"/>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Security Ownership of Certain Beneficial Owners, Directors, and Management</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57</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080" w:type="dxa"/>
            <w:vAlign w:val="bottom"/>
            <w:tcBorders>
              <w:top w:val="single" w:sz="8" w:color="0000EE"/>
              <w:bottom w:val="single" w:sz="8" w:color="auto"/>
            </w:tcBorders>
          </w:tcPr>
          <w:p>
            <w:pPr>
              <w:spacing w:after="0"/>
              <w:rPr>
                <w:sz w:val="2"/>
                <w:szCs w:val="2"/>
                <w:color w:val="auto"/>
              </w:rPr>
            </w:pPr>
          </w:p>
        </w:tc>
        <w:tc>
          <w:tcPr>
            <w:tcW w:w="1420" w:type="dxa"/>
            <w:vAlign w:val="bottom"/>
            <w:tcBorders>
              <w:top w:val="single" w:sz="8" w:color="0000EE"/>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gridSpan w:val="15"/>
          </w:tcPr>
          <w:p>
            <w:pPr>
              <w:ind w:left="180"/>
              <w:spacing w:after="0"/>
              <w:rPr>
                <w:sz w:val="20"/>
                <w:szCs w:val="20"/>
                <w:color w:val="auto"/>
              </w:rPr>
            </w:pPr>
            <w:r>
              <w:rPr>
                <w:rFonts w:ascii="Arial" w:cs="Arial" w:eastAsia="Arial" w:hAnsi="Arial"/>
                <w:sz w:val="14"/>
                <w:szCs w:val="14"/>
                <w:color w:val="0000EE"/>
              </w:rPr>
              <w:t>Delinquent Section 16(a) Reports</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59</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Additional Information</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60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gridSpan w:val="15"/>
          </w:tcPr>
          <w:p>
            <w:pPr>
              <w:ind w:left="180"/>
              <w:spacing w:after="0"/>
              <w:rPr>
                <w:sz w:val="20"/>
                <w:szCs w:val="20"/>
                <w:color w:val="auto"/>
              </w:rPr>
            </w:pPr>
            <w:r>
              <w:rPr>
                <w:rFonts w:ascii="Arial" w:cs="Arial" w:eastAsia="Arial" w:hAnsi="Arial"/>
                <w:sz w:val="14"/>
                <w:szCs w:val="14"/>
                <w:color w:val="0000EE"/>
              </w:rPr>
              <w:t>Stockholder Proposals</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60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gridSpan w:val="15"/>
          </w:tcPr>
          <w:p>
            <w:pPr>
              <w:ind w:left="180"/>
              <w:spacing w:after="0"/>
              <w:rPr>
                <w:sz w:val="20"/>
                <w:szCs w:val="20"/>
                <w:color w:val="auto"/>
              </w:rPr>
            </w:pPr>
            <w:r>
              <w:rPr>
                <w:rFonts w:ascii="Arial" w:cs="Arial" w:eastAsia="Arial" w:hAnsi="Arial"/>
                <w:sz w:val="14"/>
                <w:szCs w:val="14"/>
                <w:color w:val="0000EE"/>
              </w:rPr>
              <w:t>Information Requests</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60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gridSpan w:val="15"/>
          </w:tcPr>
          <w:p>
            <w:pPr>
              <w:ind w:left="180"/>
              <w:spacing w:after="0"/>
              <w:rPr>
                <w:sz w:val="20"/>
                <w:szCs w:val="20"/>
                <w:color w:val="auto"/>
              </w:rPr>
            </w:pPr>
            <w:r>
              <w:rPr>
                <w:rFonts w:ascii="Arial" w:cs="Arial" w:eastAsia="Arial" w:hAnsi="Arial"/>
                <w:sz w:val="14"/>
                <w:szCs w:val="14"/>
                <w:color w:val="0000EE"/>
              </w:rPr>
              <w:t>Other Business</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60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gridSpan w:val="15"/>
          </w:tcPr>
          <w:p>
            <w:pPr>
              <w:ind w:left="180"/>
              <w:spacing w:after="0"/>
              <w:rPr>
                <w:sz w:val="20"/>
                <w:szCs w:val="20"/>
                <w:color w:val="auto"/>
              </w:rPr>
            </w:pPr>
            <w:r>
              <w:rPr>
                <w:rFonts w:ascii="Arial" w:cs="Arial" w:eastAsia="Arial" w:hAnsi="Arial"/>
                <w:sz w:val="14"/>
                <w:szCs w:val="14"/>
                <w:color w:val="0000EE"/>
              </w:rPr>
              <w:t>Forward-Looking Statements</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61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A</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A-1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B-1</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B-2</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B-3</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B-4</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B-5</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B-6</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B-7</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B-7</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B-8</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B-8</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B-9</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B-9</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B-10</w:t>
            </w:r>
          </w:p>
        </w:tc>
        <w:tc>
          <w:tcPr>
            <w:tcW w:w="1980" w:type="dxa"/>
            <w:vAlign w:val="bottom"/>
          </w:tcPr>
          <w:p>
            <w:pPr>
              <w:spacing w:after="0"/>
              <w:rPr>
                <w:sz w:val="15"/>
                <w:szCs w:val="15"/>
                <w:color w:val="auto"/>
              </w:rPr>
            </w:pPr>
          </w:p>
        </w:tc>
        <w:tc>
          <w:tcPr>
            <w:tcW w:w="420" w:type="dxa"/>
            <w:vAlign w:val="bottom"/>
            <w:gridSpan w:val="4"/>
          </w:tcPr>
          <w:p>
            <w:pPr>
              <w:jc w:val="right"/>
              <w:ind w:right="120"/>
              <w:spacing w:after="0"/>
              <w:rPr>
                <w:sz w:val="20"/>
                <w:szCs w:val="20"/>
                <w:color w:val="auto"/>
              </w:rPr>
            </w:pPr>
            <w:r>
              <w:rPr>
                <w:rFonts w:ascii="Arial" w:cs="Arial" w:eastAsia="Arial" w:hAnsi="Arial"/>
                <w:sz w:val="14"/>
                <w:szCs w:val="14"/>
                <w:color w:val="0000EE"/>
                <w:w w:val="94"/>
              </w:rPr>
              <w:t>B-10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C-1</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88"/>
              </w:rPr>
              <w:t>C-1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C-2</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C-16</w:t>
            </w:r>
          </w:p>
        </w:tc>
        <w:tc>
          <w:tcPr>
            <w:tcW w:w="760" w:type="dxa"/>
            <w:vAlign w:val="bottom"/>
          </w:tcPr>
          <w:p>
            <w:pPr>
              <w:spacing w:after="0"/>
              <w:rPr>
                <w:sz w:val="15"/>
                <w:szCs w:val="15"/>
                <w:color w:val="auto"/>
              </w:rPr>
            </w:pPr>
          </w:p>
        </w:tc>
      </w:tr>
      <w:tr>
        <w:trPr>
          <w:trHeight w:val="48"/>
        </w:trPr>
        <w:tc>
          <w:tcPr>
            <w:tcW w:w="7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r>
      <w:tr>
        <w:trPr>
          <w:trHeight w:val="176"/>
        </w:trPr>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Proxy Overview</w:t>
      </w:r>
    </w:p>
    <w:p>
      <w:pPr>
        <w:spacing w:after="0" w:line="212"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This overview does not contain all of the information that you should consider, and you should read the entire Proxy Statement carefully before voting.</w:t>
      </w:r>
    </w:p>
    <w:p>
      <w:pPr>
        <w:spacing w:after="0" w:line="127"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References in this Proxy Statement to (i) “we,” “us,” “our,” “ours,” “RTR,” “Rent the Runway” and the “Company” refer to Rent the Runway, Inc. and its subsidiary and (ii) “stockholders” refers to holders of our Class A common stock.</w:t>
      </w:r>
    </w:p>
    <w:p>
      <w:pPr>
        <w:spacing w:after="0" w:line="113" w:lineRule="exact"/>
        <w:rPr>
          <w:sz w:val="20"/>
          <w:szCs w:val="20"/>
          <w:color w:val="auto"/>
        </w:rPr>
      </w:pPr>
    </w:p>
    <w:p>
      <w:pPr>
        <w:ind w:left="20" w:right="40"/>
        <w:spacing w:after="0" w:line="238" w:lineRule="auto"/>
        <w:rPr>
          <w:sz w:val="20"/>
          <w:szCs w:val="20"/>
          <w:color w:val="auto"/>
        </w:rPr>
      </w:pPr>
      <w:r>
        <w:rPr>
          <w:rFonts w:ascii="Arial" w:cs="Arial" w:eastAsia="Arial" w:hAnsi="Arial"/>
          <w:sz w:val="18"/>
          <w:szCs w:val="18"/>
          <w:color w:val="auto"/>
        </w:rPr>
        <w:t>This proxy statement and the Company’s Annual Report to Stockholders for the fiscal year ended January 31, 2026 (the “2025 Annual Report”) will be released on or about June 1, 2026 to our stockholders on the Record Date. On the same date, we will initiate mailing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If you received printed copies of our proxy materials, then instructions regarding how you can vote are contained on the proxy card included in the materials.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Date: </w:t>
      </w:r>
      <w:r>
        <w:rPr>
          <w:rFonts w:ascii="Arial" w:cs="Arial" w:eastAsia="Arial" w:hAnsi="Arial"/>
          <w:sz w:val="18"/>
          <w:szCs w:val="18"/>
          <w:color w:val="auto"/>
        </w:rPr>
        <w:t>July 14, 2026</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May 20, 2026</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Time: </w:t>
      </w:r>
      <w:r>
        <w:rPr>
          <w:rFonts w:ascii="Arial" w:cs="Arial" w:eastAsia="Arial" w:hAnsi="Arial"/>
          <w:sz w:val="18"/>
          <w:szCs w:val="18"/>
          <w:color w:val="auto"/>
        </w:rPr>
        <w:t>8:30 a.m. Eastern Time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Virtual Meeting Only: </w:t>
      </w:r>
      <w:r>
        <w:rPr>
          <w:rFonts w:ascii="Arial" w:cs="Arial" w:eastAsia="Arial" w:hAnsi="Arial"/>
          <w:sz w:val="18"/>
          <w:szCs w:val="18"/>
          <w:color w:val="auto"/>
        </w:rPr>
        <w:t>www.virtualshareholdermeeting.com/RENT2026</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Agenda:</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1120" w:type="dxa"/>
            <w:vAlign w:val="bottom"/>
            <w:shd w:val="clear" w:color="auto" w:fill="FFE8F5"/>
          </w:tcPr>
          <w:p>
            <w:pPr>
              <w:spacing w:after="0"/>
              <w:rPr>
                <w:sz w:val="24"/>
                <w:szCs w:val="24"/>
                <w:color w:val="auto"/>
              </w:rPr>
            </w:pPr>
          </w:p>
        </w:tc>
        <w:tc>
          <w:tcPr>
            <w:tcW w:w="4800" w:type="dxa"/>
            <w:vAlign w:val="bottom"/>
            <w:shd w:val="clear" w:color="auto" w:fill="FFE8F5"/>
          </w:tcPr>
          <w:p>
            <w:pPr>
              <w:ind w:left="280"/>
              <w:spacing w:after="0"/>
              <w:rPr>
                <w:sz w:val="20"/>
                <w:szCs w:val="20"/>
                <w:color w:val="auto"/>
              </w:rPr>
            </w:pPr>
            <w:r>
              <w:rPr>
                <w:rFonts w:ascii="Arial" w:cs="Arial" w:eastAsia="Arial" w:hAnsi="Arial"/>
                <w:sz w:val="14"/>
                <w:szCs w:val="14"/>
                <w:b w:val="1"/>
                <w:bCs w:val="1"/>
                <w:color w:val="auto"/>
              </w:rPr>
              <w:t>Proposal</w:t>
            </w:r>
          </w:p>
        </w:tc>
        <w:tc>
          <w:tcPr>
            <w:tcW w:w="2160" w:type="dxa"/>
            <w:vAlign w:val="bottom"/>
            <w:shd w:val="clear" w:color="auto" w:fill="FFE8F5"/>
          </w:tcPr>
          <w:p>
            <w:pPr>
              <w:ind w:left="140"/>
              <w:spacing w:after="0"/>
              <w:rPr>
                <w:sz w:val="20"/>
                <w:szCs w:val="20"/>
                <w:color w:val="auto"/>
              </w:rPr>
            </w:pPr>
            <w:r>
              <w:rPr>
                <w:rFonts w:ascii="Arial" w:cs="Arial" w:eastAsia="Arial" w:hAnsi="Arial"/>
                <w:sz w:val="14"/>
                <w:szCs w:val="14"/>
                <w:b w:val="1"/>
                <w:bCs w:val="1"/>
                <w:color w:val="auto"/>
              </w:rPr>
              <w:t>Board Recommendation</w:t>
            </w:r>
          </w:p>
        </w:tc>
        <w:tc>
          <w:tcPr>
            <w:tcW w:w="1420" w:type="dxa"/>
            <w:vAlign w:val="bottom"/>
            <w:gridSpan w:val="2"/>
            <w:shd w:val="clear" w:color="auto" w:fill="FFE8F5"/>
          </w:tcPr>
          <w:p>
            <w:pPr>
              <w:spacing w:after="0"/>
              <w:rPr>
                <w:sz w:val="20"/>
                <w:szCs w:val="20"/>
                <w:color w:val="auto"/>
              </w:rPr>
            </w:pPr>
            <w:r>
              <w:rPr>
                <w:rFonts w:ascii="Arial" w:cs="Arial" w:eastAsia="Arial" w:hAnsi="Arial"/>
                <w:sz w:val="14"/>
                <w:szCs w:val="14"/>
                <w:b w:val="1"/>
                <w:bCs w:val="1"/>
                <w:color w:val="auto"/>
              </w:rPr>
              <w:t>Reference Page</w:t>
            </w:r>
          </w:p>
        </w:tc>
      </w:tr>
      <w:tr>
        <w:trPr>
          <w:trHeight w:val="70"/>
        </w:trPr>
        <w:tc>
          <w:tcPr>
            <w:tcW w:w="1120" w:type="dxa"/>
            <w:vAlign w:val="bottom"/>
            <w:tcBorders>
              <w:bottom w:val="single" w:sz="8" w:color="auto"/>
            </w:tcBorders>
            <w:shd w:val="clear" w:color="auto" w:fill="FFE8F5"/>
          </w:tcPr>
          <w:p>
            <w:pPr>
              <w:spacing w:after="0"/>
              <w:rPr>
                <w:sz w:val="6"/>
                <w:szCs w:val="6"/>
                <w:color w:val="auto"/>
              </w:rPr>
            </w:pPr>
          </w:p>
        </w:tc>
        <w:tc>
          <w:tcPr>
            <w:tcW w:w="4800" w:type="dxa"/>
            <w:vAlign w:val="bottom"/>
            <w:tcBorders>
              <w:bottom w:val="single" w:sz="8" w:color="auto"/>
            </w:tcBorders>
            <w:shd w:val="clear" w:color="auto" w:fill="FFE8F5"/>
          </w:tcPr>
          <w:p>
            <w:pPr>
              <w:spacing w:after="0"/>
              <w:rPr>
                <w:sz w:val="6"/>
                <w:szCs w:val="6"/>
                <w:color w:val="auto"/>
              </w:rPr>
            </w:pPr>
          </w:p>
        </w:tc>
        <w:tc>
          <w:tcPr>
            <w:tcW w:w="2160" w:type="dxa"/>
            <w:vAlign w:val="bottom"/>
            <w:tcBorders>
              <w:bottom w:val="single" w:sz="8" w:color="auto"/>
            </w:tcBorders>
            <w:shd w:val="clear" w:color="auto" w:fill="FFE8F5"/>
          </w:tcPr>
          <w:p>
            <w:pPr>
              <w:spacing w:after="0"/>
              <w:rPr>
                <w:sz w:val="6"/>
                <w:szCs w:val="6"/>
                <w:color w:val="auto"/>
              </w:rPr>
            </w:pPr>
          </w:p>
        </w:tc>
        <w:tc>
          <w:tcPr>
            <w:tcW w:w="160" w:type="dxa"/>
            <w:vAlign w:val="bottom"/>
            <w:tcBorders>
              <w:bottom w:val="single" w:sz="8" w:color="auto"/>
            </w:tcBorders>
            <w:shd w:val="clear" w:color="auto" w:fill="FFE8F5"/>
          </w:tcPr>
          <w:p>
            <w:pPr>
              <w:spacing w:after="0"/>
              <w:rPr>
                <w:sz w:val="6"/>
                <w:szCs w:val="6"/>
                <w:color w:val="auto"/>
              </w:rPr>
            </w:pPr>
          </w:p>
        </w:tc>
        <w:tc>
          <w:tcPr>
            <w:tcW w:w="1260" w:type="dxa"/>
            <w:vAlign w:val="bottom"/>
            <w:tcBorders>
              <w:bottom w:val="single" w:sz="8" w:color="auto"/>
            </w:tcBorders>
            <w:shd w:val="clear" w:color="auto" w:fill="FFE8F5"/>
          </w:tcPr>
          <w:p>
            <w:pPr>
              <w:spacing w:after="0"/>
              <w:rPr>
                <w:sz w:val="6"/>
                <w:szCs w:val="6"/>
                <w:color w:val="auto"/>
              </w:rPr>
            </w:pPr>
          </w:p>
        </w:tc>
      </w:tr>
      <w:tr>
        <w:trPr>
          <w:trHeight w:val="236"/>
        </w:trPr>
        <w:tc>
          <w:tcPr>
            <w:tcW w:w="1120" w:type="dxa"/>
            <w:vAlign w:val="bottom"/>
          </w:tcPr>
          <w:p>
            <w:pPr>
              <w:ind w:left="160"/>
              <w:spacing w:after="0"/>
              <w:rPr>
                <w:sz w:val="20"/>
                <w:szCs w:val="20"/>
                <w:color w:val="auto"/>
              </w:rPr>
            </w:pPr>
            <w:r>
              <w:rPr>
                <w:rFonts w:ascii="Arial" w:cs="Arial" w:eastAsia="Arial" w:hAnsi="Arial"/>
                <w:sz w:val="14"/>
                <w:szCs w:val="14"/>
                <w:color w:val="auto"/>
              </w:rPr>
              <w:t>Proposal 1</w:t>
            </w:r>
          </w:p>
        </w:tc>
        <w:tc>
          <w:tcPr>
            <w:tcW w:w="4800" w:type="dxa"/>
            <w:vAlign w:val="bottom"/>
          </w:tcPr>
          <w:p>
            <w:pPr>
              <w:ind w:left="280"/>
              <w:spacing w:after="0"/>
              <w:rPr>
                <w:sz w:val="20"/>
                <w:szCs w:val="20"/>
                <w:color w:val="auto"/>
              </w:rPr>
            </w:pPr>
            <w:r>
              <w:rPr>
                <w:rFonts w:ascii="Arial" w:cs="Arial" w:eastAsia="Arial" w:hAnsi="Arial"/>
                <w:sz w:val="14"/>
                <w:szCs w:val="14"/>
                <w:color w:val="auto"/>
              </w:rPr>
              <w:t>The election of Teri Bariquit and Daniel Rosensweig as Class II</w:t>
            </w:r>
          </w:p>
        </w:tc>
        <w:tc>
          <w:tcPr>
            <w:tcW w:w="2160" w:type="dxa"/>
            <w:vAlign w:val="bottom"/>
          </w:tcPr>
          <w:p>
            <w:pPr>
              <w:ind w:left="140"/>
              <w:spacing w:after="0"/>
              <w:rPr>
                <w:sz w:val="20"/>
                <w:szCs w:val="20"/>
                <w:color w:val="auto"/>
              </w:rPr>
            </w:pPr>
            <w:r>
              <w:rPr>
                <w:rFonts w:ascii="Arial" w:cs="Arial" w:eastAsia="Arial" w:hAnsi="Arial"/>
                <w:sz w:val="14"/>
                <w:szCs w:val="14"/>
                <w:color w:val="auto"/>
              </w:rPr>
              <w:t>For all nominees</w:t>
            </w:r>
          </w:p>
        </w:tc>
        <w:tc>
          <w:tcPr>
            <w:tcW w:w="1420" w:type="dxa"/>
            <w:vAlign w:val="bottom"/>
            <w:gridSpan w:val="2"/>
          </w:tcPr>
          <w:p>
            <w:pPr>
              <w:spacing w:after="0"/>
              <w:rPr>
                <w:sz w:val="20"/>
                <w:szCs w:val="20"/>
                <w:color w:val="auto"/>
              </w:rPr>
            </w:pPr>
            <w:r>
              <w:rPr>
                <w:rFonts w:ascii="Arial" w:cs="Arial" w:eastAsia="Arial" w:hAnsi="Arial"/>
                <w:sz w:val="14"/>
                <w:szCs w:val="14"/>
                <w:color w:val="0000EE"/>
              </w:rPr>
              <w:t>20</w:t>
            </w:r>
          </w:p>
        </w:tc>
      </w:tr>
      <w:tr>
        <w:trPr>
          <w:trHeight w:val="175"/>
        </w:trPr>
        <w:tc>
          <w:tcPr>
            <w:tcW w:w="1120" w:type="dxa"/>
            <w:vAlign w:val="bottom"/>
          </w:tcPr>
          <w:p>
            <w:pPr>
              <w:spacing w:after="0"/>
              <w:rPr>
                <w:sz w:val="15"/>
                <w:szCs w:val="15"/>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directors</w:t>
            </w:r>
          </w:p>
        </w:tc>
        <w:tc>
          <w:tcPr>
            <w:tcW w:w="2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60" w:type="dxa"/>
            <w:vAlign w:val="bottom"/>
          </w:tcPr>
          <w:p>
            <w:pPr>
              <w:spacing w:after="0"/>
              <w:rPr>
                <w:sz w:val="15"/>
                <w:szCs w:val="15"/>
                <w:color w:val="auto"/>
              </w:rPr>
            </w:pPr>
          </w:p>
        </w:tc>
      </w:tr>
      <w:tr>
        <w:trPr>
          <w:trHeight w:val="75"/>
        </w:trPr>
        <w:tc>
          <w:tcPr>
            <w:tcW w:w="112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20" w:type="dxa"/>
            <w:vAlign w:val="bottom"/>
          </w:tcPr>
          <w:p>
            <w:pPr>
              <w:ind w:left="160"/>
              <w:spacing w:after="0"/>
              <w:rPr>
                <w:sz w:val="20"/>
                <w:szCs w:val="20"/>
                <w:color w:val="auto"/>
              </w:rPr>
            </w:pPr>
            <w:r>
              <w:rPr>
                <w:rFonts w:ascii="Arial" w:cs="Arial" w:eastAsia="Arial" w:hAnsi="Arial"/>
                <w:sz w:val="14"/>
                <w:szCs w:val="14"/>
                <w:color w:val="auto"/>
              </w:rPr>
              <w:t>Proposal 2</w:t>
            </w:r>
          </w:p>
        </w:tc>
        <w:tc>
          <w:tcPr>
            <w:tcW w:w="4800" w:type="dxa"/>
            <w:vAlign w:val="bottom"/>
          </w:tcPr>
          <w:p>
            <w:pPr>
              <w:ind w:left="280"/>
              <w:spacing w:after="0"/>
              <w:rPr>
                <w:sz w:val="20"/>
                <w:szCs w:val="20"/>
                <w:color w:val="auto"/>
              </w:rPr>
            </w:pPr>
            <w:r>
              <w:rPr>
                <w:rFonts w:ascii="Arial" w:cs="Arial" w:eastAsia="Arial" w:hAnsi="Arial"/>
                <w:sz w:val="14"/>
                <w:szCs w:val="14"/>
                <w:color w:val="auto"/>
              </w:rPr>
              <w:t>The ratification of the appointment of PricewaterhouseCoopers LLP</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24</w:t>
            </w:r>
          </w:p>
        </w:tc>
      </w:tr>
      <w:tr>
        <w:trPr>
          <w:trHeight w:val="146"/>
        </w:trPr>
        <w:tc>
          <w:tcPr>
            <w:tcW w:w="1120" w:type="dxa"/>
            <w:vAlign w:val="bottom"/>
          </w:tcPr>
          <w:p>
            <w:pPr>
              <w:spacing w:after="0"/>
              <w:rPr>
                <w:sz w:val="12"/>
                <w:szCs w:val="12"/>
                <w:color w:val="auto"/>
              </w:rPr>
            </w:pPr>
          </w:p>
        </w:tc>
        <w:tc>
          <w:tcPr>
            <w:tcW w:w="4800" w:type="dxa"/>
            <w:vAlign w:val="bottom"/>
          </w:tcPr>
          <w:p>
            <w:pPr>
              <w:ind w:left="280"/>
              <w:spacing w:after="0" w:line="147" w:lineRule="exact"/>
              <w:rPr>
                <w:sz w:val="20"/>
                <w:szCs w:val="20"/>
                <w:color w:val="auto"/>
              </w:rPr>
            </w:pPr>
            <w:r>
              <w:rPr>
                <w:rFonts w:ascii="Arial" w:cs="Arial" w:eastAsia="Arial" w:hAnsi="Arial"/>
                <w:sz w:val="14"/>
                <w:szCs w:val="14"/>
                <w:color w:val="auto"/>
              </w:rPr>
              <w:t>as our independent registered public accounting firm for the fiscal</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90"/>
        </w:trPr>
        <w:tc>
          <w:tcPr>
            <w:tcW w:w="1120" w:type="dxa"/>
            <w:vAlign w:val="bottom"/>
          </w:tcPr>
          <w:p>
            <w:pPr>
              <w:spacing w:after="0"/>
              <w:rPr>
                <w:sz w:val="16"/>
                <w:szCs w:val="16"/>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year ending January 31, 2027</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5"/>
        </w:trPr>
        <w:tc>
          <w:tcPr>
            <w:tcW w:w="112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20" w:type="dxa"/>
            <w:vAlign w:val="bottom"/>
          </w:tcPr>
          <w:p>
            <w:pPr>
              <w:ind w:left="160"/>
              <w:spacing w:after="0"/>
              <w:rPr>
                <w:sz w:val="20"/>
                <w:szCs w:val="20"/>
                <w:color w:val="auto"/>
              </w:rPr>
            </w:pPr>
            <w:r>
              <w:rPr>
                <w:rFonts w:ascii="Arial" w:cs="Arial" w:eastAsia="Arial" w:hAnsi="Arial"/>
                <w:sz w:val="14"/>
                <w:szCs w:val="14"/>
                <w:color w:val="auto"/>
              </w:rPr>
              <w:t>Proposal 3</w:t>
            </w:r>
          </w:p>
        </w:tc>
        <w:tc>
          <w:tcPr>
            <w:tcW w:w="4800" w:type="dxa"/>
            <w:vAlign w:val="bottom"/>
          </w:tcPr>
          <w:p>
            <w:pPr>
              <w:ind w:left="28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27</w:t>
            </w:r>
          </w:p>
        </w:tc>
      </w:tr>
      <w:tr>
        <w:trPr>
          <w:trHeight w:val="146"/>
        </w:trPr>
        <w:tc>
          <w:tcPr>
            <w:tcW w:w="1120" w:type="dxa"/>
            <w:vAlign w:val="bottom"/>
          </w:tcPr>
          <w:p>
            <w:pPr>
              <w:spacing w:after="0"/>
              <w:rPr>
                <w:sz w:val="12"/>
                <w:szCs w:val="12"/>
                <w:color w:val="auto"/>
              </w:rPr>
            </w:pPr>
          </w:p>
        </w:tc>
        <w:tc>
          <w:tcPr>
            <w:tcW w:w="4800" w:type="dxa"/>
            <w:vAlign w:val="bottom"/>
          </w:tcPr>
          <w:p>
            <w:pPr>
              <w:ind w:left="280"/>
              <w:spacing w:after="0" w:line="147" w:lineRule="exact"/>
              <w:rPr>
                <w:sz w:val="20"/>
                <w:szCs w:val="20"/>
                <w:color w:val="auto"/>
              </w:rPr>
            </w:pPr>
            <w:r>
              <w:rPr>
                <w:rFonts w:ascii="Arial" w:cs="Arial" w:eastAsia="Arial" w:hAnsi="Arial"/>
                <w:sz w:val="14"/>
                <w:szCs w:val="14"/>
                <w:color w:val="auto"/>
              </w:rPr>
              <w:t>Incorporation to eliminate the 50,000,000 authorized shares of</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120" w:type="dxa"/>
            <w:vAlign w:val="bottom"/>
          </w:tcPr>
          <w:p>
            <w:pPr>
              <w:spacing w:after="0"/>
              <w:rPr>
                <w:sz w:val="14"/>
                <w:szCs w:val="14"/>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Class B common stock, none of which are currently outstanding (the</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120" w:type="dxa"/>
            <w:vAlign w:val="bottom"/>
          </w:tcPr>
          <w:p>
            <w:pPr>
              <w:spacing w:after="0"/>
              <w:rPr>
                <w:sz w:val="16"/>
                <w:szCs w:val="16"/>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“Class B Stock Elimination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12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20" w:type="dxa"/>
            <w:vAlign w:val="bottom"/>
          </w:tcPr>
          <w:p>
            <w:pPr>
              <w:ind w:left="160"/>
              <w:spacing w:after="0"/>
              <w:rPr>
                <w:sz w:val="20"/>
                <w:szCs w:val="20"/>
                <w:color w:val="auto"/>
              </w:rPr>
            </w:pPr>
            <w:r>
              <w:rPr>
                <w:rFonts w:ascii="Arial" w:cs="Arial" w:eastAsia="Arial" w:hAnsi="Arial"/>
                <w:sz w:val="14"/>
                <w:szCs w:val="14"/>
                <w:color w:val="auto"/>
              </w:rPr>
              <w:t>Proposal 4</w:t>
            </w:r>
          </w:p>
        </w:tc>
        <w:tc>
          <w:tcPr>
            <w:tcW w:w="4800" w:type="dxa"/>
            <w:vAlign w:val="bottom"/>
          </w:tcPr>
          <w:p>
            <w:pPr>
              <w:ind w:left="28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28</w:t>
            </w:r>
          </w:p>
        </w:tc>
      </w:tr>
      <w:tr>
        <w:trPr>
          <w:trHeight w:val="146"/>
        </w:trPr>
        <w:tc>
          <w:tcPr>
            <w:tcW w:w="1120" w:type="dxa"/>
            <w:vAlign w:val="bottom"/>
          </w:tcPr>
          <w:p>
            <w:pPr>
              <w:spacing w:after="0"/>
              <w:rPr>
                <w:sz w:val="12"/>
                <w:szCs w:val="12"/>
                <w:color w:val="auto"/>
              </w:rPr>
            </w:pPr>
          </w:p>
        </w:tc>
        <w:tc>
          <w:tcPr>
            <w:tcW w:w="4800" w:type="dxa"/>
            <w:vAlign w:val="bottom"/>
          </w:tcPr>
          <w:p>
            <w:pPr>
              <w:ind w:left="280"/>
              <w:spacing w:after="0" w:line="147" w:lineRule="exact"/>
              <w:rPr>
                <w:sz w:val="20"/>
                <w:szCs w:val="20"/>
                <w:color w:val="auto"/>
              </w:rPr>
            </w:pPr>
            <w:r>
              <w:rPr>
                <w:rFonts w:ascii="Arial" w:cs="Arial" w:eastAsia="Arial" w:hAnsi="Arial"/>
                <w:sz w:val="14"/>
                <w:szCs w:val="14"/>
                <w:color w:val="auto"/>
              </w:rPr>
              <w:t>Incorporation to eliminate the 10,000,000 authorized shares of</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120" w:type="dxa"/>
            <w:vAlign w:val="bottom"/>
          </w:tcPr>
          <w:p>
            <w:pPr>
              <w:spacing w:after="0"/>
              <w:rPr>
                <w:sz w:val="14"/>
                <w:szCs w:val="14"/>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preferred stock, none of which are currently outstanding (the</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120" w:type="dxa"/>
            <w:vAlign w:val="bottom"/>
          </w:tcPr>
          <w:p>
            <w:pPr>
              <w:spacing w:after="0"/>
              <w:rPr>
                <w:sz w:val="16"/>
                <w:szCs w:val="16"/>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“Preferred Stock Elimination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12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20" w:type="dxa"/>
            <w:vAlign w:val="bottom"/>
          </w:tcPr>
          <w:p>
            <w:pPr>
              <w:ind w:left="160"/>
              <w:spacing w:after="0"/>
              <w:rPr>
                <w:sz w:val="20"/>
                <w:szCs w:val="20"/>
                <w:color w:val="auto"/>
              </w:rPr>
            </w:pPr>
            <w:r>
              <w:rPr>
                <w:rFonts w:ascii="Arial" w:cs="Arial" w:eastAsia="Arial" w:hAnsi="Arial"/>
                <w:sz w:val="14"/>
                <w:szCs w:val="14"/>
                <w:color w:val="auto"/>
              </w:rPr>
              <w:t>Proposal 5</w:t>
            </w:r>
          </w:p>
        </w:tc>
        <w:tc>
          <w:tcPr>
            <w:tcW w:w="4800" w:type="dxa"/>
            <w:vAlign w:val="bottom"/>
          </w:tcPr>
          <w:p>
            <w:pPr>
              <w:ind w:left="28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29</w:t>
            </w:r>
          </w:p>
        </w:tc>
      </w:tr>
      <w:tr>
        <w:trPr>
          <w:trHeight w:val="146"/>
        </w:trPr>
        <w:tc>
          <w:tcPr>
            <w:tcW w:w="1120" w:type="dxa"/>
            <w:vAlign w:val="bottom"/>
          </w:tcPr>
          <w:p>
            <w:pPr>
              <w:spacing w:after="0"/>
              <w:rPr>
                <w:sz w:val="12"/>
                <w:szCs w:val="12"/>
                <w:color w:val="auto"/>
              </w:rPr>
            </w:pPr>
          </w:p>
        </w:tc>
        <w:tc>
          <w:tcPr>
            <w:tcW w:w="4800" w:type="dxa"/>
            <w:vAlign w:val="bottom"/>
          </w:tcPr>
          <w:p>
            <w:pPr>
              <w:ind w:left="280"/>
              <w:spacing w:after="0" w:line="147" w:lineRule="exact"/>
              <w:rPr>
                <w:sz w:val="20"/>
                <w:szCs w:val="20"/>
                <w:color w:val="auto"/>
              </w:rPr>
            </w:pPr>
            <w:r>
              <w:rPr>
                <w:rFonts w:ascii="Arial" w:cs="Arial" w:eastAsia="Arial" w:hAnsi="Arial"/>
                <w:sz w:val="14"/>
                <w:szCs w:val="14"/>
                <w:color w:val="auto"/>
              </w:rPr>
              <w:t>Incorporation to eliminate supermajority voting provisions (the</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90"/>
        </w:trPr>
        <w:tc>
          <w:tcPr>
            <w:tcW w:w="1120" w:type="dxa"/>
            <w:vAlign w:val="bottom"/>
          </w:tcPr>
          <w:p>
            <w:pPr>
              <w:spacing w:after="0"/>
              <w:rPr>
                <w:sz w:val="16"/>
                <w:szCs w:val="16"/>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“Supermajority Voting Elimination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5"/>
        </w:trPr>
        <w:tc>
          <w:tcPr>
            <w:tcW w:w="112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20" w:type="dxa"/>
            <w:vAlign w:val="bottom"/>
          </w:tcPr>
          <w:p>
            <w:pPr>
              <w:ind w:left="160"/>
              <w:spacing w:after="0"/>
              <w:rPr>
                <w:sz w:val="20"/>
                <w:szCs w:val="20"/>
                <w:color w:val="auto"/>
              </w:rPr>
            </w:pPr>
            <w:r>
              <w:rPr>
                <w:rFonts w:ascii="Arial" w:cs="Arial" w:eastAsia="Arial" w:hAnsi="Arial"/>
                <w:sz w:val="14"/>
                <w:szCs w:val="14"/>
                <w:color w:val="auto"/>
              </w:rPr>
              <w:t>Proposal 6</w:t>
            </w:r>
          </w:p>
        </w:tc>
        <w:tc>
          <w:tcPr>
            <w:tcW w:w="4800" w:type="dxa"/>
            <w:vAlign w:val="bottom"/>
          </w:tcPr>
          <w:p>
            <w:pPr>
              <w:ind w:left="28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30</w:t>
            </w:r>
          </w:p>
        </w:tc>
      </w:tr>
      <w:tr>
        <w:trPr>
          <w:trHeight w:val="146"/>
        </w:trPr>
        <w:tc>
          <w:tcPr>
            <w:tcW w:w="1120" w:type="dxa"/>
            <w:vAlign w:val="bottom"/>
          </w:tcPr>
          <w:p>
            <w:pPr>
              <w:spacing w:after="0"/>
              <w:rPr>
                <w:sz w:val="12"/>
                <w:szCs w:val="12"/>
                <w:color w:val="auto"/>
              </w:rPr>
            </w:pPr>
          </w:p>
        </w:tc>
        <w:tc>
          <w:tcPr>
            <w:tcW w:w="4800" w:type="dxa"/>
            <w:vAlign w:val="bottom"/>
          </w:tcPr>
          <w:p>
            <w:pPr>
              <w:ind w:left="280"/>
              <w:spacing w:after="0" w:line="147" w:lineRule="exact"/>
              <w:rPr>
                <w:sz w:val="20"/>
                <w:szCs w:val="20"/>
                <w:color w:val="auto"/>
              </w:rPr>
            </w:pPr>
            <w:r>
              <w:rPr>
                <w:rFonts w:ascii="Arial" w:cs="Arial" w:eastAsia="Arial" w:hAnsi="Arial"/>
                <w:sz w:val="14"/>
                <w:szCs w:val="14"/>
                <w:color w:val="auto"/>
              </w:rPr>
              <w:t>Incorporation to implement quorum requirement for meetings of the</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90"/>
        </w:trPr>
        <w:tc>
          <w:tcPr>
            <w:tcW w:w="1120" w:type="dxa"/>
            <w:vAlign w:val="bottom"/>
          </w:tcPr>
          <w:p>
            <w:pPr>
              <w:spacing w:after="0"/>
              <w:rPr>
                <w:sz w:val="16"/>
                <w:szCs w:val="16"/>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Board of Directors (the “Board Quorum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5"/>
        </w:trPr>
        <w:tc>
          <w:tcPr>
            <w:tcW w:w="1120" w:type="dxa"/>
            <w:vAlign w:val="bottom"/>
            <w:tcBorders>
              <w:bottom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1160" w:type="dxa"/>
            <w:vAlign w:val="bottom"/>
            <w:shd w:val="clear" w:color="auto" w:fill="FFE8F5"/>
          </w:tcPr>
          <w:p>
            <w:pPr>
              <w:spacing w:after="0"/>
              <w:rPr>
                <w:sz w:val="24"/>
                <w:szCs w:val="24"/>
                <w:color w:val="auto"/>
              </w:rPr>
            </w:pPr>
          </w:p>
        </w:tc>
        <w:tc>
          <w:tcPr>
            <w:tcW w:w="4780" w:type="dxa"/>
            <w:vAlign w:val="bottom"/>
            <w:shd w:val="clear" w:color="auto" w:fill="FFE8F5"/>
          </w:tcPr>
          <w:p>
            <w:pPr>
              <w:ind w:left="240"/>
              <w:spacing w:after="0"/>
              <w:rPr>
                <w:sz w:val="20"/>
                <w:szCs w:val="20"/>
                <w:color w:val="auto"/>
              </w:rPr>
            </w:pPr>
            <w:r>
              <w:rPr>
                <w:rFonts w:ascii="Arial" w:cs="Arial" w:eastAsia="Arial" w:hAnsi="Arial"/>
                <w:sz w:val="14"/>
                <w:szCs w:val="14"/>
                <w:b w:val="1"/>
                <w:bCs w:val="1"/>
                <w:color w:val="auto"/>
              </w:rPr>
              <w:t>Proposal</w:t>
            </w:r>
          </w:p>
        </w:tc>
        <w:tc>
          <w:tcPr>
            <w:tcW w:w="2140" w:type="dxa"/>
            <w:vAlign w:val="bottom"/>
            <w:shd w:val="clear" w:color="auto" w:fill="FFE8F5"/>
          </w:tcPr>
          <w:p>
            <w:pPr>
              <w:ind w:left="120"/>
              <w:spacing w:after="0"/>
              <w:rPr>
                <w:sz w:val="20"/>
                <w:szCs w:val="20"/>
                <w:color w:val="auto"/>
              </w:rPr>
            </w:pPr>
            <w:r>
              <w:rPr>
                <w:rFonts w:ascii="Arial" w:cs="Arial" w:eastAsia="Arial" w:hAnsi="Arial"/>
                <w:sz w:val="14"/>
                <w:szCs w:val="14"/>
                <w:b w:val="1"/>
                <w:bCs w:val="1"/>
                <w:color w:val="auto"/>
              </w:rPr>
              <w:t>Board Recommendation</w:t>
            </w:r>
          </w:p>
        </w:tc>
        <w:tc>
          <w:tcPr>
            <w:tcW w:w="1420" w:type="dxa"/>
            <w:vAlign w:val="bottom"/>
            <w:gridSpan w:val="2"/>
            <w:shd w:val="clear" w:color="auto" w:fill="FFE8F5"/>
          </w:tcPr>
          <w:p>
            <w:pPr>
              <w:spacing w:after="0"/>
              <w:rPr>
                <w:sz w:val="20"/>
                <w:szCs w:val="20"/>
                <w:color w:val="auto"/>
              </w:rPr>
            </w:pPr>
            <w:r>
              <w:rPr>
                <w:rFonts w:ascii="Arial" w:cs="Arial" w:eastAsia="Arial" w:hAnsi="Arial"/>
                <w:sz w:val="14"/>
                <w:szCs w:val="14"/>
                <w:b w:val="1"/>
                <w:bCs w:val="1"/>
                <w:color w:val="auto"/>
              </w:rPr>
              <w:t>Reference Page</w:t>
            </w:r>
          </w:p>
        </w:tc>
      </w:tr>
      <w:tr>
        <w:trPr>
          <w:trHeight w:val="69"/>
        </w:trPr>
        <w:tc>
          <w:tcPr>
            <w:tcW w:w="1160" w:type="dxa"/>
            <w:vAlign w:val="bottom"/>
            <w:tcBorders>
              <w:bottom w:val="single" w:sz="8" w:color="auto"/>
            </w:tcBorders>
            <w:shd w:val="clear" w:color="auto" w:fill="FFE8F5"/>
          </w:tcPr>
          <w:p>
            <w:pPr>
              <w:spacing w:after="0"/>
              <w:rPr>
                <w:sz w:val="6"/>
                <w:szCs w:val="6"/>
                <w:color w:val="auto"/>
              </w:rPr>
            </w:pPr>
          </w:p>
        </w:tc>
        <w:tc>
          <w:tcPr>
            <w:tcW w:w="4780" w:type="dxa"/>
            <w:vAlign w:val="bottom"/>
            <w:tcBorders>
              <w:bottom w:val="single" w:sz="8" w:color="auto"/>
            </w:tcBorders>
            <w:shd w:val="clear" w:color="auto" w:fill="FFE8F5"/>
          </w:tcPr>
          <w:p>
            <w:pPr>
              <w:spacing w:after="0"/>
              <w:rPr>
                <w:sz w:val="6"/>
                <w:szCs w:val="6"/>
                <w:color w:val="auto"/>
              </w:rPr>
            </w:pPr>
          </w:p>
        </w:tc>
        <w:tc>
          <w:tcPr>
            <w:tcW w:w="2140" w:type="dxa"/>
            <w:vAlign w:val="bottom"/>
            <w:tcBorders>
              <w:bottom w:val="single" w:sz="8" w:color="auto"/>
            </w:tcBorders>
            <w:shd w:val="clear" w:color="auto" w:fill="FFE8F5"/>
          </w:tcPr>
          <w:p>
            <w:pPr>
              <w:spacing w:after="0"/>
              <w:rPr>
                <w:sz w:val="6"/>
                <w:szCs w:val="6"/>
                <w:color w:val="auto"/>
              </w:rPr>
            </w:pPr>
          </w:p>
        </w:tc>
        <w:tc>
          <w:tcPr>
            <w:tcW w:w="160" w:type="dxa"/>
            <w:vAlign w:val="bottom"/>
            <w:tcBorders>
              <w:bottom w:val="single" w:sz="8" w:color="auto"/>
            </w:tcBorders>
            <w:shd w:val="clear" w:color="auto" w:fill="FFE8F5"/>
          </w:tcPr>
          <w:p>
            <w:pPr>
              <w:spacing w:after="0"/>
              <w:rPr>
                <w:sz w:val="6"/>
                <w:szCs w:val="6"/>
                <w:color w:val="auto"/>
              </w:rPr>
            </w:pPr>
          </w:p>
        </w:tc>
        <w:tc>
          <w:tcPr>
            <w:tcW w:w="1260" w:type="dxa"/>
            <w:vAlign w:val="bottom"/>
            <w:tcBorders>
              <w:bottom w:val="single" w:sz="8" w:color="auto"/>
            </w:tcBorders>
            <w:shd w:val="clear" w:color="auto" w:fill="FFE8F5"/>
          </w:tcPr>
          <w:p>
            <w:pPr>
              <w:spacing w:after="0"/>
              <w:rPr>
                <w:sz w:val="6"/>
                <w:szCs w:val="6"/>
                <w:color w:val="auto"/>
              </w:rPr>
            </w:pPr>
          </w:p>
        </w:tc>
      </w:tr>
      <w:tr>
        <w:trPr>
          <w:trHeight w:val="237"/>
        </w:trPr>
        <w:tc>
          <w:tcPr>
            <w:tcW w:w="1160" w:type="dxa"/>
            <w:vAlign w:val="bottom"/>
          </w:tcPr>
          <w:p>
            <w:pPr>
              <w:ind w:left="160"/>
              <w:spacing w:after="0"/>
              <w:rPr>
                <w:sz w:val="20"/>
                <w:szCs w:val="20"/>
                <w:color w:val="auto"/>
              </w:rPr>
            </w:pPr>
            <w:r>
              <w:rPr>
                <w:rFonts w:ascii="Arial" w:cs="Arial" w:eastAsia="Arial" w:hAnsi="Arial"/>
                <w:sz w:val="14"/>
                <w:szCs w:val="14"/>
                <w:color w:val="auto"/>
              </w:rPr>
              <w:t>Proposal 7</w:t>
            </w:r>
          </w:p>
        </w:tc>
        <w:tc>
          <w:tcPr>
            <w:tcW w:w="4780" w:type="dxa"/>
            <w:vAlign w:val="bottom"/>
          </w:tcPr>
          <w:p>
            <w:pPr>
              <w:ind w:left="24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31</w:t>
            </w:r>
          </w:p>
        </w:tc>
      </w:tr>
      <w:tr>
        <w:trPr>
          <w:trHeight w:val="146"/>
        </w:trPr>
        <w:tc>
          <w:tcPr>
            <w:tcW w:w="1160" w:type="dxa"/>
            <w:vAlign w:val="bottom"/>
          </w:tcPr>
          <w:p>
            <w:pPr>
              <w:spacing w:after="0"/>
              <w:rPr>
                <w:sz w:val="12"/>
                <w:szCs w:val="12"/>
                <w:color w:val="auto"/>
              </w:rPr>
            </w:pPr>
          </w:p>
        </w:tc>
        <w:tc>
          <w:tcPr>
            <w:tcW w:w="4780" w:type="dxa"/>
            <w:vAlign w:val="bottom"/>
          </w:tcPr>
          <w:p>
            <w:pPr>
              <w:ind w:left="240"/>
              <w:spacing w:after="0" w:line="147" w:lineRule="exact"/>
              <w:rPr>
                <w:sz w:val="20"/>
                <w:szCs w:val="20"/>
                <w:color w:val="auto"/>
              </w:rPr>
            </w:pPr>
            <w:r>
              <w:rPr>
                <w:rFonts w:ascii="Arial" w:cs="Arial" w:eastAsia="Arial" w:hAnsi="Arial"/>
                <w:sz w:val="14"/>
                <w:szCs w:val="14"/>
                <w:color w:val="auto"/>
              </w:rPr>
              <w:t>Incorporation to permit stockholders holding at least 40% of the</w:t>
            </w:r>
          </w:p>
        </w:tc>
        <w:tc>
          <w:tcPr>
            <w:tcW w:w="2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voting power of all of the then-outstanding Common Stock to call</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special meetings of stockholders of the Company (the “Special</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160" w:type="dxa"/>
            <w:vAlign w:val="bottom"/>
          </w:tcPr>
          <w:p>
            <w:pPr>
              <w:spacing w:after="0"/>
              <w:rPr>
                <w:sz w:val="16"/>
                <w:szCs w:val="16"/>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Meeting Proposal”)</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60" w:type="dxa"/>
            <w:vAlign w:val="bottom"/>
          </w:tcPr>
          <w:p>
            <w:pPr>
              <w:ind w:left="160"/>
              <w:spacing w:after="0"/>
              <w:rPr>
                <w:sz w:val="20"/>
                <w:szCs w:val="20"/>
                <w:color w:val="auto"/>
              </w:rPr>
            </w:pPr>
            <w:r>
              <w:rPr>
                <w:rFonts w:ascii="Arial" w:cs="Arial" w:eastAsia="Arial" w:hAnsi="Arial"/>
                <w:sz w:val="14"/>
                <w:szCs w:val="14"/>
                <w:color w:val="auto"/>
              </w:rPr>
              <w:t>Proposal 8</w:t>
            </w:r>
          </w:p>
        </w:tc>
        <w:tc>
          <w:tcPr>
            <w:tcW w:w="4780" w:type="dxa"/>
            <w:vAlign w:val="bottom"/>
          </w:tcPr>
          <w:p>
            <w:pPr>
              <w:ind w:left="24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32</w:t>
            </w:r>
          </w:p>
        </w:tc>
      </w:tr>
      <w:tr>
        <w:trPr>
          <w:trHeight w:val="146"/>
        </w:trPr>
        <w:tc>
          <w:tcPr>
            <w:tcW w:w="1160" w:type="dxa"/>
            <w:vAlign w:val="bottom"/>
          </w:tcPr>
          <w:p>
            <w:pPr>
              <w:spacing w:after="0"/>
              <w:rPr>
                <w:sz w:val="12"/>
                <w:szCs w:val="12"/>
                <w:color w:val="auto"/>
              </w:rPr>
            </w:pPr>
          </w:p>
        </w:tc>
        <w:tc>
          <w:tcPr>
            <w:tcW w:w="4780" w:type="dxa"/>
            <w:vAlign w:val="bottom"/>
          </w:tcPr>
          <w:p>
            <w:pPr>
              <w:ind w:left="240"/>
              <w:spacing w:after="0" w:line="147" w:lineRule="exact"/>
              <w:rPr>
                <w:sz w:val="20"/>
                <w:szCs w:val="20"/>
                <w:color w:val="auto"/>
              </w:rPr>
            </w:pPr>
            <w:r>
              <w:rPr>
                <w:rFonts w:ascii="Arial" w:cs="Arial" w:eastAsia="Arial" w:hAnsi="Arial"/>
                <w:sz w:val="14"/>
                <w:szCs w:val="14"/>
                <w:color w:val="auto"/>
              </w:rPr>
              <w:t>Incorporation to eliminate the prohibition against stockholders acting</w:t>
            </w:r>
          </w:p>
        </w:tc>
        <w:tc>
          <w:tcPr>
            <w:tcW w:w="2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90"/>
        </w:trPr>
        <w:tc>
          <w:tcPr>
            <w:tcW w:w="1160" w:type="dxa"/>
            <w:vAlign w:val="bottom"/>
          </w:tcPr>
          <w:p>
            <w:pPr>
              <w:spacing w:after="0"/>
              <w:rPr>
                <w:sz w:val="16"/>
                <w:szCs w:val="16"/>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by written consent (the “Written Consent Proposal”)</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60" w:type="dxa"/>
            <w:vAlign w:val="bottom"/>
          </w:tcPr>
          <w:p>
            <w:pPr>
              <w:ind w:left="160"/>
              <w:spacing w:after="0"/>
              <w:rPr>
                <w:sz w:val="20"/>
                <w:szCs w:val="20"/>
                <w:color w:val="auto"/>
              </w:rPr>
            </w:pPr>
            <w:r>
              <w:rPr>
                <w:rFonts w:ascii="Arial" w:cs="Arial" w:eastAsia="Arial" w:hAnsi="Arial"/>
                <w:sz w:val="14"/>
                <w:szCs w:val="14"/>
                <w:color w:val="auto"/>
              </w:rPr>
              <w:t>Proposal 9</w:t>
            </w:r>
          </w:p>
        </w:tc>
        <w:tc>
          <w:tcPr>
            <w:tcW w:w="4780" w:type="dxa"/>
            <w:vAlign w:val="bottom"/>
          </w:tcPr>
          <w:p>
            <w:pPr>
              <w:ind w:left="24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33</w:t>
            </w:r>
          </w:p>
        </w:tc>
      </w:tr>
      <w:tr>
        <w:trPr>
          <w:trHeight w:val="146"/>
        </w:trPr>
        <w:tc>
          <w:tcPr>
            <w:tcW w:w="1160" w:type="dxa"/>
            <w:vAlign w:val="bottom"/>
          </w:tcPr>
          <w:p>
            <w:pPr>
              <w:spacing w:after="0"/>
              <w:rPr>
                <w:sz w:val="12"/>
                <w:szCs w:val="12"/>
                <w:color w:val="auto"/>
              </w:rPr>
            </w:pPr>
          </w:p>
        </w:tc>
        <w:tc>
          <w:tcPr>
            <w:tcW w:w="4780" w:type="dxa"/>
            <w:vAlign w:val="bottom"/>
          </w:tcPr>
          <w:p>
            <w:pPr>
              <w:ind w:left="240"/>
              <w:spacing w:after="0" w:line="147" w:lineRule="exact"/>
              <w:rPr>
                <w:sz w:val="20"/>
                <w:szCs w:val="20"/>
                <w:color w:val="auto"/>
              </w:rPr>
            </w:pPr>
            <w:r>
              <w:rPr>
                <w:rFonts w:ascii="Arial" w:cs="Arial" w:eastAsia="Arial" w:hAnsi="Arial"/>
                <w:sz w:val="14"/>
                <w:szCs w:val="14"/>
                <w:color w:val="auto"/>
              </w:rPr>
              <w:t>Incorporation to limit liability of officers as permitted by law (the</w:t>
            </w:r>
          </w:p>
        </w:tc>
        <w:tc>
          <w:tcPr>
            <w:tcW w:w="2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90"/>
        </w:trPr>
        <w:tc>
          <w:tcPr>
            <w:tcW w:w="1160" w:type="dxa"/>
            <w:vAlign w:val="bottom"/>
          </w:tcPr>
          <w:p>
            <w:pPr>
              <w:spacing w:after="0"/>
              <w:rPr>
                <w:sz w:val="16"/>
                <w:szCs w:val="16"/>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“Officer Exculpation Proposal”)</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60" w:type="dxa"/>
            <w:vAlign w:val="bottom"/>
          </w:tcPr>
          <w:p>
            <w:pPr>
              <w:ind w:left="160"/>
              <w:spacing w:after="0"/>
              <w:rPr>
                <w:sz w:val="20"/>
                <w:szCs w:val="20"/>
                <w:color w:val="auto"/>
              </w:rPr>
            </w:pPr>
            <w:r>
              <w:rPr>
                <w:rFonts w:ascii="Arial" w:cs="Arial" w:eastAsia="Arial" w:hAnsi="Arial"/>
                <w:sz w:val="14"/>
                <w:szCs w:val="14"/>
                <w:color w:val="auto"/>
              </w:rPr>
              <w:t>Proposal 10</w:t>
            </w:r>
          </w:p>
        </w:tc>
        <w:tc>
          <w:tcPr>
            <w:tcW w:w="4780" w:type="dxa"/>
            <w:vAlign w:val="bottom"/>
          </w:tcPr>
          <w:p>
            <w:pPr>
              <w:ind w:left="24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34</w:t>
            </w:r>
          </w:p>
        </w:tc>
      </w:tr>
      <w:tr>
        <w:trPr>
          <w:trHeight w:val="146"/>
        </w:trPr>
        <w:tc>
          <w:tcPr>
            <w:tcW w:w="1160" w:type="dxa"/>
            <w:vAlign w:val="bottom"/>
          </w:tcPr>
          <w:p>
            <w:pPr>
              <w:spacing w:after="0"/>
              <w:rPr>
                <w:sz w:val="12"/>
                <w:szCs w:val="12"/>
                <w:color w:val="auto"/>
              </w:rPr>
            </w:pPr>
          </w:p>
        </w:tc>
        <w:tc>
          <w:tcPr>
            <w:tcW w:w="4780" w:type="dxa"/>
            <w:vAlign w:val="bottom"/>
          </w:tcPr>
          <w:p>
            <w:pPr>
              <w:ind w:left="240"/>
              <w:spacing w:after="0" w:line="147" w:lineRule="exact"/>
              <w:rPr>
                <w:sz w:val="20"/>
                <w:szCs w:val="20"/>
                <w:color w:val="auto"/>
              </w:rPr>
            </w:pPr>
            <w:r>
              <w:rPr>
                <w:rFonts w:ascii="Arial" w:cs="Arial" w:eastAsia="Arial" w:hAnsi="Arial"/>
                <w:sz w:val="14"/>
                <w:szCs w:val="14"/>
                <w:color w:val="auto"/>
              </w:rPr>
              <w:t>Incorporation for certain board designation rights and to make certain</w:t>
            </w:r>
          </w:p>
        </w:tc>
        <w:tc>
          <w:tcPr>
            <w:tcW w:w="2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other conforming changes consistent with the Investor Rights</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160" w:type="dxa"/>
            <w:vAlign w:val="bottom"/>
          </w:tcPr>
          <w:p>
            <w:pPr>
              <w:spacing w:after="0"/>
              <w:rPr>
                <w:sz w:val="16"/>
                <w:szCs w:val="16"/>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Agreement (the “Board Designation Rights Proposal”)</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5"/>
        </w:trPr>
        <w:tc>
          <w:tcPr>
            <w:tcW w:w="116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60" w:type="dxa"/>
            <w:vAlign w:val="bottom"/>
          </w:tcPr>
          <w:p>
            <w:pPr>
              <w:ind w:left="160"/>
              <w:spacing w:after="0"/>
              <w:rPr>
                <w:sz w:val="20"/>
                <w:szCs w:val="20"/>
                <w:color w:val="auto"/>
              </w:rPr>
            </w:pPr>
            <w:r>
              <w:rPr>
                <w:rFonts w:ascii="Arial" w:cs="Arial" w:eastAsia="Arial" w:hAnsi="Arial"/>
                <w:sz w:val="14"/>
                <w:szCs w:val="14"/>
                <w:color w:val="auto"/>
              </w:rPr>
              <w:t>Proposal 11</w:t>
            </w:r>
          </w:p>
        </w:tc>
        <w:tc>
          <w:tcPr>
            <w:tcW w:w="4780" w:type="dxa"/>
            <w:vAlign w:val="bottom"/>
          </w:tcPr>
          <w:p>
            <w:pPr>
              <w:ind w:left="24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35</w:t>
            </w:r>
          </w:p>
        </w:tc>
      </w:tr>
      <w:tr>
        <w:trPr>
          <w:trHeight w:val="146"/>
        </w:trPr>
        <w:tc>
          <w:tcPr>
            <w:tcW w:w="1160" w:type="dxa"/>
            <w:vAlign w:val="bottom"/>
          </w:tcPr>
          <w:p>
            <w:pPr>
              <w:spacing w:after="0"/>
              <w:rPr>
                <w:sz w:val="12"/>
                <w:szCs w:val="12"/>
                <w:color w:val="auto"/>
              </w:rPr>
            </w:pPr>
          </w:p>
        </w:tc>
        <w:tc>
          <w:tcPr>
            <w:tcW w:w="4780" w:type="dxa"/>
            <w:vAlign w:val="bottom"/>
          </w:tcPr>
          <w:p>
            <w:pPr>
              <w:ind w:left="240"/>
              <w:spacing w:after="0" w:line="147" w:lineRule="exact"/>
              <w:rPr>
                <w:sz w:val="20"/>
                <w:szCs w:val="20"/>
                <w:color w:val="auto"/>
              </w:rPr>
            </w:pPr>
            <w:r>
              <w:rPr>
                <w:rFonts w:ascii="Arial" w:cs="Arial" w:eastAsia="Arial" w:hAnsi="Arial"/>
                <w:sz w:val="14"/>
                <w:szCs w:val="14"/>
                <w:color w:val="auto"/>
              </w:rPr>
              <w:t>Incorporation to revise certain corporate opportunity provisions,</w:t>
            </w:r>
          </w:p>
        </w:tc>
        <w:tc>
          <w:tcPr>
            <w:tcW w:w="2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including limiting the definition of “Exempt Person” to designated</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directors of STORY3 and Nexus rather than all directors, and</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eliminating the provision that no director shall be liable to the</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Company, its subsidiaries, or its stockholders for breach of any duty</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relating to compliance with such corporate opportunity provisions (the</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160" w:type="dxa"/>
            <w:vAlign w:val="bottom"/>
          </w:tcPr>
          <w:p>
            <w:pPr>
              <w:spacing w:after="0"/>
              <w:rPr>
                <w:sz w:val="16"/>
                <w:szCs w:val="16"/>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“Corporate Opportunity Proposal”)</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60" w:type="dxa"/>
            <w:vAlign w:val="bottom"/>
          </w:tcPr>
          <w:p>
            <w:pPr>
              <w:ind w:left="160"/>
              <w:spacing w:after="0"/>
              <w:rPr>
                <w:sz w:val="20"/>
                <w:szCs w:val="20"/>
                <w:color w:val="auto"/>
              </w:rPr>
            </w:pPr>
            <w:r>
              <w:rPr>
                <w:rFonts w:ascii="Arial" w:cs="Arial" w:eastAsia="Arial" w:hAnsi="Arial"/>
                <w:sz w:val="14"/>
                <w:szCs w:val="14"/>
                <w:color w:val="auto"/>
              </w:rPr>
              <w:t>Proposal 12</w:t>
            </w:r>
          </w:p>
        </w:tc>
        <w:tc>
          <w:tcPr>
            <w:tcW w:w="4780" w:type="dxa"/>
            <w:vAlign w:val="bottom"/>
          </w:tcPr>
          <w:p>
            <w:pPr>
              <w:ind w:left="240"/>
              <w:spacing w:after="0"/>
              <w:rPr>
                <w:sz w:val="20"/>
                <w:szCs w:val="20"/>
                <w:color w:val="auto"/>
              </w:rPr>
            </w:pPr>
            <w:r>
              <w:rPr>
                <w:rFonts w:ascii="Arial" w:cs="Arial" w:eastAsia="Arial" w:hAnsi="Arial"/>
                <w:sz w:val="14"/>
                <w:szCs w:val="14"/>
                <w:color w:val="auto"/>
              </w:rPr>
              <w:t>Approve the First Amendment (the “First Amendment”) to the Second</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36</w:t>
            </w:r>
          </w:p>
        </w:tc>
      </w:tr>
      <w:tr>
        <w:trPr>
          <w:trHeight w:val="146"/>
        </w:trPr>
        <w:tc>
          <w:tcPr>
            <w:tcW w:w="1160" w:type="dxa"/>
            <w:vAlign w:val="bottom"/>
          </w:tcPr>
          <w:p>
            <w:pPr>
              <w:spacing w:after="0"/>
              <w:rPr>
                <w:sz w:val="12"/>
                <w:szCs w:val="12"/>
                <w:color w:val="auto"/>
              </w:rPr>
            </w:pPr>
          </w:p>
        </w:tc>
        <w:tc>
          <w:tcPr>
            <w:tcW w:w="4780" w:type="dxa"/>
            <w:vAlign w:val="bottom"/>
          </w:tcPr>
          <w:p>
            <w:pPr>
              <w:ind w:left="240"/>
              <w:spacing w:after="0" w:line="147" w:lineRule="exact"/>
              <w:rPr>
                <w:sz w:val="20"/>
                <w:szCs w:val="20"/>
                <w:color w:val="auto"/>
              </w:rPr>
            </w:pPr>
            <w:r>
              <w:rPr>
                <w:rFonts w:ascii="Arial" w:cs="Arial" w:eastAsia="Arial" w:hAnsi="Arial"/>
                <w:sz w:val="14"/>
                <w:szCs w:val="14"/>
                <w:color w:val="auto"/>
              </w:rPr>
              <w:t>Amended and Restated 2021 Incentive Award Plan (the “2021 Plan”</w:t>
            </w:r>
          </w:p>
        </w:tc>
        <w:tc>
          <w:tcPr>
            <w:tcW w:w="2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and as amended by the First Amendment, the “Amended Plan”) to</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increase the maximum number of shares of Class A common stock</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authorized for issuance under the 2021 Plan by 3,899,439 to</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160" w:type="dxa"/>
            <w:vAlign w:val="bottom"/>
          </w:tcPr>
          <w:p>
            <w:pPr>
              <w:spacing w:after="0"/>
              <w:rPr>
                <w:sz w:val="16"/>
                <w:szCs w:val="16"/>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10,171,225 (the “Plan Amendment Proposal”)</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5"/>
        </w:trPr>
        <w:tc>
          <w:tcPr>
            <w:tcW w:w="116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About Rent the Runway</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mission is to power women to feel their best every day.</w:t>
      </w:r>
    </w:p>
    <w:p>
      <w:pPr>
        <w:spacing w:after="0" w:line="185" w:lineRule="exact"/>
        <w:rPr>
          <w:sz w:val="20"/>
          <w:szCs w:val="20"/>
          <w:color w:val="auto"/>
        </w:rPr>
      </w:pPr>
    </w:p>
    <w:p>
      <w:pPr>
        <w:ind w:left="20" w:right="80"/>
        <w:spacing w:after="0" w:line="252" w:lineRule="auto"/>
        <w:rPr>
          <w:sz w:val="20"/>
          <w:szCs w:val="20"/>
          <w:color w:val="auto"/>
        </w:rPr>
      </w:pPr>
      <w:r>
        <w:rPr>
          <w:rFonts w:ascii="Arial" w:cs="Arial" w:eastAsia="Arial" w:hAnsi="Arial"/>
          <w:sz w:val="17"/>
          <w:szCs w:val="17"/>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3.5 million lifetime customers across all of our offerings, and we had 183,552 ending</w:t>
      </w:r>
    </w:p>
    <w:p>
      <w:pPr>
        <w:spacing w:after="0" w:line="2" w:lineRule="exact"/>
        <w:rPr>
          <w:sz w:val="20"/>
          <w:szCs w:val="20"/>
          <w:color w:val="auto"/>
        </w:rPr>
      </w:pPr>
    </w:p>
    <w:p>
      <w:pPr>
        <w:ind w:left="20"/>
        <w:spacing w:after="0" w:line="218" w:lineRule="auto"/>
        <w:rPr>
          <w:sz w:val="20"/>
          <w:szCs w:val="20"/>
          <w:color w:val="auto"/>
        </w:rPr>
      </w:pPr>
      <w:r>
        <w:rPr>
          <w:rFonts w:ascii="Arial" w:cs="Arial" w:eastAsia="Arial" w:hAnsi="Arial"/>
          <w:sz w:val="18"/>
          <w:szCs w:val="18"/>
          <w:color w:val="auto"/>
        </w:rPr>
        <w:t>Total Subscribers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(active and paused) as of January 31, 2026. We had 143,796 Active Subscribers</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as of January 31, 2026. The majority of our revenue is highly recurring and is generated by our subscribers. For the years ended January 31, 2026 and 2025, 90% and 88% of our total revenue (including Reserve and Resale revenue) was generated by subscribers while they were active or paused.</w:t>
      </w:r>
    </w:p>
    <w:p>
      <w:pPr>
        <w:spacing w:after="0" w:line="141" w:lineRule="exact"/>
        <w:rPr>
          <w:sz w:val="20"/>
          <w:szCs w:val="20"/>
          <w:color w:val="auto"/>
        </w:rPr>
      </w:pPr>
    </w:p>
    <w:p>
      <w:pPr>
        <w:ind w:left="20" w:right="220"/>
        <w:spacing w:after="0" w:line="242" w:lineRule="auto"/>
        <w:rPr>
          <w:sz w:val="20"/>
          <w:szCs w:val="20"/>
          <w:color w:val="auto"/>
        </w:rPr>
      </w:pPr>
      <w:r>
        <w:rPr>
          <w:rFonts w:ascii="Arial" w:cs="Arial" w:eastAsia="Arial" w:hAnsi="Arial"/>
          <w:sz w:val="18"/>
          <w:szCs w:val="18"/>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Fiscal Year 2025 Business Highlights</w:t>
      </w:r>
    </w:p>
    <w:p>
      <w:pPr>
        <w:spacing w:after="0" w:line="199" w:lineRule="exact"/>
        <w:rPr>
          <w:sz w:val="20"/>
          <w:szCs w:val="20"/>
          <w:color w:val="auto"/>
        </w:rPr>
      </w:pPr>
    </w:p>
    <w:p>
      <w:pPr>
        <w:ind w:left="20" w:right="620"/>
        <w:spacing w:after="0" w:line="271" w:lineRule="auto"/>
        <w:rPr>
          <w:sz w:val="20"/>
          <w:szCs w:val="20"/>
          <w:color w:val="auto"/>
        </w:rPr>
      </w:pPr>
      <w:r>
        <w:rPr>
          <w:rFonts w:ascii="Arial" w:cs="Arial" w:eastAsia="Arial" w:hAnsi="Arial"/>
          <w:sz w:val="18"/>
          <w:szCs w:val="18"/>
          <w:color w:val="auto"/>
        </w:rPr>
        <w:t>We have achieved the following operating and financial results for the years ended January 31, 2026 and 2025, respectively:</w:t>
      </w:r>
    </w:p>
    <w:p>
      <w:pPr>
        <w:spacing w:after="0" w:line="127" w:lineRule="exact"/>
        <w:rPr>
          <w:sz w:val="20"/>
          <w:szCs w:val="20"/>
          <w:color w:val="auto"/>
        </w:rPr>
      </w:pPr>
    </w:p>
    <w:p>
      <w:pPr>
        <w:ind w:left="740" w:hanging="359"/>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Revenue was $329.8 million and $306.2 million, respectively, representing 7.7% growth year-over-year;</w:t>
      </w:r>
    </w:p>
    <w:p>
      <w:pPr>
        <w:spacing w:after="0" w:line="13" w:lineRule="exact"/>
        <w:rPr>
          <w:rFonts w:ascii="Arial" w:cs="Arial" w:eastAsia="Arial" w:hAnsi="Arial"/>
          <w:sz w:val="18"/>
          <w:szCs w:val="18"/>
          <w:color w:val="auto"/>
        </w:rPr>
      </w:pPr>
    </w:p>
    <w:p>
      <w:pPr>
        <w:ind w:left="740" w:hanging="359"/>
        <w:spacing w:after="0"/>
        <w:tabs>
          <w:tab w:leader="none" w:pos="740" w:val="left"/>
        </w:tabs>
        <w:numPr>
          <w:ilvl w:val="1"/>
          <w:numId w:val="5"/>
        </w:numPr>
        <w:rPr>
          <w:rFonts w:ascii="Arial" w:cs="Arial" w:eastAsia="Arial" w:hAnsi="Arial"/>
          <w:sz w:val="17"/>
          <w:szCs w:val="17"/>
          <w:color w:val="auto"/>
        </w:rPr>
      </w:pPr>
      <w:r>
        <w:rPr>
          <w:rFonts w:ascii="Arial" w:cs="Arial" w:eastAsia="Arial" w:hAnsi="Arial"/>
          <w:sz w:val="17"/>
          <w:szCs w:val="17"/>
          <w:color w:val="auto"/>
        </w:rPr>
        <w:t>143,796 and 119,778 ending Active Subscribers, respectively, representing a change of 20.1% year-over-year;</w:t>
      </w:r>
    </w:p>
    <w:p>
      <w:pPr>
        <w:spacing w:after="0" w:line="25" w:lineRule="exact"/>
        <w:rPr>
          <w:rFonts w:ascii="Arial" w:cs="Arial" w:eastAsia="Arial" w:hAnsi="Arial"/>
          <w:sz w:val="17"/>
          <w:szCs w:val="17"/>
          <w:color w:val="auto"/>
        </w:rPr>
      </w:pPr>
    </w:p>
    <w:p>
      <w:pPr>
        <w:ind w:left="740" w:right="260" w:hanging="359"/>
        <w:spacing w:after="0"/>
        <w:tabs>
          <w:tab w:leader="none" w:pos="740" w:val="left"/>
        </w:tabs>
        <w:numPr>
          <w:ilvl w:val="1"/>
          <w:numId w:val="5"/>
        </w:numPr>
        <w:rPr>
          <w:rFonts w:ascii="Arial" w:cs="Arial" w:eastAsia="Arial" w:hAnsi="Arial"/>
          <w:sz w:val="34"/>
          <w:szCs w:val="34"/>
          <w:color w:val="auto"/>
          <w:vertAlign w:val="superscript"/>
        </w:rPr>
      </w:pPr>
      <w:r>
        <w:rPr>
          <w:rFonts w:ascii="Arial" w:cs="Arial" w:eastAsia="Arial" w:hAnsi="Arial"/>
          <w:sz w:val="17"/>
          <w:szCs w:val="17"/>
          <w:color w:val="auto"/>
        </w:rPr>
        <w:t>143,558 and 132,574 Average Active Subscribers</w:t>
      </w:r>
      <w:r>
        <w:rPr>
          <w:rFonts w:ascii="Arial" w:cs="Arial" w:eastAsia="Arial" w:hAnsi="Arial"/>
          <w:sz w:val="27"/>
          <w:szCs w:val="27"/>
          <w:color w:val="auto"/>
          <w:vertAlign w:val="superscript"/>
        </w:rPr>
        <w:t>3</w:t>
      </w:r>
      <w:r>
        <w:rPr>
          <w:rFonts w:ascii="Arial" w:cs="Arial" w:eastAsia="Arial" w:hAnsi="Arial"/>
          <w:sz w:val="17"/>
          <w:szCs w:val="17"/>
          <w:color w:val="auto"/>
        </w:rPr>
        <w:t>, respectively, representing a change of 8.3% year-over-year;</w:t>
      </w:r>
    </w:p>
    <w:p>
      <w:pPr>
        <w:spacing w:after="0" w:line="36" w:lineRule="exact"/>
        <w:rPr>
          <w:rFonts w:ascii="Arial" w:cs="Arial" w:eastAsia="Arial" w:hAnsi="Arial"/>
          <w:sz w:val="34"/>
          <w:szCs w:val="34"/>
          <w:color w:val="auto"/>
          <w:vertAlign w:val="superscript"/>
        </w:rPr>
      </w:pPr>
    </w:p>
    <w:p>
      <w:pPr>
        <w:ind w:left="740" w:right="26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183,552 and 164,004 ending Total Subscribers (including paused subscribers), respectively, representing a change of 11.9% year-over-year;</w:t>
      </w:r>
    </w:p>
    <w:p>
      <w:pPr>
        <w:spacing w:after="0" w:line="1" w:lineRule="exact"/>
        <w:rPr>
          <w:rFonts w:ascii="Arial" w:cs="Arial" w:eastAsia="Arial" w:hAnsi="Arial"/>
          <w:sz w:val="18"/>
          <w:szCs w:val="18"/>
          <w:color w:val="auto"/>
        </w:rPr>
      </w:pPr>
    </w:p>
    <w:p>
      <w:pPr>
        <w:ind w:left="740" w:right="30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Gross Profit was $107.5 million and $115.9 million, respectively, representing a gross margin of 32.6% and 37.9%, respectively;</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Income (Loss) was $22.6 million and $(69.9) million, respectively. Net Income (Loss) as a percentage of revenue was 6.9% and (22.8)%, respectively, and included $0.2 million of restructuring and related charges for the year ended January 31, 2025;</w:t>
      </w:r>
    </w:p>
    <w:p>
      <w:pPr>
        <w:spacing w:after="0" w:line="2" w:lineRule="exact"/>
        <w:rPr>
          <w:rFonts w:ascii="Arial" w:cs="Arial" w:eastAsia="Arial" w:hAnsi="Arial"/>
          <w:sz w:val="18"/>
          <w:szCs w:val="18"/>
          <w:color w:val="auto"/>
        </w:rPr>
      </w:pPr>
    </w:p>
    <w:p>
      <w:pPr>
        <w:ind w:left="740" w:right="10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Adjusted EBITDA was $24.9 million and $46.9 million, respectively, representing an Adjusted EBITDA margin of 7.6% and 15.3%, respectively;</w:t>
      </w:r>
    </w:p>
    <w:p>
      <w:pPr>
        <w:spacing w:after="0" w:line="1" w:lineRule="exact"/>
        <w:rPr>
          <w:rFonts w:ascii="Arial" w:cs="Arial" w:eastAsia="Arial" w:hAnsi="Arial"/>
          <w:sz w:val="18"/>
          <w:szCs w:val="18"/>
          <w:color w:val="auto"/>
        </w:rPr>
      </w:pPr>
    </w:p>
    <w:p>
      <w:pPr>
        <w:ind w:left="740" w:right="28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cash (used in) provided by operating activities was $3.5 million and $12.9 million, and net cash used in investing activities was $(49.5) million and $(20.1) million, respectively;</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cash (used in) provided by financing activities was $18.6 million and $(0.3) million, respectively;</w:t>
      </w:r>
    </w:p>
    <w:p>
      <w:pPr>
        <w:ind w:left="740" w:right="26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cash (used in) provided by operating activities as a percentage of revenue was 1.1% and 4.2% and net cash used in investing activities as a percentage of revenue was (15.0)% and (6.6)%, respectively;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Cash and Cash Equivalents was $50.4 million and $77.4 million, respectively.</w:t>
      </w:r>
    </w:p>
    <w:p>
      <w:pPr>
        <w:spacing w:after="0" w:line="50" w:lineRule="exact"/>
        <w:rPr>
          <w:rFonts w:ascii="Arial" w:cs="Arial" w:eastAsia="Arial" w:hAnsi="Arial"/>
          <w:sz w:val="18"/>
          <w:szCs w:val="18"/>
          <w:color w:val="auto"/>
        </w:rPr>
      </w:pPr>
    </w:p>
    <w:p>
      <w:pPr>
        <w:ind w:left="200" w:right="20" w:hanging="176"/>
        <w:spacing w:after="0" w:line="231" w:lineRule="auto"/>
        <w:rPr>
          <w:rFonts w:ascii="Arial" w:cs="Arial" w:eastAsia="Arial" w:hAnsi="Arial"/>
          <w:sz w:val="18"/>
          <w:szCs w:val="18"/>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-245745</wp:posOffset>
            </wp:positionV>
            <wp:extent cx="16459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200" w:hanging="179"/>
        <w:spacing w:after="0" w:line="205" w:lineRule="auto"/>
        <w:tabs>
          <w:tab w:leader="none" w:pos="20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Active Subscribers is defined as ending Total Subscribers as of period end, excluding paused subscribers.</w:t>
      </w:r>
    </w:p>
    <w:p>
      <w:pPr>
        <w:spacing w:after="0" w:line="49" w:lineRule="exact"/>
        <w:rPr>
          <w:sz w:val="20"/>
          <w:szCs w:val="20"/>
          <w:color w:val="auto"/>
        </w:rPr>
      </w:pPr>
    </w:p>
    <w:p>
      <w:pPr>
        <w:ind w:left="200" w:right="120" w:hanging="179"/>
        <w:spacing w:after="0" w:line="204" w:lineRule="auto"/>
        <w:tabs>
          <w:tab w:leader="none" w:pos="20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Recapitalization Transactions</w:t>
      </w:r>
    </w:p>
    <w:p>
      <w:pPr>
        <w:spacing w:after="0" w:line="171" w:lineRule="exact"/>
        <w:rPr>
          <w:sz w:val="20"/>
          <w:szCs w:val="20"/>
          <w:color w:val="auto"/>
        </w:rPr>
      </w:pPr>
    </w:p>
    <w:p>
      <w:pPr>
        <w:ind w:left="20" w:right="20"/>
        <w:spacing w:after="0" w:line="236" w:lineRule="auto"/>
        <w:rPr>
          <w:sz w:val="20"/>
          <w:szCs w:val="20"/>
          <w:color w:val="auto"/>
        </w:rPr>
      </w:pPr>
      <w:r>
        <w:rPr>
          <w:rFonts w:ascii="Arial" w:cs="Arial" w:eastAsia="Arial" w:hAnsi="Arial"/>
          <w:sz w:val="18"/>
          <w:szCs w:val="18"/>
          <w:color w:val="auto"/>
        </w:rPr>
        <w:t>On October 28, 2025 (the “Recapitalization Date”), we completed recapitalization transactions to enhance our financial position and financial flexibility by significantly reducing our existing indebtedness, improving our borrowing rate and extending the maturity of our remaining indebtedness (the “Recapitalization Transactions”). Upon the closing of the Recapitalization Transactions, we entered into an amended and restated credit agreement (the “New Credit Agreement”), by and among the Company, as borrower, CHS (US) Management LLC, as administrative agent (the “Agent”), and CHS US Investments LLC (“Lender”), Gateway Runway, LLC (“Nexus”) and S3 RR Aggregator, LLC, as lenders (“STORY3” and, collectively with Lender and Nexus, the “Investor Group”). The Lender exchanged $100 million of existing outstanding indebtedness on a dollar-for-dollar cashless basis for new term loans under the New Credit Agreement and exchanged the remaining indebtedness for 26,175,193 newly issued shares of our Class A common stock pursuant to the exchange agreement dated August 20, 2025 (the “Exchange Agreement”). The Investor Group also provided an additional $20 million of new term loans under the New Credit Agreement, resulting in a total aggregate principal amount of $120 million. Our minimum liquidity maintenance covenant was also reduced from</w:t>
      </w:r>
    </w:p>
    <w:p>
      <w:pPr>
        <w:spacing w:after="0" w:line="6" w:lineRule="exact"/>
        <w:rPr>
          <w:sz w:val="20"/>
          <w:szCs w:val="20"/>
          <w:color w:val="auto"/>
        </w:rPr>
      </w:pPr>
    </w:p>
    <w:p>
      <w:pPr>
        <w:ind w:left="20" w:right="360"/>
        <w:spacing w:after="0" w:line="239" w:lineRule="auto"/>
        <w:rPr>
          <w:sz w:val="20"/>
          <w:szCs w:val="20"/>
          <w:color w:val="auto"/>
        </w:rPr>
      </w:pPr>
      <w:r>
        <w:rPr>
          <w:rFonts w:ascii="Arial" w:cs="Arial" w:eastAsia="Arial" w:hAnsi="Arial"/>
          <w:sz w:val="18"/>
          <w:szCs w:val="18"/>
          <w:color w:val="auto"/>
        </w:rPr>
        <w:t>$30 million to $15 million until February 20, 2027 prior to its removal pursuant to the First Amendment to the New Credit Agreement on January 28, 2026 (the “First Amendment”). We also received $12.5 million in proceeds from a concurrent rights offering. On April 1, 2026, the Company entered into the Second Amendment to the New Credit Agreement. The Second Amendment provides the Company with the ability to capitalize interest in lieu of cash payments until May 3, 2027.</w:t>
      </w:r>
    </w:p>
    <w:p>
      <w:pPr>
        <w:spacing w:after="0" w:line="139" w:lineRule="exact"/>
        <w:rPr>
          <w:sz w:val="20"/>
          <w:szCs w:val="20"/>
          <w:color w:val="auto"/>
        </w:rPr>
      </w:pPr>
    </w:p>
    <w:p>
      <w:pPr>
        <w:ind w:left="20" w:right="280"/>
        <w:spacing w:after="0" w:line="271" w:lineRule="auto"/>
        <w:rPr>
          <w:sz w:val="20"/>
          <w:szCs w:val="20"/>
          <w:color w:val="auto"/>
        </w:rPr>
      </w:pPr>
      <w:r>
        <w:rPr>
          <w:rFonts w:ascii="Arial" w:cs="Arial" w:eastAsia="Arial" w:hAnsi="Arial"/>
          <w:sz w:val="18"/>
          <w:szCs w:val="18"/>
          <w:color w:val="auto"/>
        </w:rPr>
        <w:t>In connection with the Recapitalization Transactions, there were changes to our corporate governance structure and Board leadership, as further described below.</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Corporate Governance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Highlights</w:t>
      </w:r>
    </w:p>
    <w:p>
      <w:pPr>
        <w:spacing w:after="0" w:line="171" w:lineRule="exact"/>
        <w:rPr>
          <w:sz w:val="20"/>
          <w:szCs w:val="20"/>
          <w:color w:val="auto"/>
        </w:rPr>
      </w:pPr>
    </w:p>
    <w:p>
      <w:pPr>
        <w:ind w:left="20" w:right="100"/>
        <w:spacing w:after="0" w:line="242" w:lineRule="auto"/>
        <w:rPr>
          <w:sz w:val="20"/>
          <w:szCs w:val="20"/>
          <w:color w:val="auto"/>
        </w:rPr>
      </w:pPr>
      <w:r>
        <w:rPr>
          <w:rFonts w:ascii="Arial" w:cs="Arial" w:eastAsia="Arial" w:hAnsi="Arial"/>
          <w:sz w:val="18"/>
          <w:szCs w:val="18"/>
          <w:color w:val="auto"/>
        </w:rPr>
        <w:t>As a result of the Recapitalization Transactions described above, our Lender and its affiliates control a majority of the voting power of our outstanding Class A common stock. As a result, we are a “controlled company” within the meaning of the corporate governance standards of Nasdaq.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w:t>
      </w:r>
    </w:p>
    <w:p>
      <w:pPr>
        <w:spacing w:after="0" w:line="98" w:lineRule="exact"/>
        <w:rPr>
          <w:sz w:val="20"/>
          <w:szCs w:val="20"/>
          <w:color w:val="auto"/>
        </w:rPr>
      </w:pPr>
    </w:p>
    <w:p>
      <w:pPr>
        <w:ind w:left="740" w:right="240" w:hanging="359"/>
        <w:spacing w:after="0" w:line="245"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not required to have a board that is composed of a majority of “independent directors,” as defined under the rules and listing standards of Nasdaq;</w:t>
      </w:r>
    </w:p>
    <w:p>
      <w:pPr>
        <w:ind w:left="740" w:hanging="359"/>
        <w:spacing w:after="0" w:line="23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not required to have a compensation committee that is composed entirely of independent directors or have a written charter addressing the committee’s purpose and responsibilities; and</w:t>
      </w:r>
    </w:p>
    <w:p>
      <w:pPr>
        <w:spacing w:after="0" w:line="1" w:lineRule="exact"/>
        <w:rPr>
          <w:rFonts w:ascii="Arial" w:cs="Arial" w:eastAsia="Arial" w:hAnsi="Arial"/>
          <w:sz w:val="18"/>
          <w:szCs w:val="18"/>
          <w:color w:val="auto"/>
        </w:rPr>
      </w:pPr>
    </w:p>
    <w:p>
      <w:pPr>
        <w:jc w:val="both"/>
        <w:ind w:left="740" w:right="20" w:hanging="359"/>
        <w:spacing w:after="0" w:line="24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not required to have director nominations be made by or recommended to the full board of directors, by its independent directors, or by a nominations committee that is composed entirely of independent directors, or to adopt a written charter or a board resolution addressing the nominations process.</w:t>
      </w:r>
    </w:p>
    <w:p>
      <w:pPr>
        <w:spacing w:after="0" w:line="139" w:lineRule="exact"/>
        <w:rPr>
          <w:sz w:val="20"/>
          <w:szCs w:val="20"/>
          <w:color w:val="auto"/>
        </w:rPr>
      </w:pPr>
    </w:p>
    <w:p>
      <w:pPr>
        <w:jc w:val="both"/>
        <w:ind w:left="20" w:right="220"/>
        <w:spacing w:after="0" w:line="253" w:lineRule="auto"/>
        <w:rPr>
          <w:sz w:val="20"/>
          <w:szCs w:val="20"/>
          <w:color w:val="auto"/>
        </w:rPr>
      </w:pPr>
      <w:r>
        <w:rPr>
          <w:rFonts w:ascii="Arial" w:cs="Arial" w:eastAsia="Arial" w:hAnsi="Arial"/>
          <w:sz w:val="18"/>
          <w:szCs w:val="18"/>
          <w:color w:val="auto"/>
        </w:rPr>
        <w:t>We utilize, and intend to continue to utilize, certain of these exemptions. Following the Recapitalization Transactions, we do not have a compensation committee or a nominating and corporate governance committee, and do not have a board that is composed of a majority of independent directors.</w:t>
      </w:r>
    </w:p>
    <w:p>
      <w:pPr>
        <w:spacing w:after="0" w:line="128" w:lineRule="exact"/>
        <w:rPr>
          <w:sz w:val="20"/>
          <w:szCs w:val="20"/>
          <w:color w:val="auto"/>
        </w:rPr>
      </w:pPr>
    </w:p>
    <w:p>
      <w:pPr>
        <w:ind w:left="20" w:right="100"/>
        <w:spacing w:after="0" w:line="271" w:lineRule="auto"/>
        <w:rPr>
          <w:sz w:val="20"/>
          <w:szCs w:val="20"/>
          <w:color w:val="auto"/>
        </w:rPr>
      </w:pPr>
      <w:r>
        <w:rPr>
          <w:rFonts w:ascii="Arial" w:cs="Arial" w:eastAsia="Arial" w:hAnsi="Arial"/>
          <w:sz w:val="18"/>
          <w:szCs w:val="18"/>
          <w:color w:val="auto"/>
        </w:rPr>
        <w:t>We believe that our current corporate governance practices are appropriately tailored to our business and promote the long-term interests of our stockholders. Key corporate governance practices include:</w:t>
      </w:r>
    </w:p>
    <w:p>
      <w:pPr>
        <w:spacing w:after="0" w:line="73" w:lineRule="exact"/>
        <w:rPr>
          <w:sz w:val="20"/>
          <w:szCs w:val="20"/>
          <w:color w:val="auto"/>
        </w:rPr>
      </w:pPr>
    </w:p>
    <w:p>
      <w:pPr>
        <w:ind w:left="740" w:hanging="359"/>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composed of sophisticated, engaged directors with diverse relevant expertise</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and Audit Committee with an active role in risk management oversight</w:t>
      </w: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Robust code of conduct applicable to directors, officers, and employees</w:t>
      </w:r>
    </w:p>
    <w:p>
      <w:pPr>
        <w:ind w:left="740" w:right="26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Periodic reviews of our corporate governance structure, including but not limited to, governance documents such as our corporate governance guidelines and code of conduct, to ensure they are appropriate for a company of our stage of development and capital structure</w:t>
      </w:r>
    </w:p>
    <w:p>
      <w:pPr>
        <w:spacing w:after="0" w:line="2" w:lineRule="exact"/>
        <w:rPr>
          <w:rFonts w:ascii="Arial" w:cs="Arial" w:eastAsia="Arial" w:hAnsi="Arial"/>
          <w:sz w:val="18"/>
          <w:szCs w:val="18"/>
          <w:color w:val="auto"/>
        </w:rPr>
      </w:pPr>
    </w:p>
    <w:p>
      <w:pPr>
        <w:ind w:left="740" w:right="160" w:hanging="359"/>
        <w:spacing w:after="0" w:line="25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Policy of no pledging of RTR shares without prior Board of Directors approval and no hedging of RTR shares for current employees and directors</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1" w:name="page12"/>
    <w:bookmarkEnd w:id="11"/>
    <w:p>
      <w:pPr>
        <w:ind w:left="7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Voting and Meeting Information</w:t>
      </w:r>
    </w:p>
    <w:p>
      <w:pPr>
        <w:spacing w:after="0" w:line="38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What is the purpose of this proxy statement?</w:t>
      </w:r>
    </w:p>
    <w:p>
      <w:pPr>
        <w:spacing w:after="0" w:line="166" w:lineRule="exact"/>
        <w:rPr>
          <w:sz w:val="20"/>
          <w:szCs w:val="20"/>
          <w:color w:val="auto"/>
        </w:rPr>
      </w:pPr>
    </w:p>
    <w:p>
      <w:pPr>
        <w:ind w:left="760" w:right="760"/>
        <w:spacing w:after="0" w:line="247" w:lineRule="auto"/>
        <w:rPr>
          <w:sz w:val="20"/>
          <w:szCs w:val="20"/>
          <w:color w:val="auto"/>
        </w:rPr>
      </w:pPr>
      <w:r>
        <w:rPr>
          <w:rFonts w:ascii="Arial" w:cs="Arial" w:eastAsia="Arial" w:hAnsi="Arial"/>
          <w:sz w:val="18"/>
          <w:szCs w:val="18"/>
          <w:color w:val="auto"/>
        </w:rPr>
        <w:t>We are sending you this proxy statement because the Board of Directors of Rent the Runway is inviting you to vote (by soliciting your proxy) at our Annual Meeting of Stockholders on July 14, 2026 at 8:30 a.m., Eastern Time. This proxy statement summarizes information that is intended to assist you in making an informed vote on the proposals described in this proxy statement.</w:t>
      </w:r>
    </w:p>
    <w:p>
      <w:pPr>
        <w:spacing w:after="0" w:line="2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Who is entitled to vote at the Annual Meeting?</w:t>
      </w:r>
    </w:p>
    <w:p>
      <w:pPr>
        <w:spacing w:after="0" w:line="166"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Stockholders as of the close of business on May 20, 2026, the record date, are entitled to attend and vote at the Annual Meeting. There were approximately 33,483,382 shares of Class A common stock outstanding on May 20, 2026 entitled to vote.</w:t>
      </w:r>
    </w:p>
    <w:p>
      <w:pPr>
        <w:spacing w:after="0" w:line="128" w:lineRule="exact"/>
        <w:rPr>
          <w:sz w:val="20"/>
          <w:szCs w:val="20"/>
          <w:color w:val="auto"/>
        </w:rPr>
      </w:pPr>
    </w:p>
    <w:p>
      <w:pPr>
        <w:ind w:left="760" w:right="1080"/>
        <w:spacing w:after="0" w:line="275" w:lineRule="auto"/>
        <w:rPr>
          <w:sz w:val="20"/>
          <w:szCs w:val="20"/>
          <w:color w:val="auto"/>
        </w:rPr>
      </w:pPr>
      <w:r>
        <w:rPr>
          <w:rFonts w:ascii="Arial" w:cs="Arial" w:eastAsia="Arial" w:hAnsi="Arial"/>
          <w:sz w:val="17"/>
          <w:szCs w:val="17"/>
          <w:color w:val="auto"/>
        </w:rPr>
        <w:t>The meeting webcast will begin promptly at 8:30 a.m., Eastern Time, and will be accessible at www.virtualshareholdermeeting.com/RENT2026. We encourage you to access the meeting prior to the start time. Online check-in will begin at 8:15 a.m., Eastern Time, and you should allow ample time for the check-in procedures.</w:t>
      </w:r>
    </w:p>
    <w:p>
      <w:pPr>
        <w:spacing w:after="0" w:line="25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How many votes per share do I have?</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share of our Class A common stock has one vote per share.</w:t>
      </w:r>
    </w:p>
    <w:p>
      <w:pPr>
        <w:spacing w:after="0" w:line="3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How do I vote in advance of the meeting?</w:t>
      </w:r>
    </w:p>
    <w:p>
      <w:pPr>
        <w:spacing w:after="0" w:line="180" w:lineRule="exact"/>
        <w:rPr>
          <w:sz w:val="20"/>
          <w:szCs w:val="20"/>
          <w:color w:val="auto"/>
        </w:rPr>
      </w:pPr>
    </w:p>
    <w:p>
      <w:pPr>
        <w:ind w:left="760" w:right="960"/>
        <w:spacing w:after="0" w:line="253" w:lineRule="auto"/>
        <w:rPr>
          <w:sz w:val="20"/>
          <w:szCs w:val="20"/>
          <w:color w:val="auto"/>
        </w:rPr>
      </w:pPr>
      <w:r>
        <w:rPr>
          <w:rFonts w:ascii="Arial" w:cs="Arial" w:eastAsia="Arial" w:hAnsi="Arial"/>
          <w:sz w:val="18"/>
          <w:szCs w:val="18"/>
          <w:color w:val="auto"/>
        </w:rPr>
        <w:t>If, on May 20, 2026, your Rent the Runway shares were registered directly in your name with our transfer agent, Equiniti Trust Company, LLC, then you are a stockholder of record, and you can vote your shares in one of two ways: either by proxy or during the virtual Annual Meeting electronically.</w:t>
      </w:r>
    </w:p>
    <w:p>
      <w:pPr>
        <w:spacing w:after="0" w:line="128" w:lineRule="exact"/>
        <w:rPr>
          <w:sz w:val="20"/>
          <w:szCs w:val="20"/>
          <w:color w:val="auto"/>
        </w:rPr>
      </w:pPr>
    </w:p>
    <w:p>
      <w:pPr>
        <w:ind w:left="760" w:right="780"/>
        <w:spacing w:after="0" w:line="239" w:lineRule="auto"/>
        <w:rPr>
          <w:sz w:val="20"/>
          <w:szCs w:val="20"/>
          <w:color w:val="auto"/>
        </w:rPr>
      </w:pPr>
      <w:r>
        <w:rPr>
          <w:rFonts w:ascii="Arial" w:cs="Arial" w:eastAsia="Arial" w:hAnsi="Arial"/>
          <w:sz w:val="18"/>
          <w:szCs w:val="18"/>
          <w:color w:val="auto"/>
        </w:rPr>
        <w:t>If, on May 20, 2026, your shares were held in “street name” through a broker, bank, trustee or other nominee, you will receive instructions on how to vote from the broker, bank, trustee or other nominee. You must follow their instructions in order for your shares to be voted. Internet and telephone voting also may be offered to stockholders owning shares through certain brokers, banks, trustees and other nominees. If your shares are held in “street name,” you may visit www.proxyvote.com and enter the 16-digit control number included in the Internet Notice or voting instruction card provided to you by your broker, bank, trustee or other nominee. If you hold your shares in street name and you did not receive a 16-digit control number, you may need to log in to your broker’s, bank’s, trustee’s or other nominee’s website to access the meeting and vote. Instructions should also be provided on the Internet Notice or voting instruction card provided by your broker, bank, trustee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85725</wp:posOffset>
            </wp:positionV>
            <wp:extent cx="603504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85" w:lineRule="exact"/>
        <w:rPr>
          <w:sz w:val="20"/>
          <w:szCs w:val="20"/>
          <w:color w:val="auto"/>
        </w:rPr>
      </w:pPr>
    </w:p>
    <w:p>
      <w:pPr>
        <w:ind w:left="760"/>
        <w:spacing w:after="0"/>
        <w:rPr>
          <w:sz w:val="20"/>
          <w:szCs w:val="20"/>
          <w:color w:val="auto"/>
        </w:rPr>
      </w:pPr>
      <w:r>
        <w:rPr>
          <w:sz w:val="1"/>
          <w:szCs w:val="1"/>
          <w:color w:val="auto"/>
        </w:rPr>
        <w:drawing>
          <wp:inline distT="0" distB="0" distL="0" distR="0">
            <wp:extent cx="68580" cy="2400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240030"/>
                    </a:xfrm>
                    <a:prstGeom prst="rect">
                      <a:avLst/>
                    </a:prstGeom>
                    <a:noFill/>
                    <a:ln>
                      <a:noFill/>
                    </a:ln>
                  </pic:spPr>
                </pic:pic>
              </a:graphicData>
            </a:graphic>
          </wp:inline>
        </w:drawing>
      </w:r>
      <w:r>
        <w:rPr>
          <w:rFonts w:ascii="Arial" w:cs="Arial" w:eastAsia="Arial" w:hAnsi="Arial"/>
          <w:sz w:val="14"/>
          <w:szCs w:val="14"/>
          <w:b w:val="1"/>
          <w:bCs w:val="1"/>
          <w:color w:val="auto"/>
        </w:rPr>
        <w:t xml:space="preserve"> If you choose to vote by proxy, you may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-170815</wp:posOffset>
            </wp:positionV>
            <wp:extent cx="603504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5040" cy="17145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Internet</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over the internet at www.proxyvote.com by following the instructions on the Internet Notice or</w:t>
            </w:r>
          </w:p>
        </w:tc>
        <w:tc>
          <w:tcPr>
            <w:tcW w:w="760" w:type="dxa"/>
            <w:vAlign w:val="bottom"/>
          </w:tcPr>
          <w:p>
            <w:pPr>
              <w:spacing w:after="0"/>
              <w:rPr>
                <w:sz w:val="14"/>
                <w:szCs w:val="14"/>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proxy card;​</w:t>
            </w:r>
          </w:p>
        </w:tc>
        <w:tc>
          <w:tcPr>
            <w:tcW w:w="760" w:type="dxa"/>
            <w:vAlign w:val="bottom"/>
          </w:tcPr>
          <w:p>
            <w:pPr>
              <w:spacing w:after="0"/>
              <w:rPr>
                <w:sz w:val="16"/>
                <w:szCs w:val="16"/>
                <w:color w:val="auto"/>
              </w:rPr>
            </w:pPr>
          </w:p>
        </w:tc>
      </w:tr>
      <w:tr>
        <w:trPr>
          <w:trHeight w:val="76"/>
        </w:trPr>
        <w:tc>
          <w:tcPr>
            <w:tcW w:w="760" w:type="dxa"/>
            <w:vAlign w:val="bottom"/>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77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r>
      <w:tr>
        <w:trPr>
          <w:trHeight w:val="227"/>
        </w:trPr>
        <w:tc>
          <w:tcPr>
            <w:tcW w:w="76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Telephone</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by telephone by calling toll-free 1-800-690-6903 and following the instructions on the Internet</w:t>
            </w:r>
          </w:p>
        </w:tc>
        <w:tc>
          <w:tcPr>
            <w:tcW w:w="760" w:type="dxa"/>
            <w:vAlign w:val="bottom"/>
          </w:tcPr>
          <w:p>
            <w:pPr>
              <w:spacing w:after="0"/>
              <w:rPr>
                <w:sz w:val="19"/>
                <w:szCs w:val="19"/>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Notice or proxy card; or​</w:t>
            </w:r>
          </w:p>
        </w:tc>
        <w:tc>
          <w:tcPr>
            <w:tcW w:w="760" w:type="dxa"/>
            <w:vAlign w:val="bottom"/>
          </w:tcPr>
          <w:p>
            <w:pPr>
              <w:spacing w:after="0"/>
              <w:rPr>
                <w:sz w:val="16"/>
                <w:szCs w:val="16"/>
                <w:color w:val="auto"/>
              </w:rPr>
            </w:pPr>
          </w:p>
        </w:tc>
      </w:tr>
      <w:tr>
        <w:trPr>
          <w:trHeight w:val="76"/>
        </w:trPr>
        <w:tc>
          <w:tcPr>
            <w:tcW w:w="760" w:type="dxa"/>
            <w:vAlign w:val="bottom"/>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77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r>
      <w:tr>
        <w:trPr>
          <w:trHeight w:val="227"/>
        </w:trPr>
        <w:tc>
          <w:tcPr>
            <w:tcW w:w="76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Mail</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by mail by signing, dating, and mailing the proxy card (if you received one by mail) to Vote</w:t>
            </w:r>
          </w:p>
        </w:tc>
        <w:tc>
          <w:tcPr>
            <w:tcW w:w="760" w:type="dxa"/>
            <w:vAlign w:val="bottom"/>
          </w:tcPr>
          <w:p>
            <w:pPr>
              <w:spacing w:after="0"/>
              <w:rPr>
                <w:sz w:val="19"/>
                <w:szCs w:val="19"/>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Processing, c/o Broadridge, 51 Mercedes Way, Edgewood, NY 11717.​</w:t>
            </w:r>
          </w:p>
        </w:tc>
        <w:tc>
          <w:tcPr>
            <w:tcW w:w="760" w:type="dxa"/>
            <w:vAlign w:val="bottom"/>
          </w:tcPr>
          <w:p>
            <w:pPr>
              <w:spacing w:after="0"/>
              <w:rPr>
                <w:sz w:val="16"/>
                <w:szCs w:val="16"/>
                <w:color w:val="auto"/>
              </w:rPr>
            </w:pPr>
          </w:p>
        </w:tc>
      </w:tr>
      <w:tr>
        <w:trPr>
          <w:trHeight w:val="35"/>
        </w:trPr>
        <w:tc>
          <w:tcPr>
            <w:tcW w:w="76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537"/>
        </w:trPr>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740" w:type="dxa"/>
            <w:vAlign w:val="bottom"/>
          </w:tcPr>
          <w:p>
            <w:pPr>
              <w:ind w:left="2920"/>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24"/>
                <w:szCs w:val="24"/>
                <w:color w:val="auto"/>
              </w:rPr>
            </w:pPr>
          </w:p>
        </w:tc>
      </w:tr>
      <w:tr>
        <w:trPr>
          <w:trHeight w:val="219"/>
        </w:trPr>
        <w:tc>
          <w:tcPr>
            <w:tcW w:w="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7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ask questions at the Annual Meeting?</w:t>
      </w:r>
    </w:p>
    <w:p>
      <w:pPr>
        <w:spacing w:after="0" w:line="166" w:lineRule="exact"/>
        <w:rPr>
          <w:sz w:val="20"/>
          <w:szCs w:val="20"/>
          <w:color w:val="auto"/>
        </w:rPr>
      </w:pPr>
    </w:p>
    <w:p>
      <w:pPr>
        <w:ind w:left="20" w:right="180"/>
        <w:spacing w:after="0" w:line="244" w:lineRule="auto"/>
        <w:rPr>
          <w:sz w:val="20"/>
          <w:szCs w:val="20"/>
          <w:color w:val="auto"/>
        </w:rPr>
      </w:pPr>
      <w:r>
        <w:rPr>
          <w:rFonts w:ascii="Arial" w:cs="Arial" w:eastAsia="Arial" w:hAnsi="Arial"/>
          <w:sz w:val="18"/>
          <w:szCs w:val="18"/>
          <w:color w:val="auto"/>
        </w:rPr>
        <w:t>In order to ensure stockholders are afforded the same rights and opportunities to participate in the Annual Meeting as an in-person meeting, we will hold a live Q&amp;A session, during which we intend to answer questions submitted online during the meeting that are pertinent to the Company and the meeting matters. Only stockholders of record as of the record date for the Annual Meeting and their proxy holders who have logged in using a 16-digit control number may submit questions.</w:t>
      </w:r>
    </w:p>
    <w:p>
      <w:pPr>
        <w:spacing w:after="0" w:line="136" w:lineRule="exact"/>
        <w:rPr>
          <w:sz w:val="20"/>
          <w:szCs w:val="20"/>
          <w:color w:val="auto"/>
        </w:rPr>
      </w:pPr>
    </w:p>
    <w:p>
      <w:pPr>
        <w:ind w:left="20" w:right="480"/>
        <w:spacing w:after="0" w:line="301" w:lineRule="auto"/>
        <w:rPr>
          <w:sz w:val="20"/>
          <w:szCs w:val="20"/>
          <w:color w:val="auto"/>
        </w:rPr>
      </w:pPr>
      <w:r>
        <w:rPr>
          <w:rFonts w:ascii="Arial" w:cs="Arial" w:eastAsia="Arial" w:hAnsi="Arial"/>
          <w:sz w:val="17"/>
          <w:szCs w:val="17"/>
          <w:color w:val="auto"/>
        </w:rPr>
        <w:t>You will be able to ask questions by joining the virtual Annual Meeting at www.virtualshareholdermeeting.com/RENT2026 and typing your question in the box in the Annual Meeting portal.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Annual Meeting when you log in prior to its start. In accordance with the rules of conduct, we ask that you limit your remarks to one brief question that is relevant to the Annual Meeting or Rent the Runway’s business and that remarks are respectful of your fellow stockholders and meeting participants. Questions may be grouped by topic by Rent the Runway’s management with a representative question read aloud and answered. In addition, questions may be deemed to be out of order if they are, among other things, irrelevant to our business, repetitious of statements already made, or in furtherance of the speaker’s own personal, political, or business interests. Questions will be addressed in the Q&amp;A portion of the Annual Meeting.</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need technical assistance accessing or participating in the virtual Annual Meeting?</w:t>
      </w:r>
    </w:p>
    <w:p>
      <w:pPr>
        <w:spacing w:after="0" w:line="166" w:lineRule="exact"/>
        <w:rPr>
          <w:sz w:val="20"/>
          <w:szCs w:val="20"/>
          <w:color w:val="auto"/>
        </w:rPr>
      </w:pPr>
    </w:p>
    <w:p>
      <w:pPr>
        <w:jc w:val="both"/>
        <w:ind w:left="20" w:right="240"/>
        <w:spacing w:after="0" w:line="253" w:lineRule="auto"/>
        <w:rPr>
          <w:sz w:val="20"/>
          <w:szCs w:val="20"/>
          <w:color w:val="auto"/>
        </w:rPr>
      </w:pPr>
      <w:r>
        <w:rPr>
          <w:rFonts w:ascii="Arial" w:cs="Arial" w:eastAsia="Arial" w:hAnsi="Arial"/>
          <w:sz w:val="18"/>
          <w:szCs w:val="18"/>
          <w:color w:val="auto"/>
        </w:rPr>
        <w:t>If you encounter any difficulties accessing the virtual Annual Meeting during the check-in or meeting time, please call the technical support number that will be posted on the virtual Annual Meeting log in page. Technical support will be available starting at 8:15 a.m. Eastern Time on July 14, 2026.</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deadline for voting?</w:t>
      </w:r>
    </w:p>
    <w:p>
      <w:pPr>
        <w:spacing w:after="0" w:line="166"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If you are a stockholder of record, your ability to vote by proxy by internet or telephone will end at 11:59 p.m. Eastern Time on July 13, 2026. If you prefer to vote by mail, you should complete and return the proxy card as soon as possible. You will also be able to vote by attending and voting at the virtual Annual Meeting on July 14, 2026. However, we recommend that you submit your proxy in advance in the event your plans change or you are unable to attend the Annual Meeting.</w:t>
      </w:r>
    </w:p>
    <w:p>
      <w:pPr>
        <w:spacing w:after="0" w:line="136" w:lineRule="exact"/>
        <w:rPr>
          <w:sz w:val="20"/>
          <w:szCs w:val="20"/>
          <w:color w:val="auto"/>
        </w:rPr>
      </w:pPr>
    </w:p>
    <w:p>
      <w:pPr>
        <w:ind w:left="20" w:right="400"/>
        <w:spacing w:after="0" w:line="271" w:lineRule="auto"/>
        <w:rPr>
          <w:sz w:val="20"/>
          <w:szCs w:val="20"/>
          <w:color w:val="auto"/>
        </w:rPr>
      </w:pPr>
      <w:r>
        <w:rPr>
          <w:rFonts w:ascii="Arial" w:cs="Arial" w:eastAsia="Arial" w:hAnsi="Arial"/>
          <w:sz w:val="18"/>
          <w:szCs w:val="18"/>
          <w:color w:val="auto"/>
        </w:rPr>
        <w:t>If your Rent the Runway shares are held in an account with a broker, bank, trustee, or nominee, you should vote in accordance with the instructions from your broker, bank, trustee, or nominee.</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happens if I do not vote?</w:t>
      </w:r>
    </w:p>
    <w:p>
      <w:pPr>
        <w:spacing w:after="0" w:line="166" w:lineRule="exact"/>
        <w:rPr>
          <w:sz w:val="20"/>
          <w:szCs w:val="20"/>
          <w:color w:val="auto"/>
        </w:rPr>
      </w:pPr>
    </w:p>
    <w:p>
      <w:pPr>
        <w:ind w:left="20" w:right="80"/>
        <w:spacing w:after="0" w:line="271"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during the meeting, your shares will not be voted.</w:t>
      </w:r>
    </w:p>
    <w:p>
      <w:pPr>
        <w:spacing w:after="0" w:line="113" w:lineRule="exact"/>
        <w:rPr>
          <w:sz w:val="20"/>
          <w:szCs w:val="20"/>
          <w:color w:val="auto"/>
        </w:rPr>
      </w:pPr>
    </w:p>
    <w:p>
      <w:pPr>
        <w:ind w:left="20"/>
        <w:spacing w:after="0" w:line="253" w:lineRule="auto"/>
        <w:rPr>
          <w:sz w:val="20"/>
          <w:szCs w:val="20"/>
          <w:color w:val="auto"/>
        </w:rPr>
      </w:pPr>
      <w:r>
        <w:rPr>
          <w:rFonts w:ascii="Arial" w:cs="Arial" w:eastAsia="Arial" w:hAnsi="Arial"/>
          <w:sz w:val="17"/>
          <w:szCs w:val="17"/>
          <w:color w:val="auto"/>
        </w:rPr>
        <w:t>If your Rent the Runway shares are held in an account with a broker, bank, trustee or other nominee, and you do not instruct your broker, bank, trustee or other nominee how to vote your shares, your broker, bank, trustee or other nominee may still be able to vote your shares in its discretion. In this regard, brokers and other securities intermediaries may use their discretion to vote your “uninstructed” shares with respect to matters considered under applicable exchange rules to be “routine,” but not with respect to “non-routine” matters. Each of Proposal No. 1 (the Election of Directors), Proposal Nos. 3 - 11 (the Charter Amendment Proposals), and Proposal No. 12 (the Plan Amendment Proposal) are considered to be “non-routine” under applicable exchange rules, meaning that your broker may not vote your shares on this proposal in the absence of your voting instructions, which would result in a “broker non-vote.” Proposal No. 2 (the Ratification of Auditors), however, is considered to be a “routine” matter, meaning that if you do not return voting instructions to your broker by its deadline, your shares may be voted by your broker in its discretion on Proposal No. 2. Please instruct your broker, bank, trustee, or other nominee to ensure that your vote will be counted.</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right="640"/>
        <w:spacing w:after="0" w:line="270" w:lineRule="auto"/>
        <w:rPr>
          <w:sz w:val="20"/>
          <w:szCs w:val="20"/>
          <w:color w:val="auto"/>
        </w:rPr>
      </w:pPr>
      <w:r>
        <w:rPr>
          <w:rFonts w:ascii="Arial" w:cs="Arial" w:eastAsia="Arial" w:hAnsi="Arial"/>
          <w:sz w:val="20"/>
          <w:szCs w:val="20"/>
          <w:b w:val="1"/>
          <w:bCs w:val="1"/>
          <w:color w:val="auto"/>
        </w:rPr>
        <w:t>What is a “vote withheld” and an “abstention” and how will votes withheld and abstentions be treated?</w:t>
      </w:r>
    </w:p>
    <w:p>
      <w:pPr>
        <w:spacing w:after="0" w:line="95"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our auditors, any of the Charter Amendment Proposals, or the Plan Amendment Proposal, represents a stockholder’s affirmative choice to decline to vote on a proposal. Votes withheld have no effect on the election of directors. Abstentions have no effect on the ratification of the appointment of our auditors or the Plan Amendment Proposal and count as a vote against each of the Charter Amendment Proposals.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return a proxy card but do not make specific choices?</w:t>
      </w:r>
    </w:p>
    <w:p>
      <w:pPr>
        <w:spacing w:after="0" w:line="166"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If you submit a properly signed proxy card but do not provide any voting instructions, the persons named as proxies will vote in accordance with the recommendations of the Board of Directors, which are indicated above and with each proposal in this proxy statement. We know of no other business that will be presented at the Annual Meeting. However, if any other matter is properly presented at the meeting, the persons named as proxies will vote your shares using his or her best judgment.</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change my vote or revoke my proxy?</w:t>
      </w:r>
    </w:p>
    <w:p>
      <w:pPr>
        <w:spacing w:after="0" w:line="166"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color w:val="auto"/>
        </w:rPr>
        <w:t>Yes. If your shares are registered directly in your name with our transfer agent, Equiniti Trust Company, LLC, you may change your vote or revoke your proxy at any time prior to the final vote at the virtual Annual Meeting by:</w:t>
      </w:r>
    </w:p>
    <w:p>
      <w:pPr>
        <w:spacing w:after="0" w:line="113" w:lineRule="exact"/>
        <w:rPr>
          <w:sz w:val="20"/>
          <w:szCs w:val="20"/>
          <w:color w:val="auto"/>
        </w:rPr>
      </w:pPr>
    </w:p>
    <w:p>
      <w:pPr>
        <w:ind w:left="740" w:right="740" w:hanging="359"/>
        <w:spacing w:after="0" w:line="245"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a new proxy bearing a later date (which automatically revokes the earlier proxy) by internet, telephone, or mail (and until the applicable deadline for each method);</w:t>
      </w:r>
    </w:p>
    <w:p>
      <w:pPr>
        <w:ind w:left="74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written notice of revocation to the Secretary of the Company prior to the Annual Meeting; or</w:t>
      </w:r>
    </w:p>
    <w:p>
      <w:pPr>
        <w:ind w:left="740" w:hanging="359"/>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and voting at the virtual Annual Meeting.</w:t>
      </w:r>
    </w:p>
    <w:p>
      <w:pPr>
        <w:spacing w:after="0" w:line="167"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Your most recent proxy submitted by proxy card, internet, or telephone is the one that will count. Your attendance at the virtual Annual Meeting by itself will not revoke your proxy if you do not also vote at the virtual Annual Meeting.</w:t>
      </w:r>
    </w:p>
    <w:p>
      <w:pPr>
        <w:spacing w:after="0" w:line="113"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If you hold shares in an account with a broker, bank, trustee, or nominee, you may change your vote by submitting new voting instructions to your broker, bank, trustee, or nominee in accordance with the instructions they provide to you. If you have obtained a valid proxy from your broker, bank, trustee, or nominee giving you the right to vote your shares, you may change your vote by attending the virtual Annual Meeting and voting.</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are required to approve each proposal?</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20" w:type="dxa"/>
            <w:vAlign w:val="bottom"/>
            <w:shd w:val="clear" w:color="auto" w:fill="FFE8F5"/>
          </w:tcPr>
          <w:p>
            <w:pPr>
              <w:spacing w:after="0"/>
              <w:rPr>
                <w:sz w:val="22"/>
                <w:szCs w:val="22"/>
                <w:color w:val="auto"/>
              </w:rPr>
            </w:pPr>
          </w:p>
        </w:tc>
        <w:tc>
          <w:tcPr>
            <w:tcW w:w="1680" w:type="dxa"/>
            <w:vAlign w:val="bottom"/>
            <w:shd w:val="clear" w:color="auto" w:fill="FFE8F5"/>
          </w:tcPr>
          <w:p>
            <w:pPr>
              <w:spacing w:after="0"/>
              <w:rPr>
                <w:sz w:val="22"/>
                <w:szCs w:val="22"/>
                <w:color w:val="auto"/>
              </w:rPr>
            </w:pPr>
          </w:p>
        </w:tc>
        <w:tc>
          <w:tcPr>
            <w:tcW w:w="2980" w:type="dxa"/>
            <w:vAlign w:val="bottom"/>
            <w:shd w:val="clear" w:color="auto" w:fill="FFE8F5"/>
          </w:tcPr>
          <w:p>
            <w:pPr>
              <w:spacing w:after="0"/>
              <w:rPr>
                <w:sz w:val="22"/>
                <w:szCs w:val="22"/>
                <w:color w:val="auto"/>
              </w:rPr>
            </w:pPr>
          </w:p>
        </w:tc>
        <w:tc>
          <w:tcPr>
            <w:tcW w:w="1540" w:type="dxa"/>
            <w:vAlign w:val="bottom"/>
            <w:shd w:val="clear" w:color="auto" w:fill="FFE8F5"/>
          </w:tcPr>
          <w:p>
            <w:pPr>
              <w:ind w:left="100"/>
              <w:spacing w:after="0"/>
              <w:rPr>
                <w:sz w:val="20"/>
                <w:szCs w:val="20"/>
                <w:color w:val="auto"/>
              </w:rPr>
            </w:pPr>
            <w:r>
              <w:rPr>
                <w:rFonts w:ascii="Arial" w:cs="Arial" w:eastAsia="Arial" w:hAnsi="Arial"/>
                <w:sz w:val="14"/>
                <w:szCs w:val="14"/>
                <w:b w:val="1"/>
                <w:bCs w:val="1"/>
                <w:color w:val="auto"/>
              </w:rPr>
              <w:t>Effect of Votes</w:t>
            </w:r>
          </w:p>
        </w:tc>
        <w:tc>
          <w:tcPr>
            <w:tcW w:w="3180" w:type="dxa"/>
            <w:vAlign w:val="bottom"/>
            <w:shd w:val="clear" w:color="auto" w:fill="FFE8F5"/>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FFE8F5"/>
          </w:tcPr>
          <w:p>
            <w:pPr>
              <w:spacing w:after="0"/>
              <w:rPr>
                <w:sz w:val="14"/>
                <w:szCs w:val="14"/>
                <w:color w:val="auto"/>
              </w:rPr>
            </w:pPr>
          </w:p>
        </w:tc>
        <w:tc>
          <w:tcPr>
            <w:tcW w:w="1680" w:type="dxa"/>
            <w:vAlign w:val="bottom"/>
            <w:vMerge w:val="restart"/>
            <w:shd w:val="clear" w:color="auto" w:fill="FFE8F5"/>
          </w:tcPr>
          <w:p>
            <w:pPr>
              <w:ind w:left="40"/>
              <w:spacing w:after="0"/>
              <w:rPr>
                <w:sz w:val="20"/>
                <w:szCs w:val="20"/>
                <w:color w:val="auto"/>
              </w:rPr>
            </w:pPr>
            <w:r>
              <w:rPr>
                <w:rFonts w:ascii="Arial" w:cs="Arial" w:eastAsia="Arial" w:hAnsi="Arial"/>
                <w:sz w:val="14"/>
                <w:szCs w:val="14"/>
                <w:b w:val="1"/>
                <w:bCs w:val="1"/>
                <w:color w:val="auto"/>
              </w:rPr>
              <w:t>Proposal</w:t>
            </w:r>
          </w:p>
        </w:tc>
        <w:tc>
          <w:tcPr>
            <w:tcW w:w="2980" w:type="dxa"/>
            <w:vAlign w:val="bottom"/>
            <w:vMerge w:val="restart"/>
            <w:shd w:val="clear" w:color="auto" w:fill="FFE8F5"/>
          </w:tcPr>
          <w:p>
            <w:pPr>
              <w:ind w:left="140"/>
              <w:spacing w:after="0"/>
              <w:rPr>
                <w:sz w:val="20"/>
                <w:szCs w:val="20"/>
                <w:color w:val="auto"/>
              </w:rPr>
            </w:pPr>
            <w:r>
              <w:rPr>
                <w:rFonts w:ascii="Arial" w:cs="Arial" w:eastAsia="Arial" w:hAnsi="Arial"/>
                <w:sz w:val="14"/>
                <w:szCs w:val="14"/>
                <w:b w:val="1"/>
                <w:bCs w:val="1"/>
                <w:color w:val="auto"/>
              </w:rPr>
              <w:t>Vote Required for Approval</w:t>
            </w:r>
          </w:p>
        </w:tc>
        <w:tc>
          <w:tcPr>
            <w:tcW w:w="1540" w:type="dxa"/>
            <w:vAlign w:val="bottom"/>
            <w:shd w:val="clear" w:color="auto" w:fill="FFE8F5"/>
          </w:tcPr>
          <w:p>
            <w:pPr>
              <w:ind w:left="100"/>
              <w:spacing w:after="0"/>
              <w:rPr>
                <w:sz w:val="20"/>
                <w:szCs w:val="20"/>
                <w:color w:val="auto"/>
              </w:rPr>
            </w:pPr>
            <w:r>
              <w:rPr>
                <w:rFonts w:ascii="Arial" w:cs="Arial" w:eastAsia="Arial" w:hAnsi="Arial"/>
                <w:sz w:val="14"/>
                <w:szCs w:val="14"/>
                <w:b w:val="1"/>
                <w:bCs w:val="1"/>
                <w:color w:val="auto"/>
              </w:rPr>
              <w:t>Withheld or</w:t>
            </w:r>
          </w:p>
        </w:tc>
        <w:tc>
          <w:tcPr>
            <w:tcW w:w="3180" w:type="dxa"/>
            <w:vAlign w:val="bottom"/>
            <w:vMerge w:val="restart"/>
            <w:shd w:val="clear" w:color="auto" w:fill="FFE8F5"/>
          </w:tcPr>
          <w:p>
            <w:pPr>
              <w:ind w:left="340"/>
              <w:spacing w:after="0"/>
              <w:rPr>
                <w:sz w:val="20"/>
                <w:szCs w:val="20"/>
                <w:color w:val="auto"/>
              </w:rPr>
            </w:pPr>
            <w:r>
              <w:rPr>
                <w:rFonts w:ascii="Arial" w:cs="Arial" w:eastAsia="Arial" w:hAnsi="Arial"/>
                <w:sz w:val="14"/>
                <w:szCs w:val="14"/>
                <w:b w:val="1"/>
                <w:bCs w:val="1"/>
                <w:color w:val="auto"/>
              </w:rPr>
              <w:t>Effect of Broker Non-Votes*</w:t>
            </w:r>
          </w:p>
        </w:tc>
        <w:tc>
          <w:tcPr>
            <w:tcW w:w="0" w:type="dxa"/>
            <w:vAlign w:val="bottom"/>
          </w:tcPr>
          <w:p>
            <w:pPr>
              <w:spacing w:after="0"/>
              <w:rPr>
                <w:sz w:val="1"/>
                <w:szCs w:val="1"/>
                <w:color w:val="auto"/>
              </w:rPr>
            </w:pPr>
          </w:p>
        </w:tc>
      </w:tr>
      <w:tr>
        <w:trPr>
          <w:trHeight w:val="115"/>
        </w:trPr>
        <w:tc>
          <w:tcPr>
            <w:tcW w:w="120" w:type="dxa"/>
            <w:vAlign w:val="bottom"/>
            <w:shd w:val="clear" w:color="auto" w:fill="FFE8F5"/>
          </w:tcPr>
          <w:p>
            <w:pPr>
              <w:spacing w:after="0"/>
              <w:rPr>
                <w:sz w:val="10"/>
                <w:szCs w:val="10"/>
                <w:color w:val="auto"/>
              </w:rPr>
            </w:pPr>
          </w:p>
        </w:tc>
        <w:tc>
          <w:tcPr>
            <w:tcW w:w="1680" w:type="dxa"/>
            <w:vAlign w:val="bottom"/>
            <w:vMerge w:val="continue"/>
            <w:shd w:val="clear" w:color="auto" w:fill="FFE8F5"/>
          </w:tcPr>
          <w:p>
            <w:pPr>
              <w:spacing w:after="0"/>
              <w:rPr>
                <w:sz w:val="10"/>
                <w:szCs w:val="10"/>
                <w:color w:val="auto"/>
              </w:rPr>
            </w:pPr>
          </w:p>
        </w:tc>
        <w:tc>
          <w:tcPr>
            <w:tcW w:w="2980" w:type="dxa"/>
            <w:vAlign w:val="bottom"/>
            <w:vMerge w:val="continue"/>
            <w:shd w:val="clear" w:color="auto" w:fill="FFE8F5"/>
          </w:tcPr>
          <w:p>
            <w:pPr>
              <w:spacing w:after="0"/>
              <w:rPr>
                <w:sz w:val="10"/>
                <w:szCs w:val="10"/>
                <w:color w:val="auto"/>
              </w:rPr>
            </w:pPr>
          </w:p>
        </w:tc>
        <w:tc>
          <w:tcPr>
            <w:tcW w:w="1540" w:type="dxa"/>
            <w:vAlign w:val="bottom"/>
            <w:vMerge w:val="restart"/>
            <w:shd w:val="clear" w:color="auto" w:fill="FFE8F5"/>
          </w:tcPr>
          <w:p>
            <w:pPr>
              <w:ind w:left="100"/>
              <w:spacing w:after="0"/>
              <w:rPr>
                <w:sz w:val="20"/>
                <w:szCs w:val="20"/>
                <w:color w:val="auto"/>
              </w:rPr>
            </w:pPr>
            <w:r>
              <w:rPr>
                <w:rFonts w:ascii="Arial" w:cs="Arial" w:eastAsia="Arial" w:hAnsi="Arial"/>
                <w:sz w:val="14"/>
                <w:szCs w:val="14"/>
                <w:b w:val="1"/>
                <w:bCs w:val="1"/>
                <w:color w:val="auto"/>
              </w:rPr>
              <w:t>Abstentions, as</w:t>
            </w:r>
          </w:p>
        </w:tc>
        <w:tc>
          <w:tcPr>
            <w:tcW w:w="3180" w:type="dxa"/>
            <w:vAlign w:val="bottom"/>
            <w:vMerge w:val="continue"/>
            <w:shd w:val="clear" w:color="auto" w:fill="FFE8F5"/>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20" w:type="dxa"/>
            <w:vAlign w:val="bottom"/>
            <w:shd w:val="clear" w:color="auto" w:fill="FFE8F5"/>
          </w:tcPr>
          <w:p>
            <w:pPr>
              <w:spacing w:after="0"/>
              <w:rPr>
                <w:sz w:val="4"/>
                <w:szCs w:val="4"/>
                <w:color w:val="auto"/>
              </w:rPr>
            </w:pPr>
          </w:p>
        </w:tc>
        <w:tc>
          <w:tcPr>
            <w:tcW w:w="1680" w:type="dxa"/>
            <w:vAlign w:val="bottom"/>
            <w:shd w:val="clear" w:color="auto" w:fill="FFE8F5"/>
          </w:tcPr>
          <w:p>
            <w:pPr>
              <w:spacing w:after="0"/>
              <w:rPr>
                <w:sz w:val="4"/>
                <w:szCs w:val="4"/>
                <w:color w:val="auto"/>
              </w:rPr>
            </w:pPr>
          </w:p>
        </w:tc>
        <w:tc>
          <w:tcPr>
            <w:tcW w:w="2980" w:type="dxa"/>
            <w:vAlign w:val="bottom"/>
            <w:shd w:val="clear" w:color="auto" w:fill="FFE8F5"/>
          </w:tcPr>
          <w:p>
            <w:pPr>
              <w:spacing w:after="0"/>
              <w:rPr>
                <w:sz w:val="4"/>
                <w:szCs w:val="4"/>
                <w:color w:val="auto"/>
              </w:rPr>
            </w:pPr>
          </w:p>
        </w:tc>
        <w:tc>
          <w:tcPr>
            <w:tcW w:w="1540" w:type="dxa"/>
            <w:vAlign w:val="bottom"/>
            <w:vMerge w:val="continue"/>
            <w:shd w:val="clear" w:color="auto" w:fill="FFE8F5"/>
          </w:tcPr>
          <w:p>
            <w:pPr>
              <w:spacing w:after="0"/>
              <w:rPr>
                <w:sz w:val="4"/>
                <w:szCs w:val="4"/>
                <w:color w:val="auto"/>
              </w:rPr>
            </w:pPr>
          </w:p>
        </w:tc>
        <w:tc>
          <w:tcPr>
            <w:tcW w:w="3180" w:type="dxa"/>
            <w:vAlign w:val="bottom"/>
            <w:shd w:val="clear" w:color="auto" w:fill="FFE8F5"/>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FFE8F5"/>
          </w:tcPr>
          <w:p>
            <w:pPr>
              <w:spacing w:after="0"/>
              <w:rPr>
                <w:sz w:val="17"/>
                <w:szCs w:val="17"/>
                <w:color w:val="auto"/>
              </w:rPr>
            </w:pPr>
          </w:p>
        </w:tc>
        <w:tc>
          <w:tcPr>
            <w:tcW w:w="1680" w:type="dxa"/>
            <w:vAlign w:val="bottom"/>
            <w:shd w:val="clear" w:color="auto" w:fill="FFE8F5"/>
          </w:tcPr>
          <w:p>
            <w:pPr>
              <w:spacing w:after="0"/>
              <w:rPr>
                <w:sz w:val="17"/>
                <w:szCs w:val="17"/>
                <w:color w:val="auto"/>
              </w:rPr>
            </w:pPr>
          </w:p>
        </w:tc>
        <w:tc>
          <w:tcPr>
            <w:tcW w:w="2980" w:type="dxa"/>
            <w:vAlign w:val="bottom"/>
            <w:shd w:val="clear" w:color="auto" w:fill="FFE8F5"/>
          </w:tcPr>
          <w:p>
            <w:pPr>
              <w:spacing w:after="0"/>
              <w:rPr>
                <w:sz w:val="17"/>
                <w:szCs w:val="17"/>
                <w:color w:val="auto"/>
              </w:rPr>
            </w:pPr>
          </w:p>
        </w:tc>
        <w:tc>
          <w:tcPr>
            <w:tcW w:w="1540" w:type="dxa"/>
            <w:vAlign w:val="bottom"/>
            <w:shd w:val="clear" w:color="auto" w:fill="FFE8F5"/>
          </w:tcPr>
          <w:p>
            <w:pPr>
              <w:ind w:left="100"/>
              <w:spacing w:after="0"/>
              <w:rPr>
                <w:sz w:val="20"/>
                <w:szCs w:val="20"/>
                <w:color w:val="auto"/>
              </w:rPr>
            </w:pPr>
            <w:r>
              <w:rPr>
                <w:rFonts w:ascii="Arial" w:cs="Arial" w:eastAsia="Arial" w:hAnsi="Arial"/>
                <w:sz w:val="14"/>
                <w:szCs w:val="14"/>
                <w:b w:val="1"/>
                <w:bCs w:val="1"/>
                <w:color w:val="auto"/>
              </w:rPr>
              <w:t>applicable</w:t>
            </w:r>
          </w:p>
        </w:tc>
        <w:tc>
          <w:tcPr>
            <w:tcW w:w="3180" w:type="dxa"/>
            <w:vAlign w:val="bottom"/>
            <w:shd w:val="clear" w:color="auto" w:fill="FFE8F5"/>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120" w:type="dxa"/>
            <w:vAlign w:val="bottom"/>
            <w:tcBorders>
              <w:bottom w:val="single" w:sz="8" w:color="auto"/>
            </w:tcBorders>
            <w:shd w:val="clear" w:color="auto" w:fill="FFE8F5"/>
          </w:tcPr>
          <w:p>
            <w:pPr>
              <w:spacing w:after="0"/>
              <w:rPr>
                <w:sz w:val="6"/>
                <w:szCs w:val="6"/>
                <w:color w:val="auto"/>
              </w:rPr>
            </w:pPr>
          </w:p>
        </w:tc>
        <w:tc>
          <w:tcPr>
            <w:tcW w:w="1680" w:type="dxa"/>
            <w:vAlign w:val="bottom"/>
            <w:tcBorders>
              <w:bottom w:val="single" w:sz="8" w:color="auto"/>
            </w:tcBorders>
            <w:shd w:val="clear" w:color="auto" w:fill="FFE8F5"/>
          </w:tcPr>
          <w:p>
            <w:pPr>
              <w:spacing w:after="0"/>
              <w:rPr>
                <w:sz w:val="6"/>
                <w:szCs w:val="6"/>
                <w:color w:val="auto"/>
              </w:rPr>
            </w:pPr>
          </w:p>
        </w:tc>
        <w:tc>
          <w:tcPr>
            <w:tcW w:w="2980" w:type="dxa"/>
            <w:vAlign w:val="bottom"/>
            <w:tcBorders>
              <w:bottom w:val="single" w:sz="8" w:color="auto"/>
            </w:tcBorders>
            <w:shd w:val="clear" w:color="auto" w:fill="FFE8F5"/>
          </w:tcPr>
          <w:p>
            <w:pPr>
              <w:spacing w:after="0"/>
              <w:rPr>
                <w:sz w:val="6"/>
                <w:szCs w:val="6"/>
                <w:color w:val="auto"/>
              </w:rPr>
            </w:pPr>
          </w:p>
        </w:tc>
        <w:tc>
          <w:tcPr>
            <w:tcW w:w="1540" w:type="dxa"/>
            <w:vAlign w:val="bottom"/>
            <w:tcBorders>
              <w:bottom w:val="single" w:sz="8" w:color="auto"/>
            </w:tcBorders>
            <w:shd w:val="clear" w:color="auto" w:fill="FFE8F5"/>
          </w:tcPr>
          <w:p>
            <w:pPr>
              <w:spacing w:after="0"/>
              <w:rPr>
                <w:sz w:val="6"/>
                <w:szCs w:val="6"/>
                <w:color w:val="auto"/>
              </w:rPr>
            </w:pPr>
          </w:p>
        </w:tc>
        <w:tc>
          <w:tcPr>
            <w:tcW w:w="3180" w:type="dxa"/>
            <w:vAlign w:val="bottom"/>
            <w:tcBorders>
              <w:bottom w:val="single" w:sz="8" w:color="auto"/>
            </w:tcBorders>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1680" w:type="dxa"/>
            <w:vAlign w:val="bottom"/>
          </w:tcPr>
          <w:p>
            <w:pPr>
              <w:ind w:left="40"/>
              <w:spacing w:after="0"/>
              <w:rPr>
                <w:sz w:val="20"/>
                <w:szCs w:val="20"/>
                <w:color w:val="auto"/>
              </w:rPr>
            </w:pPr>
            <w:r>
              <w:rPr>
                <w:rFonts w:ascii="Arial" w:cs="Arial" w:eastAsia="Arial" w:hAnsi="Arial"/>
                <w:sz w:val="14"/>
                <w:szCs w:val="14"/>
                <w:color w:val="auto"/>
              </w:rPr>
              <w:t>1.  Election of Directors</w:t>
            </w:r>
          </w:p>
        </w:tc>
        <w:tc>
          <w:tcPr>
            <w:tcW w:w="2980" w:type="dxa"/>
            <w:vAlign w:val="bottom"/>
          </w:tcPr>
          <w:p>
            <w:pPr>
              <w:ind w:left="140"/>
              <w:spacing w:after="0"/>
              <w:rPr>
                <w:sz w:val="20"/>
                <w:szCs w:val="20"/>
                <w:color w:val="auto"/>
              </w:rPr>
            </w:pPr>
            <w:r>
              <w:rPr>
                <w:rFonts w:ascii="Arial" w:cs="Arial" w:eastAsia="Arial" w:hAnsi="Arial"/>
                <w:sz w:val="14"/>
                <w:szCs w:val="14"/>
                <w:color w:val="auto"/>
              </w:rPr>
              <w:t>Directors are elected by a plurality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No effect</w:t>
            </w:r>
          </w:p>
        </w:tc>
        <w:tc>
          <w:tcPr>
            <w:tcW w:w="3180" w:type="dxa"/>
            <w:vAlign w:val="bottom"/>
          </w:tcPr>
          <w:p>
            <w:pPr>
              <w:ind w:left="340"/>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votes cast.</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680" w:type="dxa"/>
            <w:vAlign w:val="bottom"/>
          </w:tcPr>
          <w:p>
            <w:pPr>
              <w:ind w:left="40"/>
              <w:spacing w:after="0"/>
              <w:rPr>
                <w:sz w:val="20"/>
                <w:szCs w:val="20"/>
                <w:color w:val="auto"/>
              </w:rPr>
            </w:pPr>
            <w:r>
              <w:rPr>
                <w:rFonts w:ascii="Arial" w:cs="Arial" w:eastAsia="Arial" w:hAnsi="Arial"/>
                <w:sz w:val="14"/>
                <w:szCs w:val="14"/>
                <w:color w:val="auto"/>
              </w:rPr>
              <w:t>2.  Ratification of</w:t>
            </w:r>
          </w:p>
        </w:tc>
        <w:tc>
          <w:tcPr>
            <w:tcW w:w="2980" w:type="dxa"/>
            <w:vAlign w:val="bottom"/>
          </w:tcPr>
          <w:p>
            <w:pPr>
              <w:ind w:left="14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No effect</w:t>
            </w:r>
          </w:p>
        </w:tc>
        <w:tc>
          <w:tcPr>
            <w:tcW w:w="3180" w:type="dxa"/>
            <w:vAlign w:val="bottom"/>
          </w:tcPr>
          <w:p>
            <w:pPr>
              <w:ind w:left="340"/>
              <w:spacing w:after="0"/>
              <w:rPr>
                <w:sz w:val="20"/>
                <w:szCs w:val="20"/>
                <w:color w:val="auto"/>
              </w:rPr>
            </w:pPr>
            <w:r>
              <w:rPr>
                <w:rFonts w:ascii="Arial" w:cs="Arial" w:eastAsia="Arial" w:hAnsi="Arial"/>
                <w:sz w:val="14"/>
                <w:szCs w:val="14"/>
                <w:color w:val="auto"/>
              </w:rPr>
              <w:t>Not applicable. Brokers may vote the</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ind w:left="220"/>
              <w:spacing w:after="0"/>
              <w:rPr>
                <w:sz w:val="20"/>
                <w:szCs w:val="20"/>
                <w:color w:val="auto"/>
              </w:rPr>
            </w:pPr>
            <w:r>
              <w:rPr>
                <w:rFonts w:ascii="Arial" w:cs="Arial" w:eastAsia="Arial" w:hAnsi="Arial"/>
                <w:sz w:val="14"/>
                <w:szCs w:val="14"/>
                <w:color w:val="auto"/>
              </w:rPr>
              <w:t>Auditors</w:t>
            </w:r>
          </w:p>
        </w:tc>
        <w:tc>
          <w:tcPr>
            <w:tcW w:w="2980" w:type="dxa"/>
            <w:vAlign w:val="bottom"/>
          </w:tcPr>
          <w:p>
            <w:pPr>
              <w:ind w:left="140"/>
              <w:spacing w:after="0"/>
              <w:rPr>
                <w:sz w:val="20"/>
                <w:szCs w:val="20"/>
                <w:color w:val="auto"/>
              </w:rPr>
            </w:pPr>
            <w:r>
              <w:rPr>
                <w:rFonts w:ascii="Arial" w:cs="Arial" w:eastAsia="Arial" w:hAnsi="Arial"/>
                <w:sz w:val="14"/>
                <w:szCs w:val="14"/>
                <w:color w:val="auto"/>
              </w:rPr>
              <w:t>holders of a majority of votes cast.</w:t>
            </w:r>
          </w:p>
        </w:tc>
        <w:tc>
          <w:tcPr>
            <w:tcW w:w="1540" w:type="dxa"/>
            <w:vAlign w:val="bottom"/>
          </w:tcPr>
          <w:p>
            <w:pPr>
              <w:spacing w:after="0"/>
              <w:rPr>
                <w:sz w:val="14"/>
                <w:szCs w:val="14"/>
                <w:color w:val="auto"/>
              </w:rPr>
            </w:pPr>
          </w:p>
        </w:tc>
        <w:tc>
          <w:tcPr>
            <w:tcW w:w="3180" w:type="dxa"/>
            <w:vAlign w:val="bottom"/>
          </w:tcPr>
          <w:p>
            <w:pPr>
              <w:ind w:left="340"/>
              <w:spacing w:after="0"/>
              <w:rPr>
                <w:sz w:val="20"/>
                <w:szCs w:val="20"/>
                <w:color w:val="auto"/>
              </w:rPr>
            </w:pPr>
            <w:r>
              <w:rPr>
                <w:rFonts w:ascii="Arial" w:cs="Arial" w:eastAsia="Arial" w:hAnsi="Arial"/>
                <w:sz w:val="14"/>
                <w:szCs w:val="14"/>
                <w:color w:val="auto"/>
              </w:rPr>
              <w:t>shares if not instructed by the beneficial</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80" w:type="dxa"/>
            <w:vAlign w:val="bottom"/>
          </w:tcPr>
          <w:p>
            <w:pPr>
              <w:ind w:left="340"/>
              <w:spacing w:after="0"/>
              <w:rPr>
                <w:sz w:val="20"/>
                <w:szCs w:val="20"/>
                <w:color w:val="auto"/>
              </w:rPr>
            </w:pPr>
            <w:r>
              <w:rPr>
                <w:rFonts w:ascii="Arial" w:cs="Arial" w:eastAsia="Arial" w:hAnsi="Arial"/>
                <w:sz w:val="14"/>
                <w:szCs w:val="14"/>
                <w:color w:val="auto"/>
              </w:rPr>
              <w:t>owner, as this matter is considered</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80" w:type="dxa"/>
            <w:vAlign w:val="bottom"/>
          </w:tcPr>
          <w:p>
            <w:pPr>
              <w:ind w:left="340"/>
              <w:spacing w:after="0"/>
              <w:rPr>
                <w:sz w:val="20"/>
                <w:szCs w:val="20"/>
                <w:color w:val="auto"/>
              </w:rPr>
            </w:pPr>
            <w:r>
              <w:rPr>
                <w:rFonts w:ascii="Arial" w:cs="Arial" w:eastAsia="Arial" w:hAnsi="Arial"/>
                <w:sz w:val="14"/>
                <w:szCs w:val="14"/>
                <w:color w:val="auto"/>
              </w:rPr>
              <w:t>“routine.” Therefore, we would not expect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80" w:type="dxa"/>
            <w:vAlign w:val="bottom"/>
          </w:tcPr>
          <w:p>
            <w:pPr>
              <w:ind w:left="340"/>
              <w:spacing w:after="0"/>
              <w:rPr>
                <w:sz w:val="20"/>
                <w:szCs w:val="20"/>
                <w:color w:val="auto"/>
              </w:rPr>
            </w:pPr>
            <w:r>
              <w:rPr>
                <w:rFonts w:ascii="Arial" w:cs="Arial" w:eastAsia="Arial" w:hAnsi="Arial"/>
                <w:sz w:val="14"/>
                <w:szCs w:val="14"/>
                <w:color w:val="auto"/>
              </w:rPr>
              <w:t>broker non-votes to result from this</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180" w:type="dxa"/>
            <w:vAlign w:val="bottom"/>
          </w:tcPr>
          <w:p>
            <w:pPr>
              <w:ind w:left="340"/>
              <w:spacing w:after="0"/>
              <w:rPr>
                <w:sz w:val="20"/>
                <w:szCs w:val="20"/>
                <w:color w:val="auto"/>
              </w:rPr>
            </w:pPr>
            <w:r>
              <w:rPr>
                <w:rFonts w:ascii="Arial" w:cs="Arial" w:eastAsia="Arial" w:hAnsi="Arial"/>
                <w:sz w:val="14"/>
                <w:szCs w:val="14"/>
                <w:color w:val="auto"/>
              </w:rPr>
              <w:t>proposal</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680" w:type="dxa"/>
            <w:vAlign w:val="bottom"/>
          </w:tcPr>
          <w:p>
            <w:pPr>
              <w:ind w:left="40"/>
              <w:spacing w:after="0"/>
              <w:rPr>
                <w:sz w:val="20"/>
                <w:szCs w:val="20"/>
                <w:color w:val="auto"/>
              </w:rPr>
            </w:pPr>
            <w:r>
              <w:rPr>
                <w:rFonts w:ascii="Arial" w:cs="Arial" w:eastAsia="Arial" w:hAnsi="Arial"/>
                <w:sz w:val="14"/>
                <w:szCs w:val="14"/>
                <w:color w:val="auto"/>
              </w:rPr>
              <w:t>3.  The Class B Stock</w:t>
            </w:r>
          </w:p>
        </w:tc>
        <w:tc>
          <w:tcPr>
            <w:tcW w:w="2980" w:type="dxa"/>
            <w:vAlign w:val="bottom"/>
          </w:tcPr>
          <w:p>
            <w:pPr>
              <w:ind w:left="14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ind w:left="220"/>
              <w:spacing w:after="0"/>
              <w:rPr>
                <w:sz w:val="20"/>
                <w:szCs w:val="20"/>
                <w:color w:val="auto"/>
              </w:rPr>
            </w:pPr>
            <w:r>
              <w:rPr>
                <w:rFonts w:ascii="Arial" w:cs="Arial" w:eastAsia="Arial" w:hAnsi="Arial"/>
                <w:sz w:val="14"/>
                <w:szCs w:val="14"/>
                <w:color w:val="auto"/>
              </w:rPr>
              <w:t>Elimination Proposal</w:t>
            </w:r>
          </w:p>
        </w:tc>
        <w:tc>
          <w:tcPr>
            <w:tcW w:w="2980" w:type="dxa"/>
            <w:vAlign w:val="bottom"/>
          </w:tcPr>
          <w:p>
            <w:pPr>
              <w:ind w:left="14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20" w:type="dxa"/>
            <w:vAlign w:val="bottom"/>
            <w:shd w:val="clear" w:color="auto" w:fill="FFE8F5"/>
          </w:tcPr>
          <w:p>
            <w:pPr>
              <w:spacing w:after="0"/>
              <w:rPr>
                <w:sz w:val="22"/>
                <w:szCs w:val="22"/>
                <w:color w:val="auto"/>
              </w:rPr>
            </w:pPr>
          </w:p>
        </w:tc>
        <w:tc>
          <w:tcPr>
            <w:tcW w:w="1700" w:type="dxa"/>
            <w:vAlign w:val="bottom"/>
            <w:shd w:val="clear" w:color="auto" w:fill="FFE8F5"/>
          </w:tcPr>
          <w:p>
            <w:pPr>
              <w:spacing w:after="0"/>
              <w:rPr>
                <w:sz w:val="22"/>
                <w:szCs w:val="22"/>
                <w:color w:val="auto"/>
              </w:rPr>
            </w:pPr>
          </w:p>
        </w:tc>
        <w:tc>
          <w:tcPr>
            <w:tcW w:w="2960" w:type="dxa"/>
            <w:vAlign w:val="bottom"/>
            <w:shd w:val="clear" w:color="auto" w:fill="FFE8F5"/>
          </w:tcPr>
          <w:p>
            <w:pPr>
              <w:spacing w:after="0"/>
              <w:rPr>
                <w:sz w:val="22"/>
                <w:szCs w:val="22"/>
                <w:color w:val="auto"/>
              </w:rPr>
            </w:pPr>
          </w:p>
        </w:tc>
        <w:tc>
          <w:tcPr>
            <w:tcW w:w="1540" w:type="dxa"/>
            <w:vAlign w:val="bottom"/>
            <w:shd w:val="clear" w:color="auto" w:fill="FFE8F5"/>
          </w:tcPr>
          <w:p>
            <w:pPr>
              <w:ind w:left="100"/>
              <w:spacing w:after="0"/>
              <w:rPr>
                <w:sz w:val="20"/>
                <w:szCs w:val="20"/>
                <w:color w:val="auto"/>
              </w:rPr>
            </w:pPr>
            <w:r>
              <w:rPr>
                <w:rFonts w:ascii="Arial" w:cs="Arial" w:eastAsia="Arial" w:hAnsi="Arial"/>
                <w:sz w:val="14"/>
                <w:szCs w:val="14"/>
                <w:b w:val="1"/>
                <w:bCs w:val="1"/>
                <w:color w:val="auto"/>
              </w:rPr>
              <w:t>Effect of Votes</w:t>
            </w:r>
          </w:p>
        </w:tc>
        <w:tc>
          <w:tcPr>
            <w:tcW w:w="3180" w:type="dxa"/>
            <w:vAlign w:val="bottom"/>
            <w:shd w:val="clear" w:color="auto" w:fill="FFE8F5"/>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FFE8F5"/>
          </w:tcPr>
          <w:p>
            <w:pPr>
              <w:spacing w:after="0"/>
              <w:rPr>
                <w:sz w:val="14"/>
                <w:szCs w:val="14"/>
                <w:color w:val="auto"/>
              </w:rPr>
            </w:pPr>
          </w:p>
        </w:tc>
        <w:tc>
          <w:tcPr>
            <w:tcW w:w="1700" w:type="dxa"/>
            <w:vAlign w:val="bottom"/>
            <w:vMerge w:val="restart"/>
            <w:shd w:val="clear" w:color="auto" w:fill="FFE8F5"/>
          </w:tcPr>
          <w:p>
            <w:pPr>
              <w:ind w:left="40"/>
              <w:spacing w:after="0"/>
              <w:rPr>
                <w:sz w:val="20"/>
                <w:szCs w:val="20"/>
                <w:color w:val="auto"/>
              </w:rPr>
            </w:pPr>
            <w:r>
              <w:rPr>
                <w:rFonts w:ascii="Arial" w:cs="Arial" w:eastAsia="Arial" w:hAnsi="Arial"/>
                <w:sz w:val="14"/>
                <w:szCs w:val="14"/>
                <w:b w:val="1"/>
                <w:bCs w:val="1"/>
                <w:color w:val="auto"/>
              </w:rPr>
              <w:t>Proposal</w:t>
            </w:r>
          </w:p>
        </w:tc>
        <w:tc>
          <w:tcPr>
            <w:tcW w:w="2960" w:type="dxa"/>
            <w:vAlign w:val="bottom"/>
            <w:vMerge w:val="restart"/>
            <w:shd w:val="clear" w:color="auto" w:fill="FFE8F5"/>
          </w:tcPr>
          <w:p>
            <w:pPr>
              <w:ind w:left="120"/>
              <w:spacing w:after="0"/>
              <w:rPr>
                <w:sz w:val="20"/>
                <w:szCs w:val="20"/>
                <w:color w:val="auto"/>
              </w:rPr>
            </w:pPr>
            <w:r>
              <w:rPr>
                <w:rFonts w:ascii="Arial" w:cs="Arial" w:eastAsia="Arial" w:hAnsi="Arial"/>
                <w:sz w:val="14"/>
                <w:szCs w:val="14"/>
                <w:b w:val="1"/>
                <w:bCs w:val="1"/>
                <w:color w:val="auto"/>
              </w:rPr>
              <w:t>Vote Required for Approval</w:t>
            </w:r>
          </w:p>
        </w:tc>
        <w:tc>
          <w:tcPr>
            <w:tcW w:w="1540" w:type="dxa"/>
            <w:vAlign w:val="bottom"/>
            <w:shd w:val="clear" w:color="auto" w:fill="FFE8F5"/>
          </w:tcPr>
          <w:p>
            <w:pPr>
              <w:ind w:left="100"/>
              <w:spacing w:after="0"/>
              <w:rPr>
                <w:sz w:val="20"/>
                <w:szCs w:val="20"/>
                <w:color w:val="auto"/>
              </w:rPr>
            </w:pPr>
            <w:r>
              <w:rPr>
                <w:rFonts w:ascii="Arial" w:cs="Arial" w:eastAsia="Arial" w:hAnsi="Arial"/>
                <w:sz w:val="14"/>
                <w:szCs w:val="14"/>
                <w:b w:val="1"/>
                <w:bCs w:val="1"/>
                <w:color w:val="auto"/>
              </w:rPr>
              <w:t>Withheld or</w:t>
            </w:r>
          </w:p>
        </w:tc>
        <w:tc>
          <w:tcPr>
            <w:tcW w:w="3180" w:type="dxa"/>
            <w:vAlign w:val="bottom"/>
            <w:vMerge w:val="restart"/>
            <w:shd w:val="clear" w:color="auto" w:fill="FFE8F5"/>
          </w:tcPr>
          <w:p>
            <w:pPr>
              <w:ind w:left="340"/>
              <w:spacing w:after="0"/>
              <w:rPr>
                <w:sz w:val="20"/>
                <w:szCs w:val="20"/>
                <w:color w:val="auto"/>
              </w:rPr>
            </w:pPr>
            <w:r>
              <w:rPr>
                <w:rFonts w:ascii="Arial" w:cs="Arial" w:eastAsia="Arial" w:hAnsi="Arial"/>
                <w:sz w:val="14"/>
                <w:szCs w:val="14"/>
                <w:b w:val="1"/>
                <w:bCs w:val="1"/>
                <w:color w:val="auto"/>
              </w:rPr>
              <w:t>Effect of Broker Non-Votes*</w:t>
            </w:r>
          </w:p>
        </w:tc>
        <w:tc>
          <w:tcPr>
            <w:tcW w:w="0" w:type="dxa"/>
            <w:vAlign w:val="bottom"/>
          </w:tcPr>
          <w:p>
            <w:pPr>
              <w:spacing w:after="0"/>
              <w:rPr>
                <w:sz w:val="1"/>
                <w:szCs w:val="1"/>
                <w:color w:val="auto"/>
              </w:rPr>
            </w:pPr>
          </w:p>
        </w:tc>
      </w:tr>
      <w:tr>
        <w:trPr>
          <w:trHeight w:val="115"/>
        </w:trPr>
        <w:tc>
          <w:tcPr>
            <w:tcW w:w="120" w:type="dxa"/>
            <w:vAlign w:val="bottom"/>
            <w:shd w:val="clear" w:color="auto" w:fill="FFE8F5"/>
          </w:tcPr>
          <w:p>
            <w:pPr>
              <w:spacing w:after="0"/>
              <w:rPr>
                <w:sz w:val="10"/>
                <w:szCs w:val="10"/>
                <w:color w:val="auto"/>
              </w:rPr>
            </w:pPr>
          </w:p>
        </w:tc>
        <w:tc>
          <w:tcPr>
            <w:tcW w:w="1700" w:type="dxa"/>
            <w:vAlign w:val="bottom"/>
            <w:vMerge w:val="continue"/>
            <w:shd w:val="clear" w:color="auto" w:fill="FFE8F5"/>
          </w:tcPr>
          <w:p>
            <w:pPr>
              <w:spacing w:after="0"/>
              <w:rPr>
                <w:sz w:val="10"/>
                <w:szCs w:val="10"/>
                <w:color w:val="auto"/>
              </w:rPr>
            </w:pPr>
          </w:p>
        </w:tc>
        <w:tc>
          <w:tcPr>
            <w:tcW w:w="2960" w:type="dxa"/>
            <w:vAlign w:val="bottom"/>
            <w:vMerge w:val="continue"/>
            <w:shd w:val="clear" w:color="auto" w:fill="FFE8F5"/>
          </w:tcPr>
          <w:p>
            <w:pPr>
              <w:spacing w:after="0"/>
              <w:rPr>
                <w:sz w:val="10"/>
                <w:szCs w:val="10"/>
                <w:color w:val="auto"/>
              </w:rPr>
            </w:pPr>
          </w:p>
        </w:tc>
        <w:tc>
          <w:tcPr>
            <w:tcW w:w="1540" w:type="dxa"/>
            <w:vAlign w:val="bottom"/>
            <w:vMerge w:val="restart"/>
            <w:shd w:val="clear" w:color="auto" w:fill="FFE8F5"/>
          </w:tcPr>
          <w:p>
            <w:pPr>
              <w:ind w:left="100"/>
              <w:spacing w:after="0"/>
              <w:rPr>
                <w:sz w:val="20"/>
                <w:szCs w:val="20"/>
                <w:color w:val="auto"/>
              </w:rPr>
            </w:pPr>
            <w:r>
              <w:rPr>
                <w:rFonts w:ascii="Arial" w:cs="Arial" w:eastAsia="Arial" w:hAnsi="Arial"/>
                <w:sz w:val="14"/>
                <w:szCs w:val="14"/>
                <w:b w:val="1"/>
                <w:bCs w:val="1"/>
                <w:color w:val="auto"/>
              </w:rPr>
              <w:t>Abstentions, as</w:t>
            </w:r>
          </w:p>
        </w:tc>
        <w:tc>
          <w:tcPr>
            <w:tcW w:w="3180" w:type="dxa"/>
            <w:vAlign w:val="bottom"/>
            <w:vMerge w:val="continue"/>
            <w:shd w:val="clear" w:color="auto" w:fill="FFE8F5"/>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20" w:type="dxa"/>
            <w:vAlign w:val="bottom"/>
            <w:shd w:val="clear" w:color="auto" w:fill="FFE8F5"/>
          </w:tcPr>
          <w:p>
            <w:pPr>
              <w:spacing w:after="0"/>
              <w:rPr>
                <w:sz w:val="4"/>
                <w:szCs w:val="4"/>
                <w:color w:val="auto"/>
              </w:rPr>
            </w:pPr>
          </w:p>
        </w:tc>
        <w:tc>
          <w:tcPr>
            <w:tcW w:w="1700" w:type="dxa"/>
            <w:vAlign w:val="bottom"/>
            <w:shd w:val="clear" w:color="auto" w:fill="FFE8F5"/>
          </w:tcPr>
          <w:p>
            <w:pPr>
              <w:spacing w:after="0"/>
              <w:rPr>
                <w:sz w:val="4"/>
                <w:szCs w:val="4"/>
                <w:color w:val="auto"/>
              </w:rPr>
            </w:pPr>
          </w:p>
        </w:tc>
        <w:tc>
          <w:tcPr>
            <w:tcW w:w="2960" w:type="dxa"/>
            <w:vAlign w:val="bottom"/>
            <w:shd w:val="clear" w:color="auto" w:fill="FFE8F5"/>
          </w:tcPr>
          <w:p>
            <w:pPr>
              <w:spacing w:after="0"/>
              <w:rPr>
                <w:sz w:val="4"/>
                <w:szCs w:val="4"/>
                <w:color w:val="auto"/>
              </w:rPr>
            </w:pPr>
          </w:p>
        </w:tc>
        <w:tc>
          <w:tcPr>
            <w:tcW w:w="1540" w:type="dxa"/>
            <w:vAlign w:val="bottom"/>
            <w:vMerge w:val="continue"/>
            <w:shd w:val="clear" w:color="auto" w:fill="FFE8F5"/>
          </w:tcPr>
          <w:p>
            <w:pPr>
              <w:spacing w:after="0"/>
              <w:rPr>
                <w:sz w:val="4"/>
                <w:szCs w:val="4"/>
                <w:color w:val="auto"/>
              </w:rPr>
            </w:pPr>
          </w:p>
        </w:tc>
        <w:tc>
          <w:tcPr>
            <w:tcW w:w="3180" w:type="dxa"/>
            <w:vAlign w:val="bottom"/>
            <w:shd w:val="clear" w:color="auto" w:fill="FFE8F5"/>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FFE8F5"/>
          </w:tcPr>
          <w:p>
            <w:pPr>
              <w:spacing w:after="0"/>
              <w:rPr>
                <w:sz w:val="17"/>
                <w:szCs w:val="17"/>
                <w:color w:val="auto"/>
              </w:rPr>
            </w:pPr>
          </w:p>
        </w:tc>
        <w:tc>
          <w:tcPr>
            <w:tcW w:w="1700" w:type="dxa"/>
            <w:vAlign w:val="bottom"/>
            <w:shd w:val="clear" w:color="auto" w:fill="FFE8F5"/>
          </w:tcPr>
          <w:p>
            <w:pPr>
              <w:spacing w:after="0"/>
              <w:rPr>
                <w:sz w:val="17"/>
                <w:szCs w:val="17"/>
                <w:color w:val="auto"/>
              </w:rPr>
            </w:pPr>
          </w:p>
        </w:tc>
        <w:tc>
          <w:tcPr>
            <w:tcW w:w="2960" w:type="dxa"/>
            <w:vAlign w:val="bottom"/>
            <w:shd w:val="clear" w:color="auto" w:fill="FFE8F5"/>
          </w:tcPr>
          <w:p>
            <w:pPr>
              <w:spacing w:after="0"/>
              <w:rPr>
                <w:sz w:val="17"/>
                <w:szCs w:val="17"/>
                <w:color w:val="auto"/>
              </w:rPr>
            </w:pPr>
          </w:p>
        </w:tc>
        <w:tc>
          <w:tcPr>
            <w:tcW w:w="1540" w:type="dxa"/>
            <w:vAlign w:val="bottom"/>
            <w:shd w:val="clear" w:color="auto" w:fill="FFE8F5"/>
          </w:tcPr>
          <w:p>
            <w:pPr>
              <w:ind w:left="100"/>
              <w:spacing w:after="0"/>
              <w:rPr>
                <w:sz w:val="20"/>
                <w:szCs w:val="20"/>
                <w:color w:val="auto"/>
              </w:rPr>
            </w:pPr>
            <w:r>
              <w:rPr>
                <w:rFonts w:ascii="Arial" w:cs="Arial" w:eastAsia="Arial" w:hAnsi="Arial"/>
                <w:sz w:val="14"/>
                <w:szCs w:val="14"/>
                <w:b w:val="1"/>
                <w:bCs w:val="1"/>
                <w:color w:val="auto"/>
              </w:rPr>
              <w:t>applicable</w:t>
            </w:r>
          </w:p>
        </w:tc>
        <w:tc>
          <w:tcPr>
            <w:tcW w:w="3180" w:type="dxa"/>
            <w:vAlign w:val="bottom"/>
            <w:shd w:val="clear" w:color="auto" w:fill="FFE8F5"/>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120" w:type="dxa"/>
            <w:vAlign w:val="bottom"/>
            <w:tcBorders>
              <w:bottom w:val="single" w:sz="8" w:color="auto"/>
            </w:tcBorders>
            <w:shd w:val="clear" w:color="auto" w:fill="FFE8F5"/>
          </w:tcPr>
          <w:p>
            <w:pPr>
              <w:spacing w:after="0"/>
              <w:rPr>
                <w:sz w:val="6"/>
                <w:szCs w:val="6"/>
                <w:color w:val="auto"/>
              </w:rPr>
            </w:pPr>
          </w:p>
        </w:tc>
        <w:tc>
          <w:tcPr>
            <w:tcW w:w="1700" w:type="dxa"/>
            <w:vAlign w:val="bottom"/>
            <w:tcBorders>
              <w:bottom w:val="single" w:sz="8" w:color="auto"/>
            </w:tcBorders>
            <w:shd w:val="clear" w:color="auto" w:fill="FFE8F5"/>
          </w:tcPr>
          <w:p>
            <w:pPr>
              <w:spacing w:after="0"/>
              <w:rPr>
                <w:sz w:val="6"/>
                <w:szCs w:val="6"/>
                <w:color w:val="auto"/>
              </w:rPr>
            </w:pPr>
          </w:p>
        </w:tc>
        <w:tc>
          <w:tcPr>
            <w:tcW w:w="2960" w:type="dxa"/>
            <w:vAlign w:val="bottom"/>
            <w:tcBorders>
              <w:bottom w:val="single" w:sz="8" w:color="auto"/>
            </w:tcBorders>
            <w:shd w:val="clear" w:color="auto" w:fill="FFE8F5"/>
          </w:tcPr>
          <w:p>
            <w:pPr>
              <w:spacing w:after="0"/>
              <w:rPr>
                <w:sz w:val="6"/>
                <w:szCs w:val="6"/>
                <w:color w:val="auto"/>
              </w:rPr>
            </w:pPr>
          </w:p>
        </w:tc>
        <w:tc>
          <w:tcPr>
            <w:tcW w:w="1540" w:type="dxa"/>
            <w:vAlign w:val="bottom"/>
            <w:tcBorders>
              <w:bottom w:val="single" w:sz="8" w:color="auto"/>
            </w:tcBorders>
            <w:shd w:val="clear" w:color="auto" w:fill="FFE8F5"/>
          </w:tcPr>
          <w:p>
            <w:pPr>
              <w:spacing w:after="0"/>
              <w:rPr>
                <w:sz w:val="6"/>
                <w:szCs w:val="6"/>
                <w:color w:val="auto"/>
              </w:rPr>
            </w:pPr>
          </w:p>
        </w:tc>
        <w:tc>
          <w:tcPr>
            <w:tcW w:w="3180" w:type="dxa"/>
            <w:vAlign w:val="bottom"/>
            <w:tcBorders>
              <w:bottom w:val="single" w:sz="8" w:color="auto"/>
            </w:tcBorders>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4.  The Preferred Stock</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Elimination 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5.  The Supermajority</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Voting Elimination</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6.  The Board Quorum</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7.  The Special Meeting</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8.  The Written Consent</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9.  The Officer</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Exculpation 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10.  The Board  </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Designation Rights  </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11.  The Corporate</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Opportunity 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12.  The Plan  </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No effect</w:t>
            </w:r>
          </w:p>
        </w:tc>
        <w:tc>
          <w:tcPr>
            <w:tcW w:w="3180" w:type="dxa"/>
            <w:vAlign w:val="bottom"/>
          </w:tcPr>
          <w:p>
            <w:pPr>
              <w:ind w:left="340"/>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Amendment  </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 majority of votes cast.</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0" w:right="180"/>
        <w:spacing w:after="0" w:line="263" w:lineRule="auto"/>
        <w:rPr>
          <w:sz w:val="20"/>
          <w:szCs w:val="20"/>
          <w:color w:val="auto"/>
        </w:rPr>
      </w:pPr>
      <w:r>
        <w:rPr>
          <w:rFonts w:ascii="Arial" w:cs="Arial" w:eastAsia="Arial" w:hAnsi="Arial"/>
          <w:sz w:val="14"/>
          <w:szCs w:val="14"/>
          <w:color w:val="auto"/>
        </w:rPr>
        <w:t>*A “broker non-vote” occurs when a beneficial owner of shares held by a broker, bank, trustee or other nominee does not give voting instructions to his or her broker or other securities intermediary as to how to vote on matters deemed to be “non-routine” and, as a result, the broker or other securities intermediary may not vote the shares on those matters.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will count the votes?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representative of Broadridge Financial Services, Inc. will tabulate the votes and act as inspector of election.</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quorum?</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quorum is the minimum number of shares required to be present at the Annual Meeting for any business to be conducted. The presence at the Annual Meeting of the holders of a majority of the voting power of outstanding shares of capital stock entitled to vote at the Annual Meeting, present electronically or represented by proxy, will constitute a quorum. If a quorum is not present, we will not be able to conduct any business, and the Annual Meeting will be adjourned, or postponed, by the chairperson of the meeting for a later date. Instructions to “withhold” authority to vote in the election of directors, abstentions, and broker non-votes will be counted as present for determining whether or not a quorum is present.</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Where can I find the voting results of the Annual Meeting?</w:t>
      </w:r>
    </w:p>
    <w:p>
      <w:pPr>
        <w:spacing w:after="0" w:line="166"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color w:val="auto"/>
        </w:rPr>
        <w:t>We plan to announce preliminary voting results at the Annual Meeting and will report the final voting results in a current report on Form 8-K within four business days of the Annual Meeting.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pays for the proxy solicitation expenses?</w:t>
      </w:r>
    </w:p>
    <w:p>
      <w:pPr>
        <w:spacing w:after="0" w:line="166" w:lineRule="exact"/>
        <w:rPr>
          <w:sz w:val="20"/>
          <w:szCs w:val="20"/>
          <w:color w:val="auto"/>
        </w:rPr>
      </w:pPr>
    </w:p>
    <w:p>
      <w:pPr>
        <w:ind w:left="20" w:right="60"/>
        <w:spacing w:after="0" w:line="266" w:lineRule="auto"/>
        <w:rPr>
          <w:sz w:val="20"/>
          <w:szCs w:val="20"/>
          <w:color w:val="auto"/>
        </w:rPr>
      </w:pPr>
      <w:r>
        <w:rPr>
          <w:rFonts w:ascii="Arial" w:cs="Arial" w:eastAsia="Arial" w:hAnsi="Arial"/>
          <w:sz w:val="17"/>
          <w:szCs w:val="17"/>
          <w:color w:val="auto"/>
        </w:rPr>
        <w:t>We are soliciting proxies on behalf of our Board of Directors and will pay the related costs. As part of this process, we reimburse brokers and other custodians, nominees, and fiduciaries for their out-of-pocket expenses for forwarding proxy materials to our stockholders. Our directors, officers, and employees may also solicit proxies in person, by telephone, or by other means of communication, and will not receive any additional compensation for soliciting proxies.</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does it mean if I receive more than one set of materials?</w:t>
      </w:r>
    </w:p>
    <w:p>
      <w:pPr>
        <w:spacing w:after="0" w:line="166" w:lineRule="exact"/>
        <w:rPr>
          <w:sz w:val="20"/>
          <w:szCs w:val="20"/>
          <w:color w:val="auto"/>
        </w:rPr>
      </w:pPr>
    </w:p>
    <w:p>
      <w:pPr>
        <w:ind w:left="20" w:right="180"/>
        <w:spacing w:after="0" w:line="253" w:lineRule="auto"/>
        <w:rPr>
          <w:sz w:val="20"/>
          <w:szCs w:val="20"/>
          <w:color w:val="auto"/>
        </w:rPr>
      </w:pPr>
      <w:r>
        <w:rPr>
          <w:rFonts w:ascii="Arial" w:cs="Arial" w:eastAsia="Arial" w:hAnsi="Arial"/>
          <w:sz w:val="18"/>
          <w:szCs w:val="18"/>
          <w:color w:val="auto"/>
        </w:rPr>
        <w:t>If you receive more than one set of materials, it means you hold your shares in more than one name or account. In order to vote all of your shares, you should sign and return all of the proxy cards you receive or follow the instructions for any alternative voting procedures on the proxy cards or the Internet Notices you receive.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obtain a separate set of proxy materials or request a single set for my household?</w:t>
      </w:r>
    </w:p>
    <w:p>
      <w:pPr>
        <w:spacing w:after="0" w:line="166"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We have adopted a practice approved by the Securities and Exchange Commission (the “SEC”) called “householding.” This means that stockholders who have the same address and last name and do not participate in electronic delivery of proxy materials will receive only one copy of our annual report and proxy statement unless one or more of these stockholders notifies us that they wish to continue receiving individual copies. This procedure reduces printing costs, postage fees, and the environmental impact. Each stockholder who participates in householding will continue to be able to access or receive a separate proxy card.</w:t>
      </w:r>
    </w:p>
    <w:p>
      <w:pPr>
        <w:spacing w:after="0" w:line="138"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If you prefer to receive a separate set of proxy materials or if you currently receive multiple copies and would like to request “householding” of your communications, please contact Broadridge by phone at 1 (866) 540-7095 or by mail to Broadridge, Householding Department, 51 Mercedes Way, Edgewood, New York 11717. If any stockholders in your household would like to receive a separate annual report or proxy statement, please send an email to investors@renttherunway.com. We will strive to promptly address your request.</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660"/>
        <w:spacing w:after="0" w:line="286" w:lineRule="auto"/>
        <w:rPr>
          <w:sz w:val="20"/>
          <w:szCs w:val="20"/>
          <w:color w:val="auto"/>
        </w:rPr>
      </w:pPr>
      <w:r>
        <w:rPr>
          <w:rFonts w:ascii="Arial" w:cs="Arial" w:eastAsia="Arial" w:hAnsi="Arial"/>
          <w:sz w:val="65"/>
          <w:szCs w:val="65"/>
          <w:b w:val="1"/>
          <w:bCs w:val="1"/>
          <w:color w:val="auto"/>
        </w:rPr>
        <w:t>The Board and Corporate Governance</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Recapitalization Transactions &amp; Recent Events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connection with the Recapitalization Transactions described above, Lender, Nexus, STORY3, Jennifer Y. Hyman, the former Chief Executive Officer of the Company, and certain other parties are party to an investor rights agreement, dated August 20, 2025 (the “Investor Rights Agreement”). Pursuant to the Investor Rights Agreement and the Exchange Agreement, the Company and Lender agreed to take all commercially reasonable actions as may be necessary to cause, as of the closing of the Recapitalization Transactions, the board of directors of the Company (the “Board”) to consist of seven members, including Jennifer Hyman, a director selected by Ms. Hyman and approved by the Investor Group, a director designated by Nexus, a director designated by STORY3 and three directors designated by the Board (such three directors, the “Investor Directors”).</w:t>
      </w:r>
    </w:p>
    <w:p>
      <w:pPr>
        <w:spacing w:after="0" w:line="140" w:lineRule="exact"/>
        <w:rPr>
          <w:sz w:val="20"/>
          <w:szCs w:val="20"/>
          <w:color w:val="auto"/>
        </w:rPr>
      </w:pPr>
    </w:p>
    <w:p>
      <w:pPr>
        <w:ind w:left="20" w:right="100"/>
        <w:spacing w:after="0"/>
        <w:rPr>
          <w:sz w:val="20"/>
          <w:szCs w:val="20"/>
          <w:color w:val="auto"/>
        </w:rPr>
      </w:pPr>
      <w:r>
        <w:rPr>
          <w:rFonts w:ascii="Arial" w:cs="Arial" w:eastAsia="Arial" w:hAnsi="Arial"/>
          <w:sz w:val="18"/>
          <w:szCs w:val="18"/>
          <w:color w:val="auto"/>
        </w:rPr>
        <w:t>On August 20, 2025, Tim Bixby, Jennifer Fleiss, Scott Friend, Beth Kaplan, Daniel Rosensweig and Michael Roth tendered their resignation from the Board and all committees on which they serve, contingent upon the consummation of the Recapitalization Transactions and the Board accepting such resignations, to be effective upon acceptance (the “Resignations”). On October 28, 2025, the Board accepted the Resignations, effective immediately. The Resignations were not a result of any disagreement with the Company on any matter relating to the Company’s operations, policies or practices, and were tendered solely to facilitate the Recapitalization Transactions and reconstitute the Board pursuant to the terms of the Exchange Agreement and Investor Rights Agreement, as described above. Gwyneth Paltrow voluntarily resigned from the Board on August 19, 2025.</w:t>
      </w:r>
    </w:p>
    <w:p>
      <w:pPr>
        <w:spacing w:after="0" w:line="153"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On October 28, 2025, the Board appointed Teri Bariquit, Peter Comisar, Dhiren Fonseca, Damian Giangiacomo and Daniel Rosensweig to serve as directors pursuant to the Exchange Agreement and the Investor Rights Agreement, effective immediately. Mr. Comisar and Mr. Giangiacomo were appointed to serve as Class I directors, Ms. Bariquit and Mr. Rosensweig were appointed to serve as Class II directors and Mr. Fonseca was appointed to serve as a Class III director, with Ms. Hyman remaining on the Board as a Class III director. Upon the closing of the Recapitalization Transactions, the Board consisted of six directors. The Investor Group has advised the Company that it is continuing to use commercially reasonable efforts to identify and designate a third Investor Director to the Board. Concurrently with their appointments to the Board, Mr. Giangiacomo and Mr. Rosensweig were appointed to the Audit Committee, and Mr. Fonseca was appointed to serve as Executive Chair of the Board.</w:t>
      </w:r>
    </w:p>
    <w:p>
      <w:pPr>
        <w:spacing w:after="0" w:line="143"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On May 12, 2026, Jennifer Hyman resigned as Chief Executive Officer and President of the Company and as a member of the Board, effective as of May 15, 2026 (the “Separation Date”). In connection with Ms. Hyman’s resignation, the Company entered into a side letter agreement (the “Side Letter”) with Ms. Hyman and her affiliates (the “Hyman Group”) pursuant to which, among other things, the Hyman Group agreed to terminate any and all of their respective rights under the Investor Rights Agreement, including rights to designate a director and a board observer to the Board. Ms. Bariquit was appointed as interim CEO and President effective as of the Separation Date and the Company plans to conduct a search for a permanent CEO and President.</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Leadership Structure</w:t>
      </w:r>
    </w:p>
    <w:p>
      <w:pPr>
        <w:spacing w:after="0" w:line="212" w:lineRule="exact"/>
        <w:rPr>
          <w:sz w:val="20"/>
          <w:szCs w:val="20"/>
          <w:color w:val="auto"/>
        </w:rPr>
      </w:pPr>
    </w:p>
    <w:p>
      <w:pPr>
        <w:ind w:left="20" w:right="140"/>
        <w:spacing w:after="0"/>
        <w:rPr>
          <w:sz w:val="20"/>
          <w:szCs w:val="20"/>
          <w:color w:val="auto"/>
        </w:rPr>
      </w:pPr>
      <w:r>
        <w:rPr>
          <w:rFonts w:ascii="Arial" w:cs="Arial" w:eastAsia="Arial" w:hAnsi="Arial"/>
          <w:sz w:val="18"/>
          <w:szCs w:val="18"/>
          <w:color w:val="auto"/>
        </w:rPr>
        <w:t>Dhiren Fonseca is the Executive Chairman of our Board of Directors and Ms. Bariquit is our interim Chief Executive Officer and President. Our Board of Directors believes that our current leadership structure provides us with effective leadership and is in the best interest of us and our stockholders. Ms. Bariquit is a veteran fashion retail executive and advisor recognized for her leadership in large-scale enterprise transformation, technology enablement, and business turnaround initiatives. Her strategic vision and in-depth knowledge of our industry makes her well qualified to serve as our interim Chief Executive Officer and President until the Board appoints a permanent Chief Executive Officer and President to succeed Ms. Hyman. Mr. Fonseca is a seasoned business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leader with a distinguished track record of scaling high-growth technology and consumer companies. His extensive experience spans private equity, travel, and digital commerce, which the Board believes make him uniquely positioned to guide Rent the Runway as it continues to innovate its platform, deepen its supplier relationships, and explore strategic partnerships.</w:t>
      </w:r>
    </w:p>
    <w:p>
      <w:pPr>
        <w:spacing w:after="0" w:line="133" w:lineRule="exact"/>
        <w:rPr>
          <w:sz w:val="20"/>
          <w:szCs w:val="20"/>
          <w:color w:val="auto"/>
        </w:rPr>
      </w:pPr>
    </w:p>
    <w:p>
      <w:pPr>
        <w:ind w:left="20" w:right="580"/>
        <w:spacing w:after="0" w:line="271" w:lineRule="auto"/>
        <w:rPr>
          <w:sz w:val="20"/>
          <w:szCs w:val="20"/>
          <w:color w:val="auto"/>
        </w:rPr>
      </w:pPr>
      <w:r>
        <w:rPr>
          <w:rFonts w:ascii="Arial" w:cs="Arial" w:eastAsia="Arial" w:hAnsi="Arial"/>
          <w:sz w:val="18"/>
          <w:szCs w:val="18"/>
          <w:color w:val="auto"/>
        </w:rPr>
        <w:t>We believe having separate CEO and executive chairman positions is appropriate in light of our capital structure following the Recapitalization Transactions and the Investor Rights Agreement.</w:t>
      </w:r>
    </w:p>
    <w:p>
      <w:pPr>
        <w:spacing w:after="0" w:line="113" w:lineRule="exact"/>
        <w:rPr>
          <w:sz w:val="20"/>
          <w:szCs w:val="20"/>
          <w:color w:val="auto"/>
        </w:rPr>
      </w:pPr>
    </w:p>
    <w:p>
      <w:pPr>
        <w:ind w:left="20" w:right="60"/>
        <w:spacing w:after="0" w:line="242" w:lineRule="auto"/>
        <w:rPr>
          <w:sz w:val="20"/>
          <w:szCs w:val="20"/>
          <w:color w:val="auto"/>
        </w:rPr>
      </w:pPr>
      <w:r>
        <w:rPr>
          <w:rFonts w:ascii="Arial" w:cs="Arial" w:eastAsia="Arial" w:hAnsi="Arial"/>
          <w:sz w:val="18"/>
          <w:szCs w:val="18"/>
          <w:color w:val="auto"/>
        </w:rPr>
        <w:t>Our corporate governance guidelines provide the flexibility for our Board of Directors to modify our leadership structure in the future in a manner that it believes is in the best interest of the Company. The Board of Directors will continue to evaluate our leadership structure periodically and make changes in the future as it deems appropriate. The Board of Directors also believes that its approach to risk oversight, as more fully discussed below in “Board Oversight of Risk,” helps ensure that the Board of Directors is able to effectively perform its risk oversight responsibilities under various leadership structures.</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Diversity</w:t>
      </w:r>
    </w:p>
    <w:p>
      <w:pPr>
        <w:spacing w:after="0" w:line="212" w:lineRule="exact"/>
        <w:rPr>
          <w:sz w:val="20"/>
          <w:szCs w:val="20"/>
          <w:color w:val="auto"/>
        </w:rPr>
      </w:pPr>
    </w:p>
    <w:p>
      <w:pPr>
        <w:ind w:left="20" w:right="160"/>
        <w:spacing w:after="0" w:line="242" w:lineRule="auto"/>
        <w:rPr>
          <w:sz w:val="20"/>
          <w:szCs w:val="20"/>
          <w:color w:val="auto"/>
        </w:rPr>
      </w:pPr>
      <w:r>
        <w:rPr>
          <w:rFonts w:ascii="Arial" w:cs="Arial" w:eastAsia="Arial" w:hAnsi="Arial"/>
          <w:sz w:val="18"/>
          <w:szCs w:val="18"/>
          <w:color w:val="auto"/>
        </w:rPr>
        <w:t>Our Board of Directors is responsible for reviewing the appropriate characteristics, skills, and experience required for the Board of Directors as a whole and its individual members. In its evaluation of director candidates, our Board considers a diversity of backgrounds, experience, and area of expertise, as well as other individual qualities and attributes that contribute to the total diversity of viewpoints and experience represented on the Board. The Board also considers other factors, including issues of character, integrity, judgment, potential conflicts of interest, and other commitments, as described below.</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Oversight of Risk</w:t>
      </w:r>
    </w:p>
    <w:p>
      <w:pPr>
        <w:spacing w:after="0" w:line="199"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Our Board of Directors is responsible for overseeing our risk management process. The Board of Directors focuses on our general risk management strategy, the most significant risks facing us, and oversees the implementation of risk mitigation strategies by management. The Board of Directors administers its oversight function directly as a whole and through the Audit Committee. For example, the full Board of Directors is generally responsible for overseeing the Company’s legal, regulatory and ethical compliance, including the procedures in place to enforce the Code of Conduct, as well as risks relating to data privacy, technology and information security, including cybersecurity. Our Audit Committee is responsible for overseeing risks relating to financial reporting, accounting, and auditing matters.</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Meetings</w:t>
      </w:r>
    </w:p>
    <w:p>
      <w:pPr>
        <w:spacing w:after="0" w:line="199"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Our Board of Directors met 8 times during fiscal year 2025. Each current director attended at least 75% of the total number of fiscal year 2025 meetings of the Board of Directors and of each Committee on which he or she served, which were held during the period in which that director served. We encourage all directors and director nominees to attend the Annual Meeting; however, attendance is not mandatory. All of our directors then serving, except for Ms. Beth Kaplan, attended our 2025 Annual Meeting of Stockholders.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Independence</w:t>
      </w:r>
    </w:p>
    <w:p>
      <w:pPr>
        <w:spacing w:after="0" w:line="212" w:lineRule="exact"/>
        <w:rPr>
          <w:sz w:val="20"/>
          <w:szCs w:val="20"/>
          <w:color w:val="auto"/>
        </w:rPr>
      </w:pPr>
    </w:p>
    <w:p>
      <w:pPr>
        <w:ind w:left="20"/>
        <w:spacing w:after="0" w:line="253" w:lineRule="auto"/>
        <w:rPr>
          <w:sz w:val="20"/>
          <w:szCs w:val="20"/>
          <w:color w:val="auto"/>
        </w:rPr>
      </w:pPr>
      <w:r>
        <w:rPr>
          <w:rFonts w:ascii="Arial" w:cs="Arial" w:eastAsia="Arial" w:hAnsi="Arial"/>
          <w:sz w:val="17"/>
          <w:szCs w:val="17"/>
          <w:color w:val="auto"/>
        </w:rPr>
        <w:t>Our Board of Directors assesses the independence of each director at least annually and has determined that each of Mr. Giangiacomo and Mr. Rosensweig meets all of the applicable standards of independence for members of the Board established by (i) the laws, rules and regulations of the SEC and (ii) the listing standards of Nasdaq. Ms. Bariquit is not considered independent due to her role as our interim Chief Executive Officer and President and due to her Consulting Services Agreement (as defined below). There are no arrangements or understandings between Ms. Bariquit,</w:t>
      </w:r>
    </w:p>
    <w:p>
      <w:pPr>
        <w:ind w:left="20" w:right="300"/>
        <w:spacing w:after="0" w:line="250" w:lineRule="auto"/>
        <w:rPr>
          <w:sz w:val="20"/>
          <w:szCs w:val="20"/>
          <w:color w:val="auto"/>
        </w:rPr>
      </w:pPr>
      <w:r>
        <w:rPr>
          <w:rFonts w:ascii="Arial" w:cs="Arial" w:eastAsia="Arial" w:hAnsi="Arial"/>
          <w:sz w:val="18"/>
          <w:szCs w:val="18"/>
          <w:color w:val="auto"/>
        </w:rPr>
        <w:t>Mr. Comisar, Mr. Fonseca, Mr. Giangiacomo or Mr. Rosensweig and any other persons pursuant to which they were selected as directors, except as described herein with respect to the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Exchange Agreement and the Investor Rights Agreement. In addition, each of our former directors, Tim Bixby, Jennifer Fleiss, Scott Friend, Beth Kaplan, Gwyneth Paltrow and Michael Roth were also determined to be independent while serving on our Board of Directors during 2025. Ms. Hyman was not independent while she served on our Board of Directors due to her former role as our Chief Executive Officer.</w:t>
      </w:r>
    </w:p>
    <w:p>
      <w:pPr>
        <w:spacing w:after="0" w:line="133"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In addition, our Board of Directors has determined that each member of our Audit Committee is independent and, in the case of the Nominating and ESG Committee and Compensation Committee, was independent during their existence, and meets (or met, as applicable) the heightened independence requirements applicable to such Committee in accordance with the listing standards of Nasdaq and the applicable rules and regulations of the SEC.</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Committees</w:t>
      </w:r>
    </w:p>
    <w:p>
      <w:pPr>
        <w:spacing w:after="0" w:line="199"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Currently, our Board has an Audit Committee. During fiscal year 2025, our Board had the following additional standing committees: a Compensation Committee and a Nominating and ESG Committee. In addition, in fiscal year 2025, the Board had a Finance Committee, consisting of independent directors, Scott Friend, Beth Kaplan, Tim Bixby and Daniel Rosensweig, to review, direct and oversee potential financing and strategic transactions. Members of these committees served until their resignation or until otherwise determined by our Board.</w:t>
      </w:r>
    </w:p>
    <w:p>
      <w:pPr>
        <w:spacing w:after="0" w:line="149"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The charter of the Audit Committee, our Corporate Governance Guidelines, and our Code of Conduct are available on our investor website (investors.renttherunway.com) under “Governance-Governance Documents” or by writing to our offices at 10 Jay Street, Brooklyn, New York 11201.</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Committee</w:t>
      </w:r>
    </w:p>
    <w:p>
      <w:pPr>
        <w:spacing w:after="0" w:line="185" w:lineRule="exact"/>
        <w:rPr>
          <w:sz w:val="20"/>
          <w:szCs w:val="20"/>
          <w:color w:val="auto"/>
        </w:rPr>
      </w:pPr>
    </w:p>
    <w:p>
      <w:pPr>
        <w:ind w:left="20" w:right="140"/>
        <w:spacing w:after="0" w:line="247" w:lineRule="auto"/>
        <w:rPr>
          <w:sz w:val="20"/>
          <w:szCs w:val="20"/>
          <w:color w:val="auto"/>
        </w:rPr>
      </w:pPr>
      <w:r>
        <w:rPr>
          <w:rFonts w:ascii="Arial" w:cs="Arial" w:eastAsia="Arial" w:hAnsi="Arial"/>
          <w:sz w:val="18"/>
          <w:szCs w:val="18"/>
          <w:color w:val="auto"/>
        </w:rPr>
        <w:t>Prior to the completion of the Recapitalization Transactions, the Audit Committee consisted of Tim Bixby (</w:t>
      </w:r>
      <w:r>
        <w:rPr>
          <w:rFonts w:ascii="Arial" w:cs="Arial" w:eastAsia="Arial" w:hAnsi="Arial"/>
          <w:sz w:val="18"/>
          <w:szCs w:val="18"/>
          <w:i w:val="1"/>
          <w:iCs w:val="1"/>
          <w:color w:val="auto"/>
        </w:rPr>
        <w:t>Chair</w:t>
      </w:r>
      <w:r>
        <w:rPr>
          <w:rFonts w:ascii="Arial" w:cs="Arial" w:eastAsia="Arial" w:hAnsi="Arial"/>
          <w:sz w:val="18"/>
          <w:szCs w:val="18"/>
          <w:color w:val="auto"/>
        </w:rPr>
        <w:t>), Beth Kaplan, and Mike Roth (the “Pre-Transaction Audit Committee”). Following the completion of the Recapitalization Transactions, the Audit Committee consists of Dan Rosensweig (</w:t>
      </w:r>
      <w:r>
        <w:rPr>
          <w:rFonts w:ascii="Arial" w:cs="Arial" w:eastAsia="Arial" w:hAnsi="Arial"/>
          <w:sz w:val="18"/>
          <w:szCs w:val="18"/>
          <w:i w:val="1"/>
          <w:iCs w:val="1"/>
          <w:color w:val="auto"/>
        </w:rPr>
        <w:t>Chair)</w:t>
      </w:r>
      <w:r>
        <w:rPr>
          <w:rFonts w:ascii="Arial" w:cs="Arial" w:eastAsia="Arial" w:hAnsi="Arial"/>
          <w:sz w:val="18"/>
          <w:szCs w:val="18"/>
          <w:color w:val="auto"/>
        </w:rPr>
        <w:t xml:space="preserve"> and Damian Giangiacomo (the “Post-Transaction Audit Committee”).</w:t>
      </w:r>
    </w:p>
    <w:p>
      <w:pPr>
        <w:spacing w:after="0" w:line="133" w:lineRule="exact"/>
        <w:rPr>
          <w:sz w:val="20"/>
          <w:szCs w:val="20"/>
          <w:color w:val="auto"/>
        </w:rPr>
      </w:pPr>
    </w:p>
    <w:p>
      <w:pPr>
        <w:jc w:val="both"/>
        <w:ind w:left="20" w:right="20"/>
        <w:spacing w:after="0" w:line="255" w:lineRule="auto"/>
        <w:rPr>
          <w:sz w:val="20"/>
          <w:szCs w:val="20"/>
          <w:color w:val="auto"/>
        </w:rPr>
      </w:pPr>
      <w:r>
        <w:rPr>
          <w:rFonts w:ascii="Arial" w:cs="Arial" w:eastAsia="Arial" w:hAnsi="Arial"/>
          <w:sz w:val="17"/>
          <w:szCs w:val="17"/>
          <w:color w:val="auto"/>
        </w:rPr>
        <w:t>As a result of the Resignations, the Post-Transaction Audit Committee consists of two members. On October 28, 2025, we notified Nasdaq of our noncompliance with Nasdaq Rule 5605(c)(2)(A), which requires that the Audit Committee be comprised of three independent directors, and our intent to rely on the cure period provided by Nasdaq Rule 5605(c)(4)</w:t>
      </w:r>
    </w:p>
    <w:p>
      <w:pPr>
        <w:spacing w:after="0" w:line="2" w:lineRule="exact"/>
        <w:rPr>
          <w:sz w:val="20"/>
          <w:szCs w:val="20"/>
          <w:color w:val="auto"/>
        </w:rPr>
      </w:pPr>
    </w:p>
    <w:p>
      <w:pPr>
        <w:ind w:left="20"/>
        <w:spacing w:after="0" w:line="250" w:lineRule="auto"/>
        <w:rPr>
          <w:sz w:val="20"/>
          <w:szCs w:val="20"/>
          <w:color w:val="auto"/>
        </w:rPr>
      </w:pPr>
      <w:r>
        <w:rPr>
          <w:rFonts w:ascii="Arial" w:cs="Arial" w:eastAsia="Arial" w:hAnsi="Arial"/>
          <w:sz w:val="18"/>
          <w:szCs w:val="18"/>
          <w:color w:val="auto"/>
        </w:rPr>
        <w:t>(B). We intend to appoint an independent director to the Audit Committee no later than the Annual Meeting, as provided by Nasdaq Rule 5605(c)(4)(B).</w:t>
      </w:r>
    </w:p>
    <w:p>
      <w:pPr>
        <w:spacing w:after="0" w:line="131"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Our Board of Directors has determined that Mr. Rosensweig qualifies as an “audit committee financial expert,” as such term is defined in Item 407(d)(5) of Regulation S-K. The Pre-Transaction Audit Committee met three (3) times during fiscal year 2025 and the Post-Transaction Audit Committee met one time during fiscal year 2025.</w:t>
      </w:r>
    </w:p>
    <w:p>
      <w:pPr>
        <w:spacing w:after="0" w:line="142" w:lineRule="exact"/>
        <w:rPr>
          <w:sz w:val="20"/>
          <w:szCs w:val="20"/>
          <w:color w:val="auto"/>
        </w:rPr>
      </w:pPr>
    </w:p>
    <w:p>
      <w:pPr>
        <w:ind w:left="20" w:right="580"/>
        <w:spacing w:after="0" w:line="271" w:lineRule="auto"/>
        <w:rPr>
          <w:sz w:val="20"/>
          <w:szCs w:val="20"/>
          <w:color w:val="auto"/>
        </w:rPr>
      </w:pPr>
      <w:r>
        <w:rPr>
          <w:rFonts w:ascii="Arial" w:cs="Arial" w:eastAsia="Arial" w:hAnsi="Arial"/>
          <w:sz w:val="18"/>
          <w:szCs w:val="18"/>
          <w:color w:val="auto"/>
        </w:rPr>
        <w:t>We have adopted an Audit Committee charter that outlines the principal functions of the Audit Committee, which include:</w:t>
      </w:r>
    </w:p>
    <w:p>
      <w:pPr>
        <w:spacing w:after="0" w:line="113" w:lineRule="exact"/>
        <w:rPr>
          <w:sz w:val="20"/>
          <w:szCs w:val="20"/>
          <w:color w:val="auto"/>
        </w:rPr>
      </w:pPr>
    </w:p>
    <w:p>
      <w:pPr>
        <w:ind w:left="740" w:hanging="35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w:t>
      </w:r>
    </w:p>
    <w:p>
      <w:pPr>
        <w:spacing w:after="0" w:line="13" w:lineRule="exact"/>
        <w:rPr>
          <w:rFonts w:ascii="Arial" w:cs="Arial" w:eastAsia="Arial" w:hAnsi="Arial"/>
          <w:sz w:val="18"/>
          <w:szCs w:val="18"/>
          <w:color w:val="auto"/>
        </w:rPr>
      </w:pPr>
    </w:p>
    <w:p>
      <w:pPr>
        <w:ind w:left="740" w:right="36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2" w:lineRule="exact"/>
        <w:rPr>
          <w:rFonts w:ascii="Arial" w:cs="Arial" w:eastAsia="Arial" w:hAnsi="Arial"/>
          <w:sz w:val="18"/>
          <w:szCs w:val="18"/>
          <w:color w:val="auto"/>
        </w:rPr>
      </w:pPr>
    </w:p>
    <w:p>
      <w:pPr>
        <w:ind w:left="740" w:right="10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2" w:lineRule="exact"/>
        <w:rPr>
          <w:rFonts w:ascii="Arial" w:cs="Arial" w:eastAsia="Arial" w:hAnsi="Arial"/>
          <w:sz w:val="18"/>
          <w:szCs w:val="18"/>
          <w:color w:val="auto"/>
        </w:rPr>
      </w:pPr>
    </w:p>
    <w:p>
      <w:pPr>
        <w:ind w:left="740" w:right="12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procedures for the receipt, retention and treatment of complaints received by our company regarding accounting, internal accounting controls, or auditing matters and for employees to submit concerns anonymously about questionable accounting or auditing matters;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related party transactions;</w:t>
      </w:r>
    </w:p>
    <w:p>
      <w:pPr>
        <w:ind w:left="740" w:right="12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to be performed by the independent registered public accounting firm;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Committee</w:t>
      </w:r>
    </w:p>
    <w:p>
      <w:pPr>
        <w:spacing w:after="0" w:line="171" w:lineRule="exact"/>
        <w:rPr>
          <w:sz w:val="20"/>
          <w:szCs w:val="20"/>
          <w:color w:val="auto"/>
        </w:rPr>
      </w:pPr>
    </w:p>
    <w:p>
      <w:pPr>
        <w:ind w:left="20" w:right="220"/>
        <w:spacing w:after="0" w:line="244" w:lineRule="auto"/>
        <w:rPr>
          <w:sz w:val="20"/>
          <w:szCs w:val="20"/>
          <w:color w:val="auto"/>
        </w:rPr>
      </w:pPr>
      <w:r>
        <w:rPr>
          <w:rFonts w:ascii="Arial" w:cs="Arial" w:eastAsia="Arial" w:hAnsi="Arial"/>
          <w:sz w:val="18"/>
          <w:szCs w:val="18"/>
          <w:color w:val="auto"/>
        </w:rPr>
        <w:t>Following the Recapitalization Transactions, the Board dissolved the Compensation Committee effective October 28, 2025. The Compensation Committee held four meetings in 2025 prior to its dissolution. Upon the dissolution of the Compensation Committee, the full Board absorbed the Compensation Committee’s duties and responsibilities to the extent required by Nasdaq Listing Rule 5605(d). The Board currently believes that all directors should be responsible for oversight of these matters.</w:t>
      </w:r>
    </w:p>
    <w:p>
      <w:pPr>
        <w:spacing w:after="0" w:line="136" w:lineRule="exact"/>
        <w:rPr>
          <w:sz w:val="20"/>
          <w:szCs w:val="20"/>
          <w:color w:val="auto"/>
        </w:rPr>
      </w:pPr>
    </w:p>
    <w:p>
      <w:pPr>
        <w:ind w:left="20" w:right="320"/>
        <w:spacing w:after="0" w:line="253" w:lineRule="auto"/>
        <w:rPr>
          <w:sz w:val="20"/>
          <w:szCs w:val="20"/>
          <w:color w:val="auto"/>
        </w:rPr>
      </w:pPr>
      <w:r>
        <w:rPr>
          <w:rFonts w:ascii="Arial" w:cs="Arial" w:eastAsia="Arial" w:hAnsi="Arial"/>
          <w:sz w:val="18"/>
          <w:szCs w:val="18"/>
          <w:color w:val="auto"/>
        </w:rPr>
        <w:t>Prior to its dissolution, our Compensation Committee consisted of Beth Kaplan (</w:t>
      </w:r>
      <w:r>
        <w:rPr>
          <w:rFonts w:ascii="Arial" w:cs="Arial" w:eastAsia="Arial" w:hAnsi="Arial"/>
          <w:sz w:val="18"/>
          <w:szCs w:val="18"/>
          <w:i w:val="1"/>
          <w:iCs w:val="1"/>
          <w:color w:val="auto"/>
        </w:rPr>
        <w:t>Chair</w:t>
      </w:r>
      <w:r>
        <w:rPr>
          <w:rFonts w:ascii="Arial" w:cs="Arial" w:eastAsia="Arial" w:hAnsi="Arial"/>
          <w:sz w:val="18"/>
          <w:szCs w:val="18"/>
          <w:color w:val="auto"/>
        </w:rPr>
        <w:t>), Scott Friend, and Mike Roth and had a Compensation Committee charter that outlined the principal functions of the Compensation Committee, which included:</w:t>
      </w:r>
    </w:p>
    <w:p>
      <w:pPr>
        <w:spacing w:after="0" w:line="142" w:lineRule="exact"/>
        <w:rPr>
          <w:sz w:val="20"/>
          <w:szCs w:val="20"/>
          <w:color w:val="auto"/>
        </w:rPr>
      </w:pPr>
    </w:p>
    <w:p>
      <w:pPr>
        <w:ind w:left="740" w:right="220" w:hanging="359"/>
        <w:spacing w:after="0" w:line="24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Chief Executive Officer and other executive officers;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severance arrangements for our executive officers;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administering our compensation recovery policy; and</w:t>
      </w:r>
    </w:p>
    <w:p>
      <w:pPr>
        <w:ind w:left="740" w:right="320" w:hanging="359"/>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our talent and employee development programs and our strategy, efforts, and results regarding diversity, equity, and inclusion.</w:t>
      </w:r>
    </w:p>
    <w:p>
      <w:pPr>
        <w:spacing w:after="0" w:line="131" w:lineRule="exact"/>
        <w:rPr>
          <w:sz w:val="20"/>
          <w:szCs w:val="20"/>
          <w:color w:val="auto"/>
        </w:rPr>
      </w:pPr>
    </w:p>
    <w:p>
      <w:pPr>
        <w:ind w:left="20" w:right="320"/>
        <w:spacing w:after="0" w:line="253" w:lineRule="auto"/>
        <w:rPr>
          <w:sz w:val="20"/>
          <w:szCs w:val="20"/>
          <w:color w:val="auto"/>
        </w:rPr>
      </w:pPr>
      <w:r>
        <w:rPr>
          <w:rFonts w:ascii="Arial" w:cs="Arial" w:eastAsia="Arial" w:hAnsi="Arial"/>
          <w:sz w:val="18"/>
          <w:szCs w:val="18"/>
          <w:color w:val="auto"/>
        </w:rPr>
        <w:t>Prior to its dissolution, our Board of Directors determined that each member of our Compensation Committee was a “non-employee director” as defined in Rule 16b-3 promulgated under the Securities Exchange Act of 1934, as amended (the “Exchange Act”).</w:t>
      </w:r>
    </w:p>
    <w:p>
      <w:pPr>
        <w:spacing w:after="0" w:line="128"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Prior to its dissolution, the Compensation Committee, and, following the Recapitalization Transactions, the Board, generally considered our Chief Executive Officer’s recommendations when making decisions regarding the compensation of non-employee directors and executive officers (other than the Chief Executive Officer). Pursuant to the Compensation Committee’s charter, the Compensation Committee had the authority to retain or obtain the advice of compensation consultants, legal counsel and other advisors to assist in carrying out its responsibilities. In fiscal year 2025, the Compensation Committee engaged Compensia, Inc. (“Compensia”) a compensation consulting firm, to advise on executive and director compensation. The Compensation Committee considered the adviser independence factors required under SEC rules as they relate to Compensia and determined that Compensia’s work does not raise a conflict of interest.</w:t>
      </w:r>
    </w:p>
    <w:p>
      <w:pPr>
        <w:spacing w:after="0" w:line="156" w:lineRule="exact"/>
        <w:rPr>
          <w:sz w:val="20"/>
          <w:szCs w:val="20"/>
          <w:color w:val="auto"/>
        </w:rPr>
      </w:pPr>
    </w:p>
    <w:p>
      <w:pPr>
        <w:ind w:left="20" w:right="120"/>
        <w:spacing w:after="0" w:line="247" w:lineRule="auto"/>
        <w:rPr>
          <w:sz w:val="20"/>
          <w:szCs w:val="20"/>
          <w:color w:val="auto"/>
        </w:rPr>
      </w:pPr>
      <w:r>
        <w:rPr>
          <w:rFonts w:ascii="Arial" w:cs="Arial" w:eastAsia="Arial" w:hAnsi="Arial"/>
          <w:sz w:val="18"/>
          <w:szCs w:val="18"/>
          <w:color w:val="auto"/>
        </w:rPr>
        <w:t>In addition, the Compensation Committee engaged Willis Towers Watson (“WTW”), a compensation consulting firm, to advise on executive and director compensation in connection with the Recapitalization Transactions. The Compensation Committee considered the adviser independence factors required under SEC rules as they relate to WTW and determined that WTW’s work did not raise a conflict of interest.</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Nominating and ESG Committee</w:t>
      </w:r>
    </w:p>
    <w:p>
      <w:pPr>
        <w:spacing w:after="0" w:line="171" w:lineRule="exact"/>
        <w:rPr>
          <w:sz w:val="20"/>
          <w:szCs w:val="20"/>
          <w:color w:val="auto"/>
        </w:rPr>
      </w:pPr>
    </w:p>
    <w:p>
      <w:pPr>
        <w:ind w:left="20" w:right="140"/>
        <w:spacing w:after="0" w:line="244" w:lineRule="auto"/>
        <w:rPr>
          <w:sz w:val="20"/>
          <w:szCs w:val="20"/>
          <w:color w:val="auto"/>
        </w:rPr>
      </w:pPr>
      <w:r>
        <w:rPr>
          <w:rFonts w:ascii="Arial" w:cs="Arial" w:eastAsia="Arial" w:hAnsi="Arial"/>
          <w:sz w:val="18"/>
          <w:szCs w:val="18"/>
          <w:color w:val="auto"/>
        </w:rPr>
        <w:t>Following the Recapitalization Transactions, the Board dissolved the Nominating and ESG Committee effective October 28, 2025. The Nominating and ESG Committee did not meet in 2025 prior to its dissolution. Upon the dissolution of the Nominating and ESG Committee, the full Board absorbed the Nominating and ESG Committee’s duties and responsibilities to the extent required by Nasdaq Listing Rule 5605(e). The Board currently believes that all directors should be responsible for oversight of these matters.</w:t>
      </w:r>
    </w:p>
    <w:p>
      <w:pPr>
        <w:spacing w:after="0" w:line="149"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Prior to dissolution, our Nominating and ESG Committee included Jennifer Fleiss (</w:t>
      </w:r>
      <w:r>
        <w:rPr>
          <w:rFonts w:ascii="Arial" w:cs="Arial" w:eastAsia="Arial" w:hAnsi="Arial"/>
          <w:sz w:val="18"/>
          <w:szCs w:val="18"/>
          <w:i w:val="1"/>
          <w:iCs w:val="1"/>
          <w:color w:val="auto"/>
        </w:rPr>
        <w:t>Chair</w:t>
      </w:r>
      <w:r>
        <w:rPr>
          <w:rFonts w:ascii="Arial" w:cs="Arial" w:eastAsia="Arial" w:hAnsi="Arial"/>
          <w:sz w:val="18"/>
          <w:szCs w:val="18"/>
          <w:color w:val="auto"/>
        </w:rPr>
        <w:t>) and Gwyneth Paltrow and had a Nominating and ESG Committee charter.</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Code of Conduct</w:t>
      </w:r>
    </w:p>
    <w:p>
      <w:pPr>
        <w:spacing w:after="0" w:line="199" w:lineRule="exact"/>
        <w:rPr>
          <w:sz w:val="20"/>
          <w:szCs w:val="20"/>
          <w:color w:val="auto"/>
        </w:rPr>
      </w:pPr>
    </w:p>
    <w:p>
      <w:pPr>
        <w:ind w:left="20" w:right="160"/>
        <w:spacing w:after="0" w:line="242" w:lineRule="auto"/>
        <w:rPr>
          <w:sz w:val="20"/>
          <w:szCs w:val="20"/>
          <w:color w:val="auto"/>
        </w:rPr>
      </w:pPr>
      <w:r>
        <w:rPr>
          <w:rFonts w:ascii="Arial" w:cs="Arial" w:eastAsia="Arial" w:hAnsi="Arial"/>
          <w:sz w:val="18"/>
          <w:szCs w:val="18"/>
          <w:color w:val="auto"/>
        </w:rPr>
        <w:t>Our Code of Conduct describes the standards of conduct expected of everyone at RTR. The code applies to all of our directors, officers, and employees, including our principal executive officer, principal financial officer, principal accounting officer and controller, or persons performing similar functions. A copy of the code is available on our Investor Relations website at investors.renttherunway.com in the “Governance” section. In addition, we intend to post on our website all disclosures that are required by law or by Nasdaq rules concerning any amendments to, or waivers from, any provision of our Code of Conduct.</w:t>
      </w:r>
    </w:p>
    <w:p>
      <w:pPr>
        <w:spacing w:after="0" w:line="308" w:lineRule="exact"/>
        <w:rPr>
          <w:sz w:val="20"/>
          <w:szCs w:val="20"/>
          <w:color w:val="auto"/>
        </w:rPr>
      </w:pPr>
    </w:p>
    <w:p>
      <w:pPr>
        <w:ind w:left="20" w:right="1220"/>
        <w:spacing w:after="0" w:line="290" w:lineRule="auto"/>
        <w:rPr>
          <w:sz w:val="20"/>
          <w:szCs w:val="20"/>
          <w:color w:val="auto"/>
        </w:rPr>
      </w:pPr>
      <w:r>
        <w:rPr>
          <w:rFonts w:ascii="Arial" w:cs="Arial" w:eastAsia="Arial" w:hAnsi="Arial"/>
          <w:sz w:val="36"/>
          <w:szCs w:val="36"/>
          <w:b w:val="1"/>
          <w:bCs w:val="1"/>
          <w:color w:val="auto"/>
        </w:rPr>
        <w:t>Compensation Committee Interlocks and Insider Participation</w:t>
      </w:r>
    </w:p>
    <w:p>
      <w:pPr>
        <w:spacing w:after="0" w:line="31" w:lineRule="exact"/>
        <w:rPr>
          <w:sz w:val="20"/>
          <w:szCs w:val="20"/>
          <w:color w:val="auto"/>
        </w:rPr>
      </w:pPr>
    </w:p>
    <w:p>
      <w:pPr>
        <w:ind w:left="20" w:right="240"/>
        <w:spacing w:after="0" w:line="242" w:lineRule="auto"/>
        <w:rPr>
          <w:sz w:val="20"/>
          <w:szCs w:val="20"/>
          <w:color w:val="auto"/>
        </w:rPr>
      </w:pPr>
      <w:r>
        <w:rPr>
          <w:rFonts w:ascii="Arial" w:cs="Arial" w:eastAsia="Arial" w:hAnsi="Arial"/>
          <w:sz w:val="18"/>
          <w:szCs w:val="18"/>
          <w:color w:val="auto"/>
        </w:rPr>
        <w:t>Beth Kaplan, Scott Friend, and Mike Roth served on our Compensation Committee during the portion of fiscal year 2025 before the completion of the Recapitalization Transactions. None of these individuals is currently, or has been within the past three years, an officer or an employee of RTR. None of our executive officers currently serve, or have served during the last year, as a member of the board of directors or compensation committee of any entity that has one or more executive officers serving as a member of our Board of Directors or, prior to the completion of the Recapitalization Transactions, our Compensation Committee.</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Nomination Process</w:t>
      </w:r>
    </w:p>
    <w:p>
      <w:pPr>
        <w:spacing w:after="0" w:line="199"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The Board of Directors is responsible for identifying and reviewing the qualifications of potential director candidates and recommending to the Board of Directors those candidates to be nominated for election to the Board of Directors, subject to any obligations and procedures governing the designation of directors to the Board of Directors that are included in the Investor Rights Agreement.</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Identifying and Evaluating Nominees</w:t>
      </w:r>
    </w:p>
    <w:p>
      <w:pPr>
        <w:spacing w:after="0" w:line="171"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When identifying and evaluating potential director nominees, including current members of the Board of Directors who are eligible for re-election, the Board of Directors seeks a balance of knowledge, experience, and capability and may consider the following (see also “The Board and Corporate Governance – Investor Rights Agreement” below):</w:t>
      </w:r>
    </w:p>
    <w:p>
      <w:pPr>
        <w:spacing w:after="0" w:line="128" w:lineRule="exact"/>
        <w:rPr>
          <w:sz w:val="20"/>
          <w:szCs w:val="20"/>
          <w:color w:val="auto"/>
        </w:rPr>
      </w:pPr>
    </w:p>
    <w:p>
      <w:pPr>
        <w:ind w:left="740" w:right="720" w:hanging="359"/>
        <w:spacing w:after="0" w:line="245"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as a board member of another publicly held company;</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professional and academic experience relevant to our industry, operations, and target markets;</w:t>
      </w:r>
    </w:p>
    <w:p>
      <w:pPr>
        <w:ind w:left="740" w:right="42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exercise mature business judgment, including, but not limited to, the ability to make independent analytical inquiries;</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leadership skills;</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finance and accounting and/or executive compensation practices;</w:t>
      </w:r>
    </w:p>
    <w:p>
      <w:pPr>
        <w:ind w:left="740" w:right="2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sufficiency of time for preparation, participation, and attendance at Board of Directors meetings and committee meetings; and</w:t>
      </w:r>
    </w:p>
    <w:p>
      <w:pPr>
        <w:spacing w:after="0" w:line="1" w:lineRule="exact"/>
        <w:rPr>
          <w:rFonts w:ascii="Arial" w:cs="Arial" w:eastAsia="Arial" w:hAnsi="Arial"/>
          <w:sz w:val="18"/>
          <w:szCs w:val="18"/>
          <w:color w:val="auto"/>
        </w:rPr>
      </w:pPr>
    </w:p>
    <w:p>
      <w:pPr>
        <w:ind w:left="740" w:hanging="359"/>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background and perspective as well as diversity of expertise and experience in substantive matters pertaining to our business relative to other members of the Board of Directors.</w:t>
      </w:r>
    </w:p>
    <w:p>
      <w:pPr>
        <w:spacing w:after="0" w:line="145" w:lineRule="exact"/>
        <w:rPr>
          <w:sz w:val="20"/>
          <w:szCs w:val="20"/>
          <w:color w:val="auto"/>
        </w:rPr>
      </w:pPr>
    </w:p>
    <w:p>
      <w:pPr>
        <w:ind w:left="20" w:right="300"/>
        <w:spacing w:after="0" w:line="242" w:lineRule="auto"/>
        <w:rPr>
          <w:sz w:val="20"/>
          <w:szCs w:val="20"/>
          <w:color w:val="auto"/>
        </w:rPr>
      </w:pPr>
      <w:r>
        <w:rPr>
          <w:rFonts w:ascii="Arial" w:cs="Arial" w:eastAsia="Arial" w:hAnsi="Arial"/>
          <w:sz w:val="18"/>
          <w:szCs w:val="18"/>
          <w:color w:val="auto"/>
        </w:rPr>
        <w:t>To facilitate the search process for director candidates, the Board of Directors may solicit our current directors and executives for the names of potentially qualified candidates or may ask directors and executives to pursue their own business contacts for the names of potentially qualified candidates. Teri Bariquit, a director nominee, was recommended for election by an investor pursuant to the Investor Rights Agreement. Dan Rosensweig, a director nominee, was recommended for election by Ms. Hyman pursuant to the Investor Rights Agreement. The Board of Directors may also consult with outside advisors or retain search firms to assist in the search for qualified</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candidates or consider director candidates recommended by our stockholders. Once potential candidates are identified, the Board of Directors reviews the backgrounds of those candidates, evaluates candidates’ independence from us and potential conflicts of interest, and determines if candidates meet the qualifications desired by the Board of Directors of candidates for election as director.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Stockholder Recommendations and Nominees</w:t>
      </w:r>
    </w:p>
    <w:p>
      <w:pPr>
        <w:spacing w:after="0" w:line="171"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The Board of Directors will consider stockholder recommendations, so long as they comply with applicable law, our Bylaws, and the procedures described below. Stockholder recommendations for candidates to the Board of Directors must be received in writing and emailed to corporatesecretary@renttherunway.com or sent to our headquarters, Rent the Runway, Inc., 10 Jay Street, Brooklyn, NY 11201, to the attention of our Chief Legal &amp; Administrative Officer and Secretary. The recommendation must be received sufficiently in advance of our consideration of our director nominees for the next annual meeting and must include the candidate’s name, home and business contact information, detailed biographical data and qualifications, information regarding any relationships between the candidate and RTR within the last three years, and evidence of the recommending person’s ownership of RTR stock. Recommendations must also include a statement from the recommending stockholder in support of the candidate that addresses the criteria for Board of Directors membership, personal references, and the consent of the candidate to serve.</w:t>
      </w:r>
    </w:p>
    <w:p>
      <w:pPr>
        <w:spacing w:after="0" w:line="153"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The Board of Directors will review the qualifications of any candidate recommended by stockholders in accordance with the criteria described above. In addition, in the Board of Directors’ discretion, its review may include interviewing references, performing background checks, direct interviews with the candidate, or other actions it deems necessary or proper. Stockholders may also nominate candidates for election to our Board of Directors by following the procedures described in “Additional Information – Stockholder Proposals” below.</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Investor Rights Agreement</w:t>
      </w:r>
    </w:p>
    <w:p>
      <w:pPr>
        <w:spacing w:after="0" w:line="199" w:lineRule="exact"/>
        <w:rPr>
          <w:sz w:val="20"/>
          <w:szCs w:val="20"/>
          <w:color w:val="auto"/>
        </w:rPr>
      </w:pPr>
    </w:p>
    <w:p>
      <w:pPr>
        <w:ind w:left="20" w:right="120"/>
        <w:spacing w:after="0" w:line="244" w:lineRule="auto"/>
        <w:rPr>
          <w:sz w:val="20"/>
          <w:szCs w:val="20"/>
          <w:color w:val="auto"/>
        </w:rPr>
      </w:pPr>
      <w:r>
        <w:rPr>
          <w:rFonts w:ascii="Arial" w:cs="Arial" w:eastAsia="Arial" w:hAnsi="Arial"/>
          <w:sz w:val="18"/>
          <w:szCs w:val="18"/>
          <w:color w:val="auto"/>
        </w:rPr>
        <w:t>In connection with the Recapitalization Transactions, on August 20, 2025, the Company entered into the Investor Rights Agreement. Pursuant to the Investor Rights Agreement, the Company was required to prepare and file with the SEC, within 20 days following the Closing, a shelf registration statement registering the resale of Class A common stock held by Ms. Hyman and the Investor Group, and grant certain demand, piggyback and shelf registration rights to Ms. Hyman and the Investor Group.</w:t>
      </w:r>
    </w:p>
    <w:p>
      <w:pPr>
        <w:spacing w:after="0" w:line="136" w:lineRule="exact"/>
        <w:rPr>
          <w:sz w:val="20"/>
          <w:szCs w:val="20"/>
          <w:color w:val="auto"/>
        </w:rPr>
      </w:pPr>
    </w:p>
    <w:p>
      <w:pPr>
        <w:ind w:left="20" w:right="60"/>
        <w:spacing w:after="0"/>
        <w:rPr>
          <w:sz w:val="20"/>
          <w:szCs w:val="20"/>
          <w:color w:val="auto"/>
        </w:rPr>
      </w:pPr>
      <w:r>
        <w:rPr>
          <w:rFonts w:ascii="Arial" w:cs="Arial" w:eastAsia="Arial" w:hAnsi="Arial"/>
          <w:sz w:val="18"/>
          <w:szCs w:val="18"/>
          <w:color w:val="auto"/>
        </w:rPr>
        <w:t>The Investor Rights Agreement also provided for certain Board designation rights of the Investor Group and Ms. Hyman. Pursuant to the Investor Rights Agreement, for so long as they meet certain minimum ownership thresholds, each of Nexus and STORY3 will be entitled to designate one director to the Board, and the Board will designate three directors to the Board, subject to the approval of the Investor Majority and after considering in good faith Ms. Hyman’s views in connection therewith. In addition, the Investor Rights Agreement provided that, so long as Ms. Hyman served as Chief Executive Officer of the Company, she would be designated as a member of the Board, and, for so long as she continued to own a specified minimum number of Class A common stock, Ms. Hyman would be entitled to appoint one additional director to the Board, subject to the reasonable approval of the Investor Majority. Subject to certain minimum ownership thresholds, Nexus and STORY3 would also be entitled to each appoint a non-voting Board observer, and the Lender would be entitled to appoint two non-voting Board observers pursuant to the Investor Rights Agreement and the New Credit Agreement. Furthermore, subject to certain minimum ownership thresholds, Ms. Hyman would also be entitled to appoint a non-voting Board observer pursuant to the Investor Rights Agreement.</w:t>
      </w:r>
    </w:p>
    <w:p>
      <w:pPr>
        <w:spacing w:after="0" w:line="338"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On May 12, 2026, Jennifer Hyman resigned as Chief Executive Officer and President of the Company and as a member of the Board, effective as of May 15, 2026 (the “Separation Date”). In connection with Ms. Hyman’s resignation, the Company entered into a side letter agreement (the “Side Letter”) with Ms. Hyman and her affiliates (the “Hyman Group”) pursuant to which, among other things, the Hyman Group agreed to terminate any and all of their respective rights under the Investor Rights Agreement, including rights to designate a director and a board observer to the Board.</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The description of the terms of the Investor Rights Agreement and the Side Letter does not purport to be complete and is qualified in its entirety by the full text of the respective agreements. A copy of the Investor Rights Agreement was filed and incorporated by reference as Exhibit 10.27 in our Annual Report on Form 10-K. A copy of the Side Letter was filed as Exhibit 10.2 in our Current Report on Form 8-K, filed with the SEC on May 13, 2026.</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Communications with the Board</w:t>
      </w:r>
    </w:p>
    <w:p>
      <w:pPr>
        <w:spacing w:after="0" w:line="199"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Stockholders or other interested parties may contact the Board of Directors or one or more of our directors with issues or questions about RTR, by emailing corporatesecretary@renttherunway.com or mailing correspondence to our Chief Legal &amp; Administrative Officer and Secretary at our Brooklyn headquarters, Rent the Runway, Inc., 10 Jay Street, Brooklyn, NY 11201. Our legal team will review incoming communications directed to the Board of Directors and, if appropriate, will forward such communications to the appropriate member(s) of the Board of Directors or, if none is specified, to the Executive Chairman of the Board of Directors. For example, we will generally not forward a communication that is primarily commercial in nature, is improper or irrelevant, or is a request for general information about RTR.</w:t>
      </w:r>
    </w:p>
    <w:p>
      <w:pPr>
        <w:spacing w:after="0" w:line="350" w:lineRule="exact"/>
        <w:rPr>
          <w:sz w:val="20"/>
          <w:szCs w:val="20"/>
          <w:color w:val="auto"/>
        </w:rPr>
      </w:pPr>
    </w:p>
    <w:p>
      <w:pPr>
        <w:ind w:left="20" w:right="1800"/>
        <w:spacing w:after="0" w:line="290" w:lineRule="auto"/>
        <w:rPr>
          <w:sz w:val="20"/>
          <w:szCs w:val="20"/>
          <w:color w:val="auto"/>
        </w:rPr>
      </w:pPr>
      <w:r>
        <w:rPr>
          <w:rFonts w:ascii="Arial" w:cs="Arial" w:eastAsia="Arial" w:hAnsi="Arial"/>
          <w:sz w:val="36"/>
          <w:szCs w:val="36"/>
          <w:b w:val="1"/>
          <w:bCs w:val="1"/>
          <w:color w:val="auto"/>
        </w:rPr>
        <w:t>Policy for Recovery of Erroneously Awarded Compensation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Policy for Recovery of Erroneously Awarded Compensation (the “Clawback Policy”) is intended to comply with SEC and Nasdaq listing standards and maintain a culture of focused, diligent, and responsible management that discourages conduct detrimental to the growth of the Company. Accordingly, as set forth in the Clawback Policy, the Company is required to recover certain erroneously paid incentive-based compensation, including cash incentive or performance-vesting equity compensation, of its current and former executive officers in the event the Company is required to prepare a qualifying accounting restatement. A copy of the Clawback Policy was filed as Exhibit 97.1 to our 2025 Annual Report.</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Insider Trading Policy</w:t>
      </w:r>
    </w:p>
    <w:p>
      <w:pPr>
        <w:spacing w:after="0" w:line="212" w:lineRule="exact"/>
        <w:rPr>
          <w:sz w:val="20"/>
          <w:szCs w:val="20"/>
          <w:color w:val="auto"/>
        </w:rPr>
      </w:pPr>
    </w:p>
    <w:p>
      <w:pPr>
        <w:ind w:left="20" w:right="180"/>
        <w:spacing w:after="0" w:line="244" w:lineRule="auto"/>
        <w:rPr>
          <w:sz w:val="20"/>
          <w:szCs w:val="20"/>
          <w:color w:val="auto"/>
        </w:rPr>
      </w:pPr>
      <w:r>
        <w:rPr>
          <w:rFonts w:ascii="Arial" w:cs="Arial" w:eastAsia="Arial" w:hAnsi="Arial"/>
          <w:sz w:val="18"/>
          <w:szCs w:val="18"/>
          <w:color w:val="auto"/>
        </w:rPr>
        <w:t>We have adopted an Insider Trading Policy and procedures applicable to our directors, officers, and employees, that are reasonably designed to promote compliance with insider trading laws, rules and regulations, and Nasdaq listing standards. Under our Insider Trading Policy, our directors and employees, including our executive officers, are prohibited from pledging our securities or using such securities as collateral for a loan. A copy of our Insider Trading Policy was filed as Exhibit 19.1 to our 2025 Annual Report.</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114" w:right="1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Director Compensation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discloses compensation earned by our non-employee directors during fiscal year 2025.</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20" w:type="dxa"/>
            <w:vAlign w:val="bottom"/>
            <w:shd w:val="clear" w:color="auto" w:fill="FFE8F5"/>
          </w:tcPr>
          <w:p>
            <w:pPr>
              <w:spacing w:after="0"/>
              <w:rPr>
                <w:sz w:val="22"/>
                <w:szCs w:val="22"/>
                <w:color w:val="auto"/>
              </w:rPr>
            </w:pPr>
          </w:p>
        </w:tc>
        <w:tc>
          <w:tcPr>
            <w:tcW w:w="2700" w:type="dxa"/>
            <w:vAlign w:val="bottom"/>
            <w:vMerge w:val="restart"/>
            <w:shd w:val="clear" w:color="auto" w:fill="FFE8F5"/>
          </w:tcPr>
          <w:p>
            <w:pPr>
              <w:ind w:left="40"/>
              <w:spacing w:after="0"/>
              <w:rPr>
                <w:sz w:val="20"/>
                <w:szCs w:val="20"/>
                <w:color w:val="auto"/>
              </w:rPr>
            </w:pPr>
            <w:r>
              <w:rPr>
                <w:rFonts w:ascii="Arial" w:cs="Arial" w:eastAsia="Arial" w:hAnsi="Arial"/>
                <w:sz w:val="14"/>
                <w:szCs w:val="14"/>
                <w:b w:val="1"/>
                <w:bCs w:val="1"/>
                <w:color w:val="auto"/>
              </w:rPr>
              <w:t>Director</w:t>
            </w:r>
            <w:r>
              <w:rPr>
                <w:rFonts w:ascii="Arial" w:cs="Arial" w:eastAsia="Arial" w:hAnsi="Arial"/>
                <w:sz w:val="23"/>
                <w:szCs w:val="23"/>
                <w:b w:val="1"/>
                <w:bCs w:val="1"/>
                <w:color w:val="auto"/>
                <w:vertAlign w:val="superscript"/>
              </w:rPr>
              <w:t>(1)</w:t>
            </w:r>
          </w:p>
        </w:tc>
        <w:tc>
          <w:tcPr>
            <w:tcW w:w="2400" w:type="dxa"/>
            <w:vAlign w:val="bottom"/>
            <w:shd w:val="clear" w:color="auto" w:fill="FFE8F5"/>
          </w:tcPr>
          <w:p>
            <w:pPr>
              <w:ind w:left="1120"/>
              <w:spacing w:after="0"/>
              <w:rPr>
                <w:sz w:val="20"/>
                <w:szCs w:val="20"/>
                <w:color w:val="auto"/>
              </w:rPr>
            </w:pPr>
            <w:r>
              <w:rPr>
                <w:rFonts w:ascii="Arial" w:cs="Arial" w:eastAsia="Arial" w:hAnsi="Arial"/>
                <w:sz w:val="14"/>
                <w:szCs w:val="14"/>
                <w:b w:val="1"/>
                <w:bCs w:val="1"/>
                <w:color w:val="auto"/>
              </w:rPr>
              <w:t>Fees Earned or</w:t>
            </w:r>
          </w:p>
        </w:tc>
        <w:tc>
          <w:tcPr>
            <w:tcW w:w="1260" w:type="dxa"/>
            <w:vAlign w:val="bottom"/>
            <w:shd w:val="clear" w:color="auto" w:fill="FFE8F5"/>
          </w:tcPr>
          <w:p>
            <w:pPr>
              <w:ind w:left="160"/>
              <w:spacing w:after="0"/>
              <w:rPr>
                <w:sz w:val="20"/>
                <w:szCs w:val="20"/>
                <w:color w:val="auto"/>
              </w:rPr>
            </w:pPr>
            <w:r>
              <w:rPr>
                <w:rFonts w:ascii="Arial" w:cs="Arial" w:eastAsia="Arial" w:hAnsi="Arial"/>
                <w:sz w:val="14"/>
                <w:szCs w:val="14"/>
                <w:b w:val="1"/>
                <w:bCs w:val="1"/>
                <w:color w:val="auto"/>
              </w:rPr>
              <w:t>Stock</w:t>
            </w:r>
          </w:p>
        </w:tc>
        <w:tc>
          <w:tcPr>
            <w:tcW w:w="1420" w:type="dxa"/>
            <w:vAlign w:val="bottom"/>
            <w:shd w:val="clear" w:color="auto" w:fill="FFE8F5"/>
          </w:tcPr>
          <w:p>
            <w:pPr>
              <w:ind w:left="180"/>
              <w:spacing w:after="0"/>
              <w:rPr>
                <w:sz w:val="20"/>
                <w:szCs w:val="20"/>
                <w:color w:val="auto"/>
              </w:rPr>
            </w:pPr>
            <w:r>
              <w:rPr>
                <w:rFonts w:ascii="Arial" w:cs="Arial" w:eastAsia="Arial" w:hAnsi="Arial"/>
                <w:sz w:val="14"/>
                <w:szCs w:val="14"/>
                <w:b w:val="1"/>
                <w:bCs w:val="1"/>
                <w:color w:val="auto"/>
              </w:rPr>
              <w:t>All Other</w:t>
            </w:r>
          </w:p>
        </w:tc>
        <w:tc>
          <w:tcPr>
            <w:tcW w:w="1600" w:type="dxa"/>
            <w:vAlign w:val="bottom"/>
            <w:shd w:val="clear" w:color="auto" w:fill="FFE8F5"/>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96"/>
        </w:trPr>
        <w:tc>
          <w:tcPr>
            <w:tcW w:w="120" w:type="dxa"/>
            <w:vAlign w:val="bottom"/>
            <w:tcBorders>
              <w:bottom w:val="single" w:sz="8" w:color="auto"/>
            </w:tcBorders>
            <w:shd w:val="clear" w:color="auto" w:fill="FFE8F5"/>
          </w:tcPr>
          <w:p>
            <w:pPr>
              <w:spacing w:after="0"/>
              <w:rPr>
                <w:sz w:val="24"/>
                <w:szCs w:val="24"/>
                <w:color w:val="auto"/>
              </w:rPr>
            </w:pPr>
          </w:p>
        </w:tc>
        <w:tc>
          <w:tcPr>
            <w:tcW w:w="2700" w:type="dxa"/>
            <w:vAlign w:val="bottom"/>
            <w:tcBorders>
              <w:bottom w:val="single" w:sz="8" w:color="auto"/>
            </w:tcBorders>
            <w:vMerge w:val="continue"/>
            <w:shd w:val="clear" w:color="auto" w:fill="FFE8F5"/>
          </w:tcPr>
          <w:p>
            <w:pPr>
              <w:spacing w:after="0"/>
              <w:rPr>
                <w:sz w:val="24"/>
                <w:szCs w:val="24"/>
                <w:color w:val="auto"/>
              </w:rPr>
            </w:pPr>
          </w:p>
        </w:tc>
        <w:tc>
          <w:tcPr>
            <w:tcW w:w="2400" w:type="dxa"/>
            <w:vAlign w:val="bottom"/>
            <w:tcBorders>
              <w:bottom w:val="single" w:sz="8" w:color="auto"/>
            </w:tcBorders>
            <w:shd w:val="clear" w:color="auto" w:fill="FFE8F5"/>
          </w:tcPr>
          <w:p>
            <w:pPr>
              <w:ind w:left="1120"/>
              <w:spacing w:after="0"/>
              <w:rPr>
                <w:sz w:val="20"/>
                <w:szCs w:val="20"/>
                <w:color w:val="auto"/>
              </w:rPr>
            </w:pPr>
            <w:r>
              <w:rPr>
                <w:rFonts w:ascii="Arial" w:cs="Arial" w:eastAsia="Arial" w:hAnsi="Arial"/>
                <w:sz w:val="14"/>
                <w:szCs w:val="14"/>
                <w:b w:val="1"/>
                <w:bCs w:val="1"/>
                <w:color w:val="auto"/>
              </w:rPr>
              <w:t>Paid in Cash ($)</w:t>
            </w:r>
          </w:p>
        </w:tc>
        <w:tc>
          <w:tcPr>
            <w:tcW w:w="1260" w:type="dxa"/>
            <w:vAlign w:val="bottom"/>
            <w:tcBorders>
              <w:bottom w:val="single" w:sz="8" w:color="auto"/>
            </w:tcBorders>
            <w:shd w:val="clear" w:color="auto" w:fill="FFE8F5"/>
          </w:tcPr>
          <w:p>
            <w:pPr>
              <w:ind w:left="160"/>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23"/>
                <w:szCs w:val="23"/>
                <w:b w:val="1"/>
                <w:bCs w:val="1"/>
                <w:color w:val="auto"/>
                <w:vertAlign w:val="superscript"/>
              </w:rPr>
              <w:t>(2)</w:t>
            </w:r>
          </w:p>
        </w:tc>
        <w:tc>
          <w:tcPr>
            <w:tcW w:w="1420" w:type="dxa"/>
            <w:vAlign w:val="bottom"/>
            <w:tcBorders>
              <w:bottom w:val="single" w:sz="8" w:color="auto"/>
            </w:tcBorders>
            <w:shd w:val="clear" w:color="auto" w:fill="FFE8F5"/>
          </w:tcPr>
          <w:p>
            <w:pPr>
              <w:ind w:left="180"/>
              <w:spacing w:after="0"/>
              <w:rPr>
                <w:sz w:val="20"/>
                <w:szCs w:val="20"/>
                <w:color w:val="auto"/>
              </w:rPr>
            </w:pPr>
            <w:r>
              <w:rPr>
                <w:rFonts w:ascii="Arial" w:cs="Arial" w:eastAsia="Arial" w:hAnsi="Arial"/>
                <w:sz w:val="14"/>
                <w:szCs w:val="14"/>
                <w:b w:val="1"/>
                <w:bCs w:val="1"/>
                <w:color w:val="auto"/>
              </w:rPr>
              <w:t>Compensation</w:t>
            </w:r>
          </w:p>
        </w:tc>
        <w:tc>
          <w:tcPr>
            <w:tcW w:w="1600" w:type="dxa"/>
            <w:vAlign w:val="bottom"/>
            <w:tcBorders>
              <w:bottom w:val="single" w:sz="8" w:color="auto"/>
            </w:tcBorders>
            <w:shd w:val="clear" w:color="auto" w:fill="FFE8F5"/>
          </w:tcPr>
          <w:p>
            <w:pPr>
              <w:ind w:left="180"/>
              <w:spacing w:after="0"/>
              <w:rPr>
                <w:sz w:val="20"/>
                <w:szCs w:val="20"/>
                <w:color w:val="auto"/>
              </w:rPr>
            </w:pPr>
            <w:r>
              <w:rPr>
                <w:rFonts w:ascii="Arial" w:cs="Arial" w:eastAsia="Arial" w:hAnsi="Arial"/>
                <w:sz w:val="14"/>
                <w:szCs w:val="14"/>
                <w:b w:val="1"/>
                <w:bCs w:val="1"/>
                <w:color w:val="auto"/>
              </w:rPr>
              <w:t>Compensation ($)</w:t>
            </w:r>
          </w:p>
        </w:tc>
        <w:tc>
          <w:tcPr>
            <w:tcW w:w="0" w:type="dxa"/>
            <w:vAlign w:val="bottom"/>
          </w:tcPr>
          <w:p>
            <w:pPr>
              <w:spacing w:after="0"/>
              <w:rPr>
                <w:sz w:val="1"/>
                <w:szCs w:val="1"/>
                <w:color w:val="auto"/>
              </w:rPr>
            </w:pPr>
          </w:p>
        </w:tc>
      </w:tr>
      <w:tr>
        <w:trPr>
          <w:trHeight w:val="372"/>
        </w:trPr>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Teri Bariquit</w:t>
            </w:r>
          </w:p>
        </w:tc>
        <w:tc>
          <w:tcPr>
            <w:tcW w:w="2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19,565</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141,446</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30,000</w:t>
            </w:r>
            <w:r>
              <w:rPr>
                <w:rFonts w:ascii="Arial" w:cs="Arial" w:eastAsia="Arial" w:hAnsi="Arial"/>
                <w:sz w:val="23"/>
                <w:szCs w:val="23"/>
                <w:color w:val="auto"/>
                <w:vertAlign w:val="superscript"/>
              </w:rPr>
              <w:t>(3)</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191,011</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Tim Bixby</w:t>
            </w:r>
          </w:p>
        </w:tc>
        <w:tc>
          <w:tcPr>
            <w:tcW w:w="2400" w:type="dxa"/>
            <w:vAlign w:val="bottom"/>
          </w:tcPr>
          <w:p>
            <w:pPr>
              <w:jc w:val="right"/>
              <w:ind w:right="108"/>
              <w:spacing w:after="0"/>
              <w:rPr>
                <w:sz w:val="20"/>
                <w:szCs w:val="20"/>
                <w:color w:val="auto"/>
              </w:rPr>
            </w:pPr>
            <w:r>
              <w:rPr>
                <w:rFonts w:ascii="Arial" w:cs="Arial" w:eastAsia="Arial" w:hAnsi="Arial"/>
                <w:sz w:val="14"/>
                <w:szCs w:val="14"/>
                <w:color w:val="auto"/>
              </w:rPr>
              <w:t>123,573</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8,543</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132,116</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Peter Comisar</w:t>
            </w:r>
            <w:r>
              <w:rPr>
                <w:rFonts w:ascii="Arial" w:cs="Arial" w:eastAsia="Arial" w:hAnsi="Arial"/>
                <w:sz w:val="23"/>
                <w:szCs w:val="23"/>
                <w:color w:val="auto"/>
                <w:vertAlign w:val="superscript"/>
              </w:rPr>
              <w:t>(4)</w:t>
            </w:r>
          </w:p>
        </w:tc>
        <w:tc>
          <w:tcPr>
            <w:tcW w:w="2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Jennifer Fleiss</w:t>
            </w:r>
          </w:p>
        </w:tc>
        <w:tc>
          <w:tcPr>
            <w:tcW w:w="2400" w:type="dxa"/>
            <w:vAlign w:val="bottom"/>
          </w:tcPr>
          <w:p>
            <w:pPr>
              <w:jc w:val="right"/>
              <w:ind w:right="108"/>
              <w:spacing w:after="0"/>
              <w:rPr>
                <w:sz w:val="20"/>
                <w:szCs w:val="20"/>
                <w:color w:val="auto"/>
              </w:rPr>
            </w:pPr>
            <w:r>
              <w:rPr>
                <w:rFonts w:ascii="Arial" w:cs="Arial" w:eastAsia="Arial" w:hAnsi="Arial"/>
                <w:sz w:val="14"/>
                <w:szCs w:val="14"/>
                <w:color w:val="auto"/>
              </w:rPr>
              <w:t>59,348</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8,543</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67,891</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(5)</w:t>
            </w:r>
          </w:p>
        </w:tc>
        <w:tc>
          <w:tcPr>
            <w:tcW w:w="2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Damian Giangiacomo</w:t>
            </w:r>
            <w:r>
              <w:rPr>
                <w:rFonts w:ascii="Arial" w:cs="Arial" w:eastAsia="Arial" w:hAnsi="Arial"/>
                <w:sz w:val="23"/>
                <w:szCs w:val="23"/>
                <w:color w:val="auto"/>
                <w:vertAlign w:val="superscript"/>
              </w:rPr>
              <w:t>(4)</w:t>
            </w:r>
          </w:p>
        </w:tc>
        <w:tc>
          <w:tcPr>
            <w:tcW w:w="2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Beth Kaplan</w:t>
            </w:r>
          </w:p>
        </w:tc>
        <w:tc>
          <w:tcPr>
            <w:tcW w:w="2400" w:type="dxa"/>
            <w:vAlign w:val="bottom"/>
          </w:tcPr>
          <w:p>
            <w:pPr>
              <w:jc w:val="right"/>
              <w:ind w:right="108"/>
              <w:spacing w:after="0"/>
              <w:rPr>
                <w:sz w:val="20"/>
                <w:szCs w:val="20"/>
                <w:color w:val="auto"/>
              </w:rPr>
            </w:pPr>
            <w:r>
              <w:rPr>
                <w:rFonts w:ascii="Arial" w:cs="Arial" w:eastAsia="Arial" w:hAnsi="Arial"/>
                <w:sz w:val="14"/>
                <w:szCs w:val="14"/>
                <w:color w:val="auto"/>
              </w:rPr>
              <w:t>122,405</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8,543</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130,948</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Emil Michael</w:t>
            </w:r>
            <w:r>
              <w:rPr>
                <w:rFonts w:ascii="Arial" w:cs="Arial" w:eastAsia="Arial" w:hAnsi="Arial"/>
                <w:sz w:val="23"/>
                <w:szCs w:val="23"/>
                <w:color w:val="auto"/>
                <w:vertAlign w:val="superscript"/>
              </w:rPr>
              <w:t>(6)</w:t>
            </w:r>
          </w:p>
        </w:tc>
        <w:tc>
          <w:tcPr>
            <w:tcW w:w="2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12,500</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Gwyneth Paltrow</w:t>
            </w:r>
            <w:r>
              <w:rPr>
                <w:rFonts w:ascii="Arial" w:cs="Arial" w:eastAsia="Arial" w:hAnsi="Arial"/>
                <w:sz w:val="23"/>
                <w:szCs w:val="23"/>
                <w:color w:val="auto"/>
                <w:vertAlign w:val="superscript"/>
              </w:rPr>
              <w:t>(7)</w:t>
            </w:r>
          </w:p>
        </w:tc>
        <w:tc>
          <w:tcPr>
            <w:tcW w:w="2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41,372</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8,543</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49,915</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Daniel Rosensweig</w:t>
            </w:r>
          </w:p>
        </w:tc>
        <w:tc>
          <w:tcPr>
            <w:tcW w:w="2400" w:type="dxa"/>
            <w:vAlign w:val="bottom"/>
          </w:tcPr>
          <w:p>
            <w:pPr>
              <w:jc w:val="right"/>
              <w:ind w:right="108"/>
              <w:spacing w:after="0"/>
              <w:rPr>
                <w:sz w:val="20"/>
                <w:szCs w:val="20"/>
                <w:color w:val="auto"/>
              </w:rPr>
            </w:pPr>
            <w:r>
              <w:rPr>
                <w:rFonts w:ascii="Arial" w:cs="Arial" w:eastAsia="Arial" w:hAnsi="Arial"/>
                <w:sz w:val="14"/>
                <w:szCs w:val="14"/>
                <w:color w:val="auto"/>
              </w:rPr>
              <w:t>95,380</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149,989</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245,369</w:t>
            </w: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Mike Roth</w:t>
            </w:r>
          </w:p>
        </w:tc>
        <w:tc>
          <w:tcPr>
            <w:tcW w:w="2400" w:type="dxa"/>
            <w:vAlign w:val="bottom"/>
          </w:tcPr>
          <w:p>
            <w:pPr>
              <w:jc w:val="right"/>
              <w:ind w:right="108"/>
              <w:spacing w:after="0"/>
              <w:rPr>
                <w:sz w:val="20"/>
                <w:szCs w:val="20"/>
                <w:color w:val="auto"/>
              </w:rPr>
            </w:pPr>
            <w:r>
              <w:rPr>
                <w:rFonts w:ascii="Arial" w:cs="Arial" w:eastAsia="Arial" w:hAnsi="Arial"/>
                <w:sz w:val="14"/>
                <w:szCs w:val="14"/>
                <w:color w:val="auto"/>
              </w:rPr>
              <w:t>55,639</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8,543</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64,182</w:t>
            </w: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right="20" w:hanging="359"/>
        <w:spacing w:after="0" w:line="256"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connection with the Recapitalization Transactions, the composition of our Board of Directors changed, effective October 28, 2025, as follows: Ms. Bariquit, Mr. Comisar and Mr. Giangiacomo were appointed as members of the Board of Directors and Ms. Fleiss and Mr. Kaplan and Mr. Bixby, Mr. Friend, and Mr. Roth ceased serving as members of the Board. Fees received by these individuals were prorated as of or through their appointment or resignation date, as applicable.</w:t>
      </w:r>
    </w:p>
    <w:p>
      <w:pPr>
        <w:spacing w:after="0" w:line="15" w:lineRule="exact"/>
        <w:rPr>
          <w:rFonts w:ascii="Arial" w:cs="Arial" w:eastAsia="Arial" w:hAnsi="Arial"/>
          <w:sz w:val="14"/>
          <w:szCs w:val="14"/>
          <w:color w:val="auto"/>
        </w:rPr>
      </w:pPr>
    </w:p>
    <w:p>
      <w:pPr>
        <w:ind w:left="380" w:right="60" w:hanging="359"/>
        <w:spacing w:after="0" w:line="251"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value disclosed is the aggregate grant date fair value of restricted stock units (“RSUs”) granted to the non-employee directors in fiscal year 2025 (except Mr. Comisar, Mr. Friend, Mr. Giangiacomo and Mr. Michael, each of whom did not receive a grant of RSUs during fiscal year</w:t>
      </w:r>
    </w:p>
    <w:p>
      <w:pPr>
        <w:spacing w:after="0" w:line="1" w:lineRule="exact"/>
        <w:rPr>
          <w:rFonts w:ascii="Arial" w:cs="Arial" w:eastAsia="Arial" w:hAnsi="Arial"/>
          <w:sz w:val="14"/>
          <w:szCs w:val="14"/>
          <w:color w:val="auto"/>
        </w:rPr>
      </w:pPr>
    </w:p>
    <w:p>
      <w:pPr>
        <w:ind w:left="380" w:right="80"/>
        <w:spacing w:after="0" w:line="246" w:lineRule="auto"/>
        <w:rPr>
          <w:rFonts w:ascii="Arial" w:cs="Arial" w:eastAsia="Arial" w:hAnsi="Arial"/>
          <w:sz w:val="14"/>
          <w:szCs w:val="14"/>
          <w:color w:val="auto"/>
        </w:rPr>
      </w:pPr>
      <w:r>
        <w:rPr>
          <w:rFonts w:ascii="Arial" w:cs="Arial" w:eastAsia="Arial" w:hAnsi="Arial"/>
          <w:sz w:val="14"/>
          <w:szCs w:val="14"/>
          <w:color w:val="auto"/>
        </w:rPr>
        <w:t>2025), computed in accordance with FASB ASC Topic 718, rather than the amounts paid to or realized by the named individual (including with respect to the RSUs that accelerated and vested on the Recapitalization Date). Assumptions used in the calculation of the grant date fair value are set forth in Note 14—Share-based Compensation Plans in our 2025 Annual Report. RSUs granted to our non-employee directors in fiscal year 2025 generally vest on the earlier of (i) the next occurring annual meeting of our Stockholders or (ii) the first anniversary of the grant date (or, with respect to RSUs granted to our non-employee directors after the Recapitalization Date), July 8, 2026, subject to the non-employee director’s continued service through the applicable vesting date.</w:t>
      </w:r>
    </w:p>
    <w:p>
      <w:pPr>
        <w:spacing w:after="0" w:line="21" w:lineRule="exact"/>
        <w:rPr>
          <w:rFonts w:ascii="Arial" w:cs="Arial" w:eastAsia="Arial" w:hAnsi="Arial"/>
          <w:sz w:val="14"/>
          <w:szCs w:val="14"/>
          <w:color w:val="auto"/>
        </w:rPr>
      </w:pPr>
    </w:p>
    <w:p>
      <w:pPr>
        <w:ind w:left="380" w:hanging="359"/>
        <w:spacing w:after="0" w:line="263"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consulting fees earned pursuant to the Consulting Services Agreement entered into between the Company and Ms. Bariquit, dated as of November 1, 2025 (the “Consulting Services Agreement”). For a description of the Consulting Services Agreement, please see the section of this Proxy Statement entitled “Non-Employee Director Compensation Following the Recapitalization Transactions”.</w:t>
      </w:r>
    </w:p>
    <w:p>
      <w:pPr>
        <w:spacing w:after="0" w:line="10" w:lineRule="exact"/>
        <w:rPr>
          <w:rFonts w:ascii="Arial" w:cs="Arial" w:eastAsia="Arial" w:hAnsi="Arial"/>
          <w:sz w:val="14"/>
          <w:szCs w:val="14"/>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Comisar and Mr. Giangiacomo waived all future director compensation fees effective October 28, 2025.</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Friend waived all future director compensation fees effective October 8, 2024.</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Michael resigned from the Board of Directors effective March 1, 2025, and received fees prorated through the date of his resignation.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Ms. Paltrow resigned from the Board of Directors effective August 19, 2025 and received fees prorated through the date of her resignation.</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The table below shows for each non-employee director who was serving, and held outstanding equity awards, as of January 31, 2026, the aggregate number of RSUs held by each such non-employee director as of such date.</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356"/>
        </w:trPr>
        <w:tc>
          <w:tcPr>
            <w:tcW w:w="5080" w:type="dxa"/>
            <w:vAlign w:val="bottom"/>
            <w:tcBorders>
              <w:bottom w:val="single" w:sz="8" w:color="FFE8F5"/>
            </w:tcBorders>
            <w:shd w:val="clear" w:color="auto" w:fill="FFE8F5"/>
          </w:tcPr>
          <w:p>
            <w:pPr>
              <w:ind w:left="140"/>
              <w:spacing w:after="0"/>
              <w:rPr>
                <w:sz w:val="20"/>
                <w:szCs w:val="20"/>
                <w:color w:val="auto"/>
              </w:rPr>
            </w:pPr>
            <w:r>
              <w:rPr>
                <w:rFonts w:ascii="Arial" w:cs="Arial" w:eastAsia="Arial" w:hAnsi="Arial"/>
                <w:sz w:val="14"/>
                <w:szCs w:val="14"/>
                <w:b w:val="1"/>
                <w:bCs w:val="1"/>
                <w:color w:val="auto"/>
              </w:rPr>
              <w:t>Director</w:t>
            </w:r>
          </w:p>
        </w:tc>
        <w:tc>
          <w:tcPr>
            <w:tcW w:w="4420" w:type="dxa"/>
            <w:vAlign w:val="bottom"/>
            <w:tcBorders>
              <w:bottom w:val="single" w:sz="8" w:color="FFE8F5"/>
            </w:tcBorders>
            <w:shd w:val="clear" w:color="auto" w:fill="FFE8F5"/>
          </w:tcPr>
          <w:p>
            <w:pPr>
              <w:jc w:val="right"/>
              <w:ind w:right="48"/>
              <w:spacing w:after="0"/>
              <w:rPr>
                <w:sz w:val="20"/>
                <w:szCs w:val="20"/>
                <w:color w:val="auto"/>
              </w:rPr>
            </w:pPr>
            <w:r>
              <w:rPr>
                <w:rFonts w:ascii="Arial" w:cs="Arial" w:eastAsia="Arial" w:hAnsi="Arial"/>
                <w:sz w:val="14"/>
                <w:szCs w:val="14"/>
                <w:b w:val="1"/>
                <w:bCs w:val="1"/>
                <w:color w:val="auto"/>
              </w:rPr>
              <w:t>RSUs (#)</w:t>
            </w:r>
          </w:p>
        </w:tc>
      </w:tr>
      <w:tr>
        <w:trPr>
          <w:trHeight w:val="242"/>
        </w:trPr>
        <w:tc>
          <w:tcPr>
            <w:tcW w:w="50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Teri Bariquit</w:t>
            </w:r>
          </w:p>
        </w:tc>
        <w:tc>
          <w:tcPr>
            <w:tcW w:w="44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16,759</w:t>
            </w:r>
          </w:p>
        </w:tc>
      </w:tr>
      <w:tr>
        <w:trPr>
          <w:trHeight w:val="48"/>
        </w:trPr>
        <w:tc>
          <w:tcPr>
            <w:tcW w:w="508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r>
      <w:tr>
        <w:trPr>
          <w:trHeight w:val="242"/>
        </w:trPr>
        <w:tc>
          <w:tcPr>
            <w:tcW w:w="5080" w:type="dxa"/>
            <w:vAlign w:val="bottom"/>
          </w:tcPr>
          <w:p>
            <w:pPr>
              <w:ind w:left="140"/>
              <w:spacing w:after="0"/>
              <w:rPr>
                <w:sz w:val="20"/>
                <w:szCs w:val="20"/>
                <w:color w:val="auto"/>
              </w:rPr>
            </w:pPr>
            <w:r>
              <w:rPr>
                <w:rFonts w:ascii="Arial" w:cs="Arial" w:eastAsia="Arial" w:hAnsi="Arial"/>
                <w:sz w:val="14"/>
                <w:szCs w:val="14"/>
                <w:color w:val="auto"/>
              </w:rPr>
              <w:t>Daniel Rosensweig</w:t>
            </w:r>
          </w:p>
        </w:tc>
        <w:tc>
          <w:tcPr>
            <w:tcW w:w="4420" w:type="dxa"/>
            <w:vAlign w:val="bottom"/>
          </w:tcPr>
          <w:p>
            <w:pPr>
              <w:jc w:val="right"/>
              <w:ind w:right="28"/>
              <w:spacing w:after="0"/>
              <w:rPr>
                <w:sz w:val="20"/>
                <w:szCs w:val="20"/>
                <w:color w:val="auto"/>
              </w:rPr>
            </w:pPr>
            <w:r>
              <w:rPr>
                <w:rFonts w:ascii="Arial" w:cs="Arial" w:eastAsia="Arial" w:hAnsi="Arial"/>
                <w:sz w:val="14"/>
                <w:szCs w:val="14"/>
                <w:color w:val="auto"/>
              </w:rPr>
              <w:t>16,759</w:t>
            </w:r>
          </w:p>
        </w:tc>
      </w:tr>
      <w:tr>
        <w:trPr>
          <w:trHeight w:val="35"/>
        </w:trPr>
        <w:tc>
          <w:tcPr>
            <w:tcW w:w="508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r>
    </w:tbl>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Non-Employee Director Compensation Prior to the Recapitalization Date</w:t>
      </w:r>
    </w:p>
    <w:p>
      <w:pPr>
        <w:spacing w:after="0" w:line="171" w:lineRule="exact"/>
        <w:rPr>
          <w:sz w:val="20"/>
          <w:szCs w:val="20"/>
          <w:color w:val="auto"/>
        </w:rPr>
      </w:pPr>
    </w:p>
    <w:p>
      <w:pPr>
        <w:ind w:left="20" w:right="160"/>
        <w:spacing w:after="0" w:line="242" w:lineRule="auto"/>
        <w:rPr>
          <w:sz w:val="20"/>
          <w:szCs w:val="20"/>
          <w:color w:val="auto"/>
        </w:rPr>
      </w:pPr>
      <w:r>
        <w:rPr>
          <w:rFonts w:ascii="Arial" w:cs="Arial" w:eastAsia="Arial" w:hAnsi="Arial"/>
          <w:sz w:val="18"/>
          <w:szCs w:val="18"/>
          <w:color w:val="auto"/>
        </w:rPr>
        <w:t>In October 2021, we adopted a formal non-employee director compensation program upon the completion of our IPO, which was further updated for fiscal year 2024 and remained in effect for fiscal year 2025 as described below until the Recapitalization Date (the “Pre-Recap NED Policy”). Pursuant to the Pre-Recap NED Policy, each non-employee director received a mixture of equity and cash compensation. Following the Recapitalization Date, the Non-Employee Director Compensation program was terminated by the Board, effective as of October 28, 2025, and replaced by the Post-Recap NED Policy (as discussed below).</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Compensation</w:t>
      </w:r>
    </w:p>
    <w:p>
      <w:pPr>
        <w:spacing w:after="0" w:line="171"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For the portion of fiscal year 2025 prior to the Recapitalization Date, each non-employee director was eligible to receive an annual cash retainer of $75,000 paid quarterly in arrears under the Pre-Recap NED Policy as well as an additional fee (as set forth in the table below) for certain service on a committee of our Board. Cash compensation payable under the Pre-Recap NED Policy was pro-rated through the Recapitalization Date.</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 Service</w:t>
      </w:r>
    </w:p>
    <w:p>
      <w:pPr>
        <w:spacing w:after="0" w:line="149" w:lineRule="exact"/>
        <w:rPr>
          <w:sz w:val="20"/>
          <w:szCs w:val="20"/>
          <w:color w:val="auto"/>
        </w:rPr>
      </w:pPr>
    </w:p>
    <w:tbl>
      <w:tblPr>
        <w:tblLayout w:type="fixed"/>
        <w:tblInd w:w="1960" w:type="dxa"/>
        <w:tblCellMar>
          <w:top w:w="0" w:type="dxa"/>
          <w:left w:w="0" w:type="dxa"/>
          <w:bottom w:w="0" w:type="dxa"/>
          <w:right w:w="0" w:type="dxa"/>
        </w:tblCellMar>
      </w:tblPr>
      <w:tr>
        <w:trPr>
          <w:trHeight w:val="295"/>
        </w:trPr>
        <w:tc>
          <w:tcPr>
            <w:tcW w:w="3700" w:type="dxa"/>
            <w:vAlign w:val="bottom"/>
            <w:shd w:val="clear" w:color="auto" w:fill="FFE8F5"/>
          </w:tcPr>
          <w:p>
            <w:pPr>
              <w:spacing w:after="0"/>
              <w:rPr>
                <w:sz w:val="24"/>
                <w:szCs w:val="24"/>
                <w:color w:val="auto"/>
              </w:rPr>
            </w:pPr>
          </w:p>
        </w:tc>
        <w:tc>
          <w:tcPr>
            <w:tcW w:w="1920" w:type="dxa"/>
            <w:vAlign w:val="bottom"/>
            <w:shd w:val="clear" w:color="auto" w:fill="FFE8F5"/>
          </w:tcPr>
          <w:p>
            <w:pPr>
              <w:jc w:val="right"/>
              <w:ind w:right="68"/>
              <w:spacing w:after="0"/>
              <w:rPr>
                <w:sz w:val="20"/>
                <w:szCs w:val="20"/>
                <w:color w:val="auto"/>
              </w:rPr>
            </w:pPr>
            <w:r>
              <w:rPr>
                <w:rFonts w:ascii="Arial" w:cs="Arial" w:eastAsia="Arial" w:hAnsi="Arial"/>
                <w:sz w:val="14"/>
                <w:szCs w:val="14"/>
                <w:b w:val="1"/>
                <w:bCs w:val="1"/>
                <w:color w:val="auto"/>
              </w:rPr>
              <w:t>Retainer</w:t>
            </w:r>
          </w:p>
        </w:tc>
      </w:tr>
      <w:tr>
        <w:trPr>
          <w:trHeight w:val="70"/>
        </w:trPr>
        <w:tc>
          <w:tcPr>
            <w:tcW w:w="3700" w:type="dxa"/>
            <w:vAlign w:val="bottom"/>
            <w:tcBorders>
              <w:bottom w:val="single" w:sz="8" w:color="auto"/>
            </w:tcBorders>
            <w:shd w:val="clear" w:color="auto" w:fill="FFE8F5"/>
          </w:tcPr>
          <w:p>
            <w:pPr>
              <w:spacing w:after="0"/>
              <w:rPr>
                <w:sz w:val="6"/>
                <w:szCs w:val="6"/>
                <w:color w:val="auto"/>
              </w:rPr>
            </w:pPr>
          </w:p>
        </w:tc>
        <w:tc>
          <w:tcPr>
            <w:tcW w:w="1920" w:type="dxa"/>
            <w:vAlign w:val="bottom"/>
            <w:tcBorders>
              <w:bottom w:val="single" w:sz="8" w:color="auto"/>
            </w:tcBorders>
            <w:shd w:val="clear" w:color="auto" w:fill="FFE8F5"/>
          </w:tcPr>
          <w:p>
            <w:pPr>
              <w:spacing w:after="0"/>
              <w:rPr>
                <w:sz w:val="6"/>
                <w:szCs w:val="6"/>
                <w:color w:val="auto"/>
              </w:rPr>
            </w:pPr>
          </w:p>
        </w:tc>
      </w:tr>
      <w:tr>
        <w:trPr>
          <w:trHeight w:val="269"/>
        </w:trPr>
        <w:tc>
          <w:tcPr>
            <w:tcW w:w="3700" w:type="dxa"/>
            <w:vAlign w:val="bottom"/>
          </w:tcPr>
          <w:p>
            <w:pPr>
              <w:ind w:left="160"/>
              <w:spacing w:after="0"/>
              <w:rPr>
                <w:sz w:val="20"/>
                <w:szCs w:val="20"/>
                <w:color w:val="auto"/>
              </w:rPr>
            </w:pPr>
            <w:r>
              <w:rPr>
                <w:rFonts w:ascii="Arial" w:cs="Arial" w:eastAsia="Arial" w:hAnsi="Arial"/>
                <w:sz w:val="14"/>
                <w:szCs w:val="14"/>
                <w:color w:val="auto"/>
              </w:rPr>
              <w:t>Finance Committee Member</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$75,000</w:t>
            </w:r>
          </w:p>
        </w:tc>
      </w:tr>
      <w:tr>
        <w:trPr>
          <w:trHeight w:val="76"/>
        </w:trPr>
        <w:tc>
          <w:tcPr>
            <w:tcW w:w="37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r>
      <w:tr>
        <w:trPr>
          <w:trHeight w:val="255"/>
        </w:trPr>
        <w:tc>
          <w:tcPr>
            <w:tcW w:w="3700" w:type="dxa"/>
            <w:vAlign w:val="bottom"/>
          </w:tcPr>
          <w:p>
            <w:pPr>
              <w:ind w:left="160"/>
              <w:spacing w:after="0"/>
              <w:rPr>
                <w:sz w:val="20"/>
                <w:szCs w:val="20"/>
                <w:color w:val="auto"/>
              </w:rPr>
            </w:pPr>
            <w:r>
              <w:rPr>
                <w:rFonts w:ascii="Arial" w:cs="Arial" w:eastAsia="Arial" w:hAnsi="Arial"/>
                <w:sz w:val="14"/>
                <w:szCs w:val="14"/>
                <w:color w:val="auto"/>
              </w:rPr>
              <w:t>Audit Committee Chair</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$25,000</w:t>
            </w:r>
          </w:p>
        </w:tc>
      </w:tr>
      <w:tr>
        <w:trPr>
          <w:trHeight w:val="75"/>
        </w:trPr>
        <w:tc>
          <w:tcPr>
            <w:tcW w:w="37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r>
      <w:tr>
        <w:trPr>
          <w:trHeight w:val="255"/>
        </w:trPr>
        <w:tc>
          <w:tcPr>
            <w:tcW w:w="3700" w:type="dxa"/>
            <w:vAlign w:val="bottom"/>
          </w:tcPr>
          <w:p>
            <w:pPr>
              <w:ind w:left="160"/>
              <w:spacing w:after="0"/>
              <w:rPr>
                <w:sz w:val="20"/>
                <w:szCs w:val="20"/>
                <w:color w:val="auto"/>
              </w:rPr>
            </w:pPr>
            <w:r>
              <w:rPr>
                <w:rFonts w:ascii="Arial" w:cs="Arial" w:eastAsia="Arial" w:hAnsi="Arial"/>
                <w:sz w:val="14"/>
                <w:szCs w:val="14"/>
                <w:color w:val="auto"/>
              </w:rPr>
              <w:t>Compensation Committee Chair</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$15,000</w:t>
            </w:r>
          </w:p>
        </w:tc>
      </w:tr>
      <w:tr>
        <w:trPr>
          <w:trHeight w:val="76"/>
        </w:trPr>
        <w:tc>
          <w:tcPr>
            <w:tcW w:w="37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r>
      <w:tr>
        <w:trPr>
          <w:trHeight w:val="255"/>
        </w:trPr>
        <w:tc>
          <w:tcPr>
            <w:tcW w:w="3700" w:type="dxa"/>
            <w:vAlign w:val="bottom"/>
          </w:tcPr>
          <w:p>
            <w:pPr>
              <w:ind w:left="160"/>
              <w:spacing w:after="0"/>
              <w:rPr>
                <w:sz w:val="20"/>
                <w:szCs w:val="20"/>
                <w:color w:val="auto"/>
              </w:rPr>
            </w:pPr>
            <w:r>
              <w:rPr>
                <w:rFonts w:ascii="Arial" w:cs="Arial" w:eastAsia="Arial" w:hAnsi="Arial"/>
                <w:sz w:val="14"/>
                <w:szCs w:val="14"/>
                <w:color w:val="auto"/>
              </w:rPr>
              <w:t>Nominating &amp; ESG Committee Chair</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$5,000</w:t>
            </w:r>
          </w:p>
        </w:tc>
      </w:tr>
      <w:tr>
        <w:trPr>
          <w:trHeight w:val="35"/>
        </w:trPr>
        <w:tc>
          <w:tcPr>
            <w:tcW w:w="37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w:t>
      </w:r>
    </w:p>
    <w:p>
      <w:pPr>
        <w:spacing w:after="0" w:line="185" w:lineRule="exact"/>
        <w:rPr>
          <w:sz w:val="20"/>
          <w:szCs w:val="20"/>
          <w:color w:val="auto"/>
        </w:rPr>
      </w:pPr>
    </w:p>
    <w:p>
      <w:pPr>
        <w:ind w:left="20" w:right="120"/>
        <w:spacing w:after="0" w:line="259" w:lineRule="auto"/>
        <w:rPr>
          <w:sz w:val="20"/>
          <w:szCs w:val="20"/>
          <w:color w:val="auto"/>
        </w:rPr>
      </w:pPr>
      <w:r>
        <w:rPr>
          <w:rFonts w:ascii="Arial" w:cs="Arial" w:eastAsia="Arial" w:hAnsi="Arial"/>
          <w:sz w:val="17"/>
          <w:szCs w:val="17"/>
          <w:color w:val="auto"/>
        </w:rPr>
        <w:t>Pursuant to the Pre-Recap NED Policy, each non-employee director was granted 1,685 RSUs on the date of the 2025 annual meeting of our Stockholders (other than Mr. Michael and Mr. Friend). These awards vest in full on the earlier of</w:t>
      </w:r>
    </w:p>
    <w:p>
      <w:pPr>
        <w:spacing w:after="0" w:line="1" w:lineRule="exact"/>
        <w:rPr>
          <w:sz w:val="20"/>
          <w:szCs w:val="20"/>
          <w:color w:val="auto"/>
        </w:rPr>
      </w:pPr>
    </w:p>
    <w:p>
      <w:pPr>
        <w:jc w:val="both"/>
        <w:ind w:left="20" w:right="200" w:firstLine="1"/>
        <w:spacing w:after="0"/>
        <w:tabs>
          <w:tab w:leader="none" w:pos="2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next occurring annual meeting of our Stockholders or (ii) the first anniversary of the grant date, subject to the non-employee director’s continued service through the applicable vesting date. RSUs granted under the Pre-Recap NED Policy accelerated and vested in full upon the closing of the Recapitalization Transactions to the extent the non-employee directors were in service as of the Recapitalization Date.</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Non-Employee Director Compensation Following the Recapitalization Date</w:t>
      </w:r>
    </w:p>
    <w:p>
      <w:pPr>
        <w:spacing w:after="0" w:line="171" w:lineRule="exact"/>
        <w:rPr>
          <w:sz w:val="20"/>
          <w:szCs w:val="20"/>
          <w:color w:val="auto"/>
        </w:rPr>
      </w:pPr>
    </w:p>
    <w:p>
      <w:pPr>
        <w:ind w:left="20" w:right="40"/>
        <w:spacing w:after="0" w:line="253" w:lineRule="auto"/>
        <w:rPr>
          <w:sz w:val="20"/>
          <w:szCs w:val="20"/>
          <w:color w:val="auto"/>
        </w:rPr>
      </w:pPr>
      <w:r>
        <w:rPr>
          <w:rFonts w:ascii="Arial" w:cs="Arial" w:eastAsia="Arial" w:hAnsi="Arial"/>
          <w:sz w:val="18"/>
          <w:szCs w:val="18"/>
          <w:color w:val="auto"/>
        </w:rPr>
        <w:t>On December 16, 2025, the Board adopted a new non-employee director compensation program, effective as of October 28, 2025 (the “Post-Recap NED Policy”). Pursuant to the Post-Recap NED Policy, each non-employee director receives a mixture of equity and cash compensation.</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Compensation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Following the Recapitalization Date, each non-employee director was eligible to receive an annual cash retainer of</w:t>
      </w:r>
    </w:p>
    <w:p>
      <w:pPr>
        <w:spacing w:after="0" w:line="14"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$75,000 paid quarterly in arrears under the Post-Recap NED Policy as well as an additional fee of $25,000 for service as the chair of the Audit Committee. Cash compensation payable under the Post-Recap NED Policy was pro-rated from the Recapitalization Date.</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w:t>
      </w:r>
    </w:p>
    <w:p>
      <w:pPr>
        <w:spacing w:after="0" w:line="171"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Pursuant to the Post-Recap NED Policy, Ms. Bariquit and Mr. Rosensweig each received a grant of RSUs having a grant date fair value equal to $120,000, prorated for the portion of fiscal year 2025 that spanned October 28, 2025, through but not including July 8, 2026 (the “Pro-Rated Director RSU Awards”). The Pro-Rated Director RSU Awards will vest on the earlier of (i) July 8, 2026 or (ii) immediately before the 2026 Annual Meeting, subject to the non-employee director’s continued service through the vesting date.</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Consulting Services Agreement with Ms. Bariquit</w:t>
      </w:r>
    </w:p>
    <w:p>
      <w:pPr>
        <w:spacing w:after="0" w:line="171"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The Consulting Services Agreement provides that Ms. Bariquit is eligible to receive a $10,000 monthly consulting fee in exchange for providing certain consulting services to the Company. The Consulting Services Agreement shall continue for an indefinite term and may be terminated at any time by either party by providing at least 10 days’ prior written notice.</w:t>
      </w:r>
    </w:p>
    <w:p>
      <w:pPr>
        <w:spacing w:after="0" w:line="133"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On May 12, 2026, we appointed Teri Bariquit as interim Chief Executive Officer and President of the Company, effective as of May 15, 2026. In connection with her appointment, we entered into a new statement of work under the Consulting Services Agreement pursuant to which Ms. Bariquit will serve as interim Chief Executive Officer and President of the Company. For a summary of Ms. Bariquit’s appointment and the statement of work, please see the Company’s Current Report on Form 8-K filed with the SEC on May 13, 2026.</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3120"/>
        <w:spacing w:after="0" w:line="277" w:lineRule="auto"/>
        <w:rPr>
          <w:sz w:val="20"/>
          <w:szCs w:val="20"/>
          <w:color w:val="auto"/>
        </w:rPr>
      </w:pPr>
      <w:r>
        <w:rPr>
          <w:rFonts w:ascii="Arial" w:cs="Arial" w:eastAsia="Arial" w:hAnsi="Arial"/>
          <w:sz w:val="64"/>
          <w:szCs w:val="64"/>
          <w:b w:val="1"/>
          <w:bCs w:val="1"/>
          <w:color w:val="auto"/>
        </w:rPr>
        <w:t>Proposal No. 1 Election of Directors</w:t>
      </w:r>
    </w:p>
    <w:p>
      <w:pPr>
        <w:spacing w:after="0" w:line="3" w:lineRule="exact"/>
        <w:rPr>
          <w:sz w:val="20"/>
          <w:szCs w:val="20"/>
          <w:color w:val="auto"/>
        </w:rPr>
      </w:pPr>
    </w:p>
    <w:p>
      <w:pPr>
        <w:jc w:val="both"/>
        <w:ind w:left="20"/>
        <w:spacing w:after="0" w:line="255" w:lineRule="auto"/>
        <w:rPr>
          <w:sz w:val="20"/>
          <w:szCs w:val="20"/>
          <w:color w:val="auto"/>
        </w:rPr>
      </w:pPr>
      <w:r>
        <w:rPr>
          <w:rFonts w:ascii="Arial" w:cs="Arial" w:eastAsia="Arial" w:hAnsi="Arial"/>
          <w:sz w:val="17"/>
          <w:szCs w:val="17"/>
          <w:color w:val="auto"/>
        </w:rPr>
        <w:t>Our Board of Directors currently consists of five directors, who are divided into three classes with staggered three-year terms. The current Class I directors are Peter Comisar and Damian Giangiacomo; the current Class II directors are Teri Bariquit and Daniel Rosensweig; and the current Class III director is Dhiren Fonseca. At the Annual Meeting, the Class</w:t>
      </w:r>
    </w:p>
    <w:p>
      <w:pPr>
        <w:spacing w:after="0" w:line="2" w:lineRule="exact"/>
        <w:rPr>
          <w:sz w:val="20"/>
          <w:szCs w:val="20"/>
          <w:color w:val="auto"/>
        </w:rPr>
      </w:pPr>
    </w:p>
    <w:p>
      <w:pPr>
        <w:ind w:left="20" w:right="120" w:firstLine="1"/>
        <w:spacing w:after="0" w:line="279" w:lineRule="auto"/>
        <w:tabs>
          <w:tab w:leader="none" w:pos="1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directors named above are standing for election, each for a three-year term. The terms of office of directors in Class III and Class I do not expire until the annual meetings of stockholders to be held in 2027 and 2028, respectively.</w:t>
      </w:r>
    </w:p>
    <w:p>
      <w:pPr>
        <w:spacing w:after="0" w:line="122" w:lineRule="exact"/>
        <w:rPr>
          <w:sz w:val="20"/>
          <w:szCs w:val="20"/>
          <w:color w:val="auto"/>
        </w:rPr>
      </w:pPr>
    </w:p>
    <w:p>
      <w:pPr>
        <w:ind w:left="20" w:right="60"/>
        <w:spacing w:after="0"/>
        <w:rPr>
          <w:sz w:val="20"/>
          <w:szCs w:val="20"/>
          <w:color w:val="auto"/>
        </w:rPr>
      </w:pPr>
      <w:r>
        <w:rPr>
          <w:rFonts w:ascii="Arial" w:cs="Arial" w:eastAsia="Arial" w:hAnsi="Arial"/>
          <w:sz w:val="18"/>
          <w:szCs w:val="18"/>
          <w:b w:val="1"/>
          <w:bCs w:val="1"/>
          <w:color w:val="auto"/>
        </w:rPr>
        <w:t xml:space="preserve">The Board of Directors has nominated Teri Bariquit and Daniel Rosensweig for election as Class II directors at the Annual Meeting. </w:t>
      </w:r>
      <w:r>
        <w:rPr>
          <w:rFonts w:ascii="Arial" w:cs="Arial" w:eastAsia="Arial" w:hAnsi="Arial"/>
          <w:sz w:val="18"/>
          <w:szCs w:val="18"/>
          <w:color w:val="auto"/>
        </w:rPr>
        <w:t>If elected at the Annual Meeting, the nominees will serve until our 2029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until their successors have been elected and qualified or until they resign, die, are disqualified or are removed from the Board of Directors. The nominees have consented to serve as director, if elected. We have no reason to believe that either of the nominees will be unable or unwilling to serve as director. If, however, a nominee is unavailable for election, your proxy authorizes us to vote for a replacement nominee if the Board of Directors names one. Proxies cannot be voted for a greater number of persons than the number of nominees named.</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The Board of Directors recommends a vote “FOR” each of the director nominees named above.</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480"/>
        <w:spacing w:after="0" w:line="262" w:lineRule="auto"/>
        <w:rPr>
          <w:sz w:val="20"/>
          <w:szCs w:val="20"/>
          <w:color w:val="auto"/>
        </w:rPr>
      </w:pPr>
      <w:r>
        <w:rPr>
          <w:rFonts w:ascii="Arial" w:cs="Arial" w:eastAsia="Arial" w:hAnsi="Arial"/>
          <w:sz w:val="65"/>
          <w:szCs w:val="65"/>
          <w:b w:val="1"/>
          <w:bCs w:val="1"/>
          <w:color w:val="auto"/>
        </w:rPr>
        <w:t>Information About Board Nominees and Continuing Directors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2260" w:type="dxa"/>
            <w:vAlign w:val="bottom"/>
            <w:shd w:val="clear" w:color="auto" w:fill="FFE8F5"/>
          </w:tcPr>
          <w:p>
            <w:pPr>
              <w:ind w:left="160"/>
              <w:spacing w:after="0"/>
              <w:rPr>
                <w:sz w:val="20"/>
                <w:szCs w:val="20"/>
                <w:color w:val="auto"/>
              </w:rPr>
            </w:pPr>
            <w:r>
              <w:rPr>
                <w:rFonts w:ascii="Arial" w:cs="Arial" w:eastAsia="Arial" w:hAnsi="Arial"/>
                <w:sz w:val="14"/>
                <w:szCs w:val="14"/>
                <w:b w:val="1"/>
                <w:bCs w:val="1"/>
                <w:color w:val="auto"/>
              </w:rPr>
              <w:t>Name</w:t>
            </w:r>
          </w:p>
        </w:tc>
        <w:tc>
          <w:tcPr>
            <w:tcW w:w="1480" w:type="dxa"/>
            <w:vAlign w:val="bottom"/>
            <w:shd w:val="clear" w:color="auto" w:fill="FFE8F5"/>
          </w:tcPr>
          <w:p>
            <w:pPr>
              <w:ind w:left="580"/>
              <w:spacing w:after="0"/>
              <w:rPr>
                <w:sz w:val="20"/>
                <w:szCs w:val="20"/>
                <w:color w:val="auto"/>
              </w:rPr>
            </w:pPr>
            <w:r>
              <w:rPr>
                <w:rFonts w:ascii="Arial" w:cs="Arial" w:eastAsia="Arial" w:hAnsi="Arial"/>
                <w:sz w:val="14"/>
                <w:szCs w:val="14"/>
                <w:b w:val="1"/>
                <w:bCs w:val="1"/>
                <w:color w:val="auto"/>
              </w:rPr>
              <w:t>Age</w:t>
            </w:r>
          </w:p>
        </w:tc>
        <w:tc>
          <w:tcPr>
            <w:tcW w:w="3140" w:type="dxa"/>
            <w:vAlign w:val="bottom"/>
            <w:shd w:val="clear" w:color="auto" w:fill="FFE8F5"/>
          </w:tcPr>
          <w:p>
            <w:pPr>
              <w:ind w:left="640"/>
              <w:spacing w:after="0"/>
              <w:rPr>
                <w:sz w:val="20"/>
                <w:szCs w:val="20"/>
                <w:color w:val="auto"/>
              </w:rPr>
            </w:pPr>
            <w:r>
              <w:rPr>
                <w:rFonts w:ascii="Arial" w:cs="Arial" w:eastAsia="Arial" w:hAnsi="Arial"/>
                <w:sz w:val="14"/>
                <w:szCs w:val="14"/>
                <w:b w:val="1"/>
                <w:bCs w:val="1"/>
                <w:color w:val="auto"/>
              </w:rPr>
              <w:t>Position</w:t>
            </w:r>
          </w:p>
        </w:tc>
        <w:tc>
          <w:tcPr>
            <w:tcW w:w="2620" w:type="dxa"/>
            <w:vAlign w:val="bottom"/>
            <w:shd w:val="clear" w:color="auto" w:fill="FFE8F5"/>
          </w:tcPr>
          <w:p>
            <w:pPr>
              <w:ind w:left="320"/>
              <w:spacing w:after="0"/>
              <w:rPr>
                <w:sz w:val="20"/>
                <w:szCs w:val="20"/>
                <w:color w:val="auto"/>
              </w:rPr>
            </w:pPr>
            <w:r>
              <w:rPr>
                <w:rFonts w:ascii="Arial" w:cs="Arial" w:eastAsia="Arial" w:hAnsi="Arial"/>
                <w:sz w:val="14"/>
                <w:szCs w:val="14"/>
                <w:b w:val="1"/>
                <w:bCs w:val="1"/>
                <w:color w:val="auto"/>
              </w:rPr>
              <w:t>Director Since</w:t>
            </w:r>
          </w:p>
        </w:tc>
      </w:tr>
      <w:tr>
        <w:trPr>
          <w:trHeight w:val="70"/>
        </w:trPr>
        <w:tc>
          <w:tcPr>
            <w:tcW w:w="2260" w:type="dxa"/>
            <w:vAlign w:val="bottom"/>
            <w:tcBorders>
              <w:bottom w:val="single" w:sz="8" w:color="auto"/>
            </w:tcBorders>
            <w:shd w:val="clear" w:color="auto" w:fill="FFE8F5"/>
          </w:tcPr>
          <w:p>
            <w:pPr>
              <w:spacing w:after="0"/>
              <w:rPr>
                <w:sz w:val="6"/>
                <w:szCs w:val="6"/>
                <w:color w:val="auto"/>
              </w:rPr>
            </w:pPr>
          </w:p>
        </w:tc>
        <w:tc>
          <w:tcPr>
            <w:tcW w:w="1480" w:type="dxa"/>
            <w:vAlign w:val="bottom"/>
            <w:tcBorders>
              <w:bottom w:val="single" w:sz="8" w:color="auto"/>
            </w:tcBorders>
            <w:shd w:val="clear" w:color="auto" w:fill="FFE8F5"/>
          </w:tcPr>
          <w:p>
            <w:pPr>
              <w:spacing w:after="0"/>
              <w:rPr>
                <w:sz w:val="6"/>
                <w:szCs w:val="6"/>
                <w:color w:val="auto"/>
              </w:rPr>
            </w:pPr>
          </w:p>
        </w:tc>
        <w:tc>
          <w:tcPr>
            <w:tcW w:w="3140" w:type="dxa"/>
            <w:vAlign w:val="bottom"/>
            <w:tcBorders>
              <w:bottom w:val="single" w:sz="8" w:color="auto"/>
            </w:tcBorders>
            <w:shd w:val="clear" w:color="auto" w:fill="FFE8F5"/>
          </w:tcPr>
          <w:p>
            <w:pPr>
              <w:spacing w:after="0"/>
              <w:rPr>
                <w:sz w:val="6"/>
                <w:szCs w:val="6"/>
                <w:color w:val="auto"/>
              </w:rPr>
            </w:pPr>
          </w:p>
        </w:tc>
        <w:tc>
          <w:tcPr>
            <w:tcW w:w="2620" w:type="dxa"/>
            <w:vAlign w:val="bottom"/>
            <w:tcBorders>
              <w:bottom w:val="single" w:sz="8" w:color="auto"/>
            </w:tcBorders>
            <w:shd w:val="clear" w:color="auto" w:fill="FFE8F5"/>
          </w:tcPr>
          <w:p>
            <w:pPr>
              <w:spacing w:after="0"/>
              <w:rPr>
                <w:sz w:val="6"/>
                <w:szCs w:val="6"/>
                <w:color w:val="auto"/>
              </w:rPr>
            </w:pPr>
          </w:p>
        </w:tc>
      </w:tr>
      <w:tr>
        <w:trPr>
          <w:trHeight w:val="275"/>
        </w:trPr>
        <w:tc>
          <w:tcPr>
            <w:tcW w:w="226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Class I Directors</w:t>
            </w:r>
          </w:p>
        </w:tc>
        <w:tc>
          <w:tcPr>
            <w:tcW w:w="1480" w:type="dxa"/>
            <w:vAlign w:val="bottom"/>
          </w:tcPr>
          <w:p>
            <w:pPr>
              <w:ind w:left="580"/>
              <w:spacing w:after="0"/>
              <w:rPr>
                <w:sz w:val="20"/>
                <w:szCs w:val="20"/>
                <w:color w:val="auto"/>
              </w:rPr>
            </w:pPr>
            <w:r>
              <w:rPr>
                <w:rFonts w:ascii="Arial" w:cs="Arial" w:eastAsia="Arial" w:hAnsi="Arial"/>
                <w:sz w:val="14"/>
                <w:szCs w:val="14"/>
                <w:color w:val="auto"/>
              </w:rPr>
              <w:t>​</w:t>
            </w:r>
          </w:p>
        </w:tc>
        <w:tc>
          <w:tcPr>
            <w:tcW w:w="3140" w:type="dxa"/>
            <w:vAlign w:val="bottom"/>
          </w:tcPr>
          <w:p>
            <w:pPr>
              <w:ind w:left="640"/>
              <w:spacing w:after="0"/>
              <w:rPr>
                <w:sz w:val="20"/>
                <w:szCs w:val="20"/>
                <w:color w:val="auto"/>
              </w:rPr>
            </w:pPr>
            <w:r>
              <w:rPr>
                <w:rFonts w:ascii="Arial" w:cs="Arial" w:eastAsia="Arial" w:hAnsi="Arial"/>
                <w:sz w:val="14"/>
                <w:szCs w:val="14"/>
                <w:color w:val="auto"/>
              </w:rPr>
              <w:t>​</w:t>
            </w:r>
          </w:p>
        </w:tc>
        <w:tc>
          <w:tcPr>
            <w:tcW w:w="2620" w:type="dxa"/>
            <w:vAlign w:val="bottom"/>
          </w:tcPr>
          <w:p>
            <w:pPr>
              <w:spacing w:after="0"/>
              <w:rPr>
                <w:sz w:val="23"/>
                <w:szCs w:val="23"/>
                <w:color w:val="auto"/>
              </w:rPr>
            </w:pPr>
          </w:p>
        </w:tc>
      </w:tr>
      <w:tr>
        <w:trPr>
          <w:trHeight w:val="70"/>
        </w:trPr>
        <w:tc>
          <w:tcPr>
            <w:tcW w:w="22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r>
      <w:tr>
        <w:trPr>
          <w:trHeight w:val="255"/>
        </w:trPr>
        <w:tc>
          <w:tcPr>
            <w:tcW w:w="2260" w:type="dxa"/>
            <w:vAlign w:val="bottom"/>
          </w:tcPr>
          <w:p>
            <w:pPr>
              <w:ind w:left="160"/>
              <w:spacing w:after="0"/>
              <w:rPr>
                <w:sz w:val="20"/>
                <w:szCs w:val="20"/>
                <w:color w:val="auto"/>
              </w:rPr>
            </w:pPr>
            <w:r>
              <w:rPr>
                <w:rFonts w:ascii="Arial" w:cs="Arial" w:eastAsia="Arial" w:hAnsi="Arial"/>
                <w:sz w:val="14"/>
                <w:szCs w:val="14"/>
                <w:color w:val="auto"/>
              </w:rPr>
              <w:t>Peter Comisar</w:t>
            </w:r>
          </w:p>
        </w:tc>
        <w:tc>
          <w:tcPr>
            <w:tcW w:w="1480" w:type="dxa"/>
            <w:vAlign w:val="bottom"/>
          </w:tcPr>
          <w:p>
            <w:pPr>
              <w:ind w:left="580"/>
              <w:spacing w:after="0"/>
              <w:rPr>
                <w:sz w:val="20"/>
                <w:szCs w:val="20"/>
                <w:color w:val="auto"/>
              </w:rPr>
            </w:pPr>
            <w:r>
              <w:rPr>
                <w:rFonts w:ascii="Arial" w:cs="Arial" w:eastAsia="Arial" w:hAnsi="Arial"/>
                <w:sz w:val="14"/>
                <w:szCs w:val="14"/>
                <w:color w:val="auto"/>
              </w:rPr>
              <w:t>59</w:t>
            </w:r>
          </w:p>
        </w:tc>
        <w:tc>
          <w:tcPr>
            <w:tcW w:w="3140" w:type="dxa"/>
            <w:vAlign w:val="bottom"/>
          </w:tcPr>
          <w:p>
            <w:pPr>
              <w:ind w:left="640"/>
              <w:spacing w:after="0"/>
              <w:rPr>
                <w:sz w:val="20"/>
                <w:szCs w:val="20"/>
                <w:color w:val="auto"/>
              </w:rPr>
            </w:pPr>
            <w:r>
              <w:rPr>
                <w:rFonts w:ascii="Arial" w:cs="Arial" w:eastAsia="Arial" w:hAnsi="Arial"/>
                <w:sz w:val="14"/>
                <w:szCs w:val="14"/>
                <w:color w:val="auto"/>
              </w:rPr>
              <w:t>Director</w:t>
            </w:r>
          </w:p>
        </w:tc>
        <w:tc>
          <w:tcPr>
            <w:tcW w:w="2620" w:type="dxa"/>
            <w:vAlign w:val="bottom"/>
          </w:tcPr>
          <w:p>
            <w:pPr>
              <w:ind w:left="320"/>
              <w:spacing w:after="0"/>
              <w:rPr>
                <w:sz w:val="20"/>
                <w:szCs w:val="20"/>
                <w:color w:val="auto"/>
              </w:rPr>
            </w:pPr>
            <w:r>
              <w:rPr>
                <w:rFonts w:ascii="Arial" w:cs="Arial" w:eastAsia="Arial" w:hAnsi="Arial"/>
                <w:sz w:val="14"/>
                <w:szCs w:val="14"/>
                <w:color w:val="auto"/>
              </w:rPr>
              <w:t>October 2025</w:t>
            </w:r>
          </w:p>
        </w:tc>
      </w:tr>
      <w:tr>
        <w:trPr>
          <w:trHeight w:val="76"/>
        </w:trPr>
        <w:tc>
          <w:tcPr>
            <w:tcW w:w="22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r>
      <w:tr>
        <w:trPr>
          <w:trHeight w:val="358"/>
        </w:trPr>
        <w:tc>
          <w:tcPr>
            <w:tcW w:w="2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Damian Giangiacomo</w:t>
            </w:r>
            <w:r>
              <w:rPr>
                <w:rFonts w:ascii="Arial" w:cs="Arial" w:eastAsia="Arial" w:hAnsi="Arial"/>
                <w:sz w:val="23"/>
                <w:szCs w:val="23"/>
                <w:color w:val="auto"/>
                <w:vertAlign w:val="superscript"/>
              </w:rPr>
              <w:t>(1)</w:t>
            </w: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49</w:t>
            </w:r>
          </w:p>
        </w:tc>
        <w:tc>
          <w:tcPr>
            <w:tcW w:w="31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Director</w:t>
            </w:r>
          </w:p>
        </w:tc>
        <w:tc>
          <w:tcPr>
            <w:tcW w:w="26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October 2025</w:t>
            </w:r>
          </w:p>
        </w:tc>
      </w:tr>
      <w:tr>
        <w:trPr>
          <w:trHeight w:val="262"/>
        </w:trPr>
        <w:tc>
          <w:tcPr>
            <w:tcW w:w="226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Class II Directors</w:t>
            </w:r>
          </w:p>
        </w:tc>
        <w:tc>
          <w:tcPr>
            <w:tcW w:w="1480" w:type="dxa"/>
            <w:vAlign w:val="bottom"/>
          </w:tcPr>
          <w:p>
            <w:pPr>
              <w:ind w:left="580"/>
              <w:spacing w:after="0"/>
              <w:rPr>
                <w:sz w:val="20"/>
                <w:szCs w:val="20"/>
                <w:color w:val="auto"/>
              </w:rPr>
            </w:pPr>
            <w:r>
              <w:rPr>
                <w:rFonts w:ascii="Arial" w:cs="Arial" w:eastAsia="Arial" w:hAnsi="Arial"/>
                <w:sz w:val="14"/>
                <w:szCs w:val="14"/>
                <w:color w:val="auto"/>
              </w:rPr>
              <w:t>​</w:t>
            </w:r>
          </w:p>
        </w:tc>
        <w:tc>
          <w:tcPr>
            <w:tcW w:w="3140" w:type="dxa"/>
            <w:vAlign w:val="bottom"/>
          </w:tcPr>
          <w:p>
            <w:pPr>
              <w:ind w:left="640"/>
              <w:spacing w:after="0"/>
              <w:rPr>
                <w:sz w:val="20"/>
                <w:szCs w:val="20"/>
                <w:color w:val="auto"/>
              </w:rPr>
            </w:pPr>
            <w:r>
              <w:rPr>
                <w:rFonts w:ascii="Arial" w:cs="Arial" w:eastAsia="Arial" w:hAnsi="Arial"/>
                <w:sz w:val="14"/>
                <w:szCs w:val="14"/>
                <w:color w:val="auto"/>
              </w:rPr>
              <w:t>​</w:t>
            </w:r>
          </w:p>
        </w:tc>
        <w:tc>
          <w:tcPr>
            <w:tcW w:w="2620" w:type="dxa"/>
            <w:vAlign w:val="bottom"/>
          </w:tcPr>
          <w:p>
            <w:pPr>
              <w:spacing w:after="0"/>
              <w:rPr>
                <w:sz w:val="22"/>
                <w:szCs w:val="22"/>
                <w:color w:val="auto"/>
              </w:rPr>
            </w:pPr>
          </w:p>
        </w:tc>
      </w:tr>
      <w:tr>
        <w:trPr>
          <w:trHeight w:val="69"/>
        </w:trPr>
        <w:tc>
          <w:tcPr>
            <w:tcW w:w="22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r>
      <w:tr>
        <w:trPr>
          <w:trHeight w:val="256"/>
        </w:trPr>
        <w:tc>
          <w:tcPr>
            <w:tcW w:w="2260" w:type="dxa"/>
            <w:vAlign w:val="bottom"/>
          </w:tcPr>
          <w:p>
            <w:pPr>
              <w:ind w:left="160"/>
              <w:spacing w:after="0"/>
              <w:rPr>
                <w:sz w:val="20"/>
                <w:szCs w:val="20"/>
                <w:color w:val="auto"/>
              </w:rPr>
            </w:pPr>
            <w:r>
              <w:rPr>
                <w:rFonts w:ascii="Arial" w:cs="Arial" w:eastAsia="Arial" w:hAnsi="Arial"/>
                <w:sz w:val="14"/>
                <w:szCs w:val="14"/>
                <w:color w:val="auto"/>
              </w:rPr>
              <w:t>Teri Bariquit</w:t>
            </w:r>
          </w:p>
        </w:tc>
        <w:tc>
          <w:tcPr>
            <w:tcW w:w="1480" w:type="dxa"/>
            <w:vAlign w:val="bottom"/>
          </w:tcPr>
          <w:p>
            <w:pPr>
              <w:ind w:left="580"/>
              <w:spacing w:after="0"/>
              <w:rPr>
                <w:sz w:val="20"/>
                <w:szCs w:val="20"/>
                <w:color w:val="auto"/>
              </w:rPr>
            </w:pPr>
            <w:r>
              <w:rPr>
                <w:rFonts w:ascii="Arial" w:cs="Arial" w:eastAsia="Arial" w:hAnsi="Arial"/>
                <w:sz w:val="14"/>
                <w:szCs w:val="14"/>
                <w:color w:val="auto"/>
              </w:rPr>
              <w:t>65</w:t>
            </w:r>
          </w:p>
        </w:tc>
        <w:tc>
          <w:tcPr>
            <w:tcW w:w="3140" w:type="dxa"/>
            <w:vAlign w:val="bottom"/>
          </w:tcPr>
          <w:p>
            <w:pPr>
              <w:ind w:left="640"/>
              <w:spacing w:after="0"/>
              <w:rPr>
                <w:sz w:val="20"/>
                <w:szCs w:val="20"/>
                <w:color w:val="auto"/>
              </w:rPr>
            </w:pPr>
            <w:r>
              <w:rPr>
                <w:rFonts w:ascii="Arial" w:cs="Arial" w:eastAsia="Arial" w:hAnsi="Arial"/>
                <w:sz w:val="14"/>
                <w:szCs w:val="14"/>
                <w:color w:val="auto"/>
              </w:rPr>
              <w:t>Director; Interim CEO &amp; President</w:t>
            </w:r>
          </w:p>
        </w:tc>
        <w:tc>
          <w:tcPr>
            <w:tcW w:w="2620" w:type="dxa"/>
            <w:vAlign w:val="bottom"/>
          </w:tcPr>
          <w:p>
            <w:pPr>
              <w:ind w:left="320"/>
              <w:spacing w:after="0"/>
              <w:rPr>
                <w:sz w:val="20"/>
                <w:szCs w:val="20"/>
                <w:color w:val="auto"/>
              </w:rPr>
            </w:pPr>
            <w:r>
              <w:rPr>
                <w:rFonts w:ascii="Arial" w:cs="Arial" w:eastAsia="Arial" w:hAnsi="Arial"/>
                <w:sz w:val="14"/>
                <w:szCs w:val="14"/>
                <w:color w:val="auto"/>
              </w:rPr>
              <w:t>October 2025</w:t>
            </w:r>
          </w:p>
        </w:tc>
      </w:tr>
      <w:tr>
        <w:trPr>
          <w:trHeight w:val="76"/>
        </w:trPr>
        <w:tc>
          <w:tcPr>
            <w:tcW w:w="22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r>
      <w:tr>
        <w:trPr>
          <w:trHeight w:val="358"/>
        </w:trPr>
        <w:tc>
          <w:tcPr>
            <w:tcW w:w="2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Daniel Rosensweig</w:t>
            </w:r>
            <w:r>
              <w:rPr>
                <w:rFonts w:ascii="Arial" w:cs="Arial" w:eastAsia="Arial" w:hAnsi="Arial"/>
                <w:sz w:val="23"/>
                <w:szCs w:val="23"/>
                <w:color w:val="auto"/>
                <w:vertAlign w:val="superscript"/>
              </w:rPr>
              <w:t>(1)*†</w:t>
            </w: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65</w:t>
            </w:r>
          </w:p>
        </w:tc>
        <w:tc>
          <w:tcPr>
            <w:tcW w:w="31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Director</w:t>
            </w:r>
          </w:p>
        </w:tc>
        <w:tc>
          <w:tcPr>
            <w:tcW w:w="26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May 2025</w:t>
            </w:r>
          </w:p>
        </w:tc>
      </w:tr>
      <w:tr>
        <w:trPr>
          <w:trHeight w:val="262"/>
        </w:trPr>
        <w:tc>
          <w:tcPr>
            <w:tcW w:w="226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Class III Director</w:t>
            </w:r>
          </w:p>
        </w:tc>
        <w:tc>
          <w:tcPr>
            <w:tcW w:w="1480" w:type="dxa"/>
            <w:vAlign w:val="bottom"/>
          </w:tcPr>
          <w:p>
            <w:pPr>
              <w:ind w:left="580"/>
              <w:spacing w:after="0"/>
              <w:rPr>
                <w:sz w:val="20"/>
                <w:szCs w:val="20"/>
                <w:color w:val="auto"/>
              </w:rPr>
            </w:pPr>
            <w:r>
              <w:rPr>
                <w:rFonts w:ascii="Arial" w:cs="Arial" w:eastAsia="Arial" w:hAnsi="Arial"/>
                <w:sz w:val="14"/>
                <w:szCs w:val="14"/>
                <w:color w:val="auto"/>
              </w:rPr>
              <w:t>​</w:t>
            </w:r>
          </w:p>
        </w:tc>
        <w:tc>
          <w:tcPr>
            <w:tcW w:w="3140" w:type="dxa"/>
            <w:vAlign w:val="bottom"/>
          </w:tcPr>
          <w:p>
            <w:pPr>
              <w:ind w:left="640"/>
              <w:spacing w:after="0"/>
              <w:rPr>
                <w:sz w:val="20"/>
                <w:szCs w:val="20"/>
                <w:color w:val="auto"/>
              </w:rPr>
            </w:pPr>
            <w:r>
              <w:rPr>
                <w:rFonts w:ascii="Arial" w:cs="Arial" w:eastAsia="Arial" w:hAnsi="Arial"/>
                <w:sz w:val="14"/>
                <w:szCs w:val="14"/>
                <w:color w:val="auto"/>
              </w:rPr>
              <w:t>​</w:t>
            </w:r>
          </w:p>
        </w:tc>
        <w:tc>
          <w:tcPr>
            <w:tcW w:w="2620" w:type="dxa"/>
            <w:vAlign w:val="bottom"/>
          </w:tcPr>
          <w:p>
            <w:pPr>
              <w:spacing w:after="0"/>
              <w:rPr>
                <w:sz w:val="22"/>
                <w:szCs w:val="22"/>
                <w:color w:val="auto"/>
              </w:rPr>
            </w:pPr>
          </w:p>
        </w:tc>
      </w:tr>
      <w:tr>
        <w:trPr>
          <w:trHeight w:val="69"/>
        </w:trPr>
        <w:tc>
          <w:tcPr>
            <w:tcW w:w="22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r>
      <w:tr>
        <w:trPr>
          <w:trHeight w:val="256"/>
        </w:trPr>
        <w:tc>
          <w:tcPr>
            <w:tcW w:w="2260" w:type="dxa"/>
            <w:vAlign w:val="bottom"/>
          </w:tcPr>
          <w:p>
            <w:pPr>
              <w:ind w:left="160"/>
              <w:spacing w:after="0"/>
              <w:rPr>
                <w:sz w:val="20"/>
                <w:szCs w:val="20"/>
                <w:color w:val="auto"/>
              </w:rPr>
            </w:pPr>
            <w:r>
              <w:rPr>
                <w:rFonts w:ascii="Arial" w:cs="Arial" w:eastAsia="Arial" w:hAnsi="Arial"/>
                <w:sz w:val="14"/>
                <w:szCs w:val="14"/>
                <w:color w:val="auto"/>
              </w:rPr>
              <w:t>Dhiren Fonseca</w:t>
            </w:r>
          </w:p>
        </w:tc>
        <w:tc>
          <w:tcPr>
            <w:tcW w:w="1480" w:type="dxa"/>
            <w:vAlign w:val="bottom"/>
          </w:tcPr>
          <w:p>
            <w:pPr>
              <w:ind w:left="580"/>
              <w:spacing w:after="0"/>
              <w:rPr>
                <w:sz w:val="20"/>
                <w:szCs w:val="20"/>
                <w:color w:val="auto"/>
              </w:rPr>
            </w:pPr>
            <w:r>
              <w:rPr>
                <w:rFonts w:ascii="Arial" w:cs="Arial" w:eastAsia="Arial" w:hAnsi="Arial"/>
                <w:sz w:val="14"/>
                <w:szCs w:val="14"/>
                <w:color w:val="auto"/>
              </w:rPr>
              <w:t>61</w:t>
            </w:r>
          </w:p>
        </w:tc>
        <w:tc>
          <w:tcPr>
            <w:tcW w:w="3140" w:type="dxa"/>
            <w:vAlign w:val="bottom"/>
          </w:tcPr>
          <w:p>
            <w:pPr>
              <w:ind w:left="640"/>
              <w:spacing w:after="0"/>
              <w:rPr>
                <w:sz w:val="20"/>
                <w:szCs w:val="20"/>
                <w:color w:val="auto"/>
              </w:rPr>
            </w:pPr>
            <w:r>
              <w:rPr>
                <w:rFonts w:ascii="Arial" w:cs="Arial" w:eastAsia="Arial" w:hAnsi="Arial"/>
                <w:sz w:val="14"/>
                <w:szCs w:val="14"/>
                <w:color w:val="auto"/>
              </w:rPr>
              <w:t>Director; Executive Chairman</w:t>
            </w:r>
          </w:p>
        </w:tc>
        <w:tc>
          <w:tcPr>
            <w:tcW w:w="2620" w:type="dxa"/>
            <w:vAlign w:val="bottom"/>
          </w:tcPr>
          <w:p>
            <w:pPr>
              <w:ind w:left="320"/>
              <w:spacing w:after="0"/>
              <w:rPr>
                <w:sz w:val="20"/>
                <w:szCs w:val="20"/>
                <w:color w:val="auto"/>
              </w:rPr>
            </w:pPr>
            <w:r>
              <w:rPr>
                <w:rFonts w:ascii="Arial" w:cs="Arial" w:eastAsia="Arial" w:hAnsi="Arial"/>
                <w:sz w:val="14"/>
                <w:szCs w:val="14"/>
                <w:color w:val="auto"/>
              </w:rPr>
              <w:t>October 2025</w:t>
            </w:r>
          </w:p>
        </w:tc>
      </w:tr>
      <w:tr>
        <w:trPr>
          <w:trHeight w:val="35"/>
        </w:trPr>
        <w:tc>
          <w:tcPr>
            <w:tcW w:w="2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r>
    </w:tbl>
    <w:p>
      <w:pPr>
        <w:spacing w:after="0" w:line="180" w:lineRule="exact"/>
        <w:rPr>
          <w:sz w:val="20"/>
          <w:szCs w:val="20"/>
          <w:color w:val="auto"/>
        </w:rPr>
      </w:pPr>
    </w:p>
    <w:p>
      <w:pPr>
        <w:ind w:left="20" w:right="7220" w:firstLine="1"/>
        <w:spacing w:after="0" w:line="362" w:lineRule="auto"/>
        <w:tabs>
          <w:tab w:leader="none" w:pos="236" w:val="left"/>
        </w:tabs>
        <w:numPr>
          <w:ilvl w:val="0"/>
          <w:numId w:val="17"/>
        </w:numPr>
        <w:rPr>
          <w:rFonts w:ascii="Arial" w:cs="Arial" w:eastAsia="Arial" w:hAnsi="Arial"/>
          <w:sz w:val="14"/>
          <w:szCs w:val="14"/>
          <w:color w:val="auto"/>
        </w:rPr>
      </w:pPr>
      <w:r>
        <w:rPr>
          <w:rFonts w:ascii="Arial" w:cs="Arial" w:eastAsia="Arial" w:hAnsi="Arial"/>
          <w:sz w:val="14"/>
          <w:szCs w:val="14"/>
          <w:color w:val="auto"/>
        </w:rPr>
        <w:t>Member of the Audit Committee. * Committee chair.</w:t>
      </w:r>
    </w:p>
    <w:p>
      <w:pPr>
        <w:ind w:left="20"/>
        <w:spacing w:after="0"/>
        <w:rPr>
          <w:rFonts w:ascii="Arial" w:cs="Arial" w:eastAsia="Arial" w:hAnsi="Arial"/>
          <w:sz w:val="14"/>
          <w:szCs w:val="14"/>
          <w:color w:val="auto"/>
        </w:rPr>
      </w:pPr>
      <w:r>
        <w:rPr>
          <w:rFonts w:ascii="Arial" w:cs="Arial" w:eastAsia="Arial" w:hAnsi="Arial"/>
          <w:sz w:val="14"/>
          <w:szCs w:val="14"/>
          <w:color w:val="auto"/>
        </w:rPr>
        <w:t>† Financial expert.</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Nominees to our Board of Directors - Class II Directors</w:t>
      </w:r>
    </w:p>
    <w:p>
      <w:pPr>
        <w:spacing w:after="0" w:line="199" w:lineRule="exact"/>
        <w:rPr>
          <w:sz w:val="20"/>
          <w:szCs w:val="20"/>
          <w:color w:val="auto"/>
        </w:rPr>
      </w:pPr>
    </w:p>
    <w:p>
      <w:pPr>
        <w:jc w:val="both"/>
        <w:ind w:left="20" w:right="80"/>
        <w:spacing w:after="0" w:line="255" w:lineRule="auto"/>
        <w:rPr>
          <w:sz w:val="20"/>
          <w:szCs w:val="20"/>
          <w:color w:val="auto"/>
        </w:rPr>
      </w:pPr>
      <w:r>
        <w:rPr>
          <w:rFonts w:ascii="Arial" w:cs="Arial" w:eastAsia="Arial" w:hAnsi="Arial"/>
          <w:sz w:val="17"/>
          <w:szCs w:val="17"/>
          <w:b w:val="1"/>
          <w:bCs w:val="1"/>
          <w:color w:val="auto"/>
        </w:rPr>
        <w:t xml:space="preserve">Teri Bariquit </w:t>
      </w:r>
      <w:r>
        <w:rPr>
          <w:rFonts w:ascii="Arial" w:cs="Arial" w:eastAsia="Arial" w:hAnsi="Arial"/>
          <w:sz w:val="17"/>
          <w:szCs w:val="17"/>
          <w:color w:val="auto"/>
        </w:rPr>
        <w:t>has served as the interim Chief Executive Officer and President since May 2026 and as a member of our</w:t>
      </w:r>
      <w:r>
        <w:rPr>
          <w:rFonts w:ascii="Arial" w:cs="Arial" w:eastAsia="Arial" w:hAnsi="Arial"/>
          <w:sz w:val="17"/>
          <w:szCs w:val="17"/>
          <w:b w:val="1"/>
          <w:bCs w:val="1"/>
          <w:color w:val="auto"/>
        </w:rPr>
        <w:t xml:space="preserve"> </w:t>
      </w:r>
      <w:r>
        <w:rPr>
          <w:rFonts w:ascii="Arial" w:cs="Arial" w:eastAsia="Arial" w:hAnsi="Arial"/>
          <w:sz w:val="17"/>
          <w:szCs w:val="17"/>
          <w:color w:val="auto"/>
        </w:rPr>
        <w:t>Board since October 2025. Teri Bariquit is a seasoned fashion retail executive and advisor with more than 37 years of experience at Nordstrom, Inc., where she most recently served as Chief Merchandising Officer from 2019 to 2023.</w:t>
      </w:r>
    </w:p>
    <w:p>
      <w:pPr>
        <w:spacing w:after="0" w:line="2" w:lineRule="exact"/>
        <w:rPr>
          <w:sz w:val="20"/>
          <w:szCs w:val="20"/>
          <w:color w:val="auto"/>
        </w:rPr>
      </w:pPr>
    </w:p>
    <w:p>
      <w:pPr>
        <w:ind w:left="20" w:right="20"/>
        <w:spacing w:after="0" w:line="238" w:lineRule="auto"/>
        <w:rPr>
          <w:sz w:val="20"/>
          <w:szCs w:val="20"/>
          <w:color w:val="auto"/>
        </w:rPr>
      </w:pPr>
      <w:r>
        <w:rPr>
          <w:rFonts w:ascii="Arial" w:cs="Arial" w:eastAsia="Arial" w:hAnsi="Arial"/>
          <w:sz w:val="18"/>
          <w:szCs w:val="18"/>
          <w:color w:val="auto"/>
        </w:rPr>
        <w:t>Since December 2023, Ms. Bariquit has served as an independent advisor and consultant. She is also a member of the Board of Directors of the Central Washington University Foundation. Ms. Bariquit holds a B.S. in Accounting and Finance, magna cum laude, from Central Washington University and a Retail Master’s Certification from Santa Clara University. We believe Ms. Bariquit is qualified to serve on our Board because of her leadership in large-scale enterprise transformation, technology enablement, and business turnaround initiatives, as well as her skill in inspiring leaders to navigate complexity and drive growth and efficiency.</w:t>
      </w:r>
    </w:p>
    <w:p>
      <w:pPr>
        <w:spacing w:after="0" w:line="154" w:lineRule="exact"/>
        <w:rPr>
          <w:sz w:val="20"/>
          <w:szCs w:val="20"/>
          <w:color w:val="auto"/>
        </w:rPr>
      </w:pPr>
    </w:p>
    <w:p>
      <w:pPr>
        <w:ind w:left="20"/>
        <w:spacing w:after="0" w:line="252" w:lineRule="auto"/>
        <w:rPr>
          <w:sz w:val="20"/>
          <w:szCs w:val="20"/>
          <w:color w:val="auto"/>
        </w:rPr>
      </w:pPr>
      <w:r>
        <w:rPr>
          <w:rFonts w:ascii="Arial" w:cs="Arial" w:eastAsia="Arial" w:hAnsi="Arial"/>
          <w:sz w:val="17"/>
          <w:szCs w:val="17"/>
          <w:b w:val="1"/>
          <w:bCs w:val="1"/>
          <w:color w:val="auto"/>
        </w:rPr>
        <w:t xml:space="preserve">Daniel Rosensweig </w:t>
      </w:r>
      <w:r>
        <w:rPr>
          <w:rFonts w:ascii="Arial" w:cs="Arial" w:eastAsia="Arial" w:hAnsi="Arial"/>
          <w:sz w:val="17"/>
          <w:szCs w:val="17"/>
          <w:color w:val="auto"/>
        </w:rPr>
        <w:t>has served as a member of our Board since October 2025 and an advisor since April 2023, and</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served on the Board of Directors from November 2012 to April 2023, and then again from May 2025. Mr. Rosensweig serves as the Chief Executive Officer, Executive Chairman and Co-Chairperson of the board of directors of Chegg, Inc., an online textbook rental company. Prior to that, Mr. Rosensweig served as President and Chief Executive Officer of Chegg from February 2010 until June 2024. Prior to Chegg, he served as CEO of Guitar Hero, COO of Yahoo!, and CEO of ZDNet. He serves on the Board of Directors for Adobe Systems, Inc., UpGrad, Inc., and Yumi.</w:t>
      </w:r>
    </w:p>
    <w:p>
      <w:pPr>
        <w:spacing w:after="0" w:line="2" w:lineRule="exact"/>
        <w:rPr>
          <w:sz w:val="20"/>
          <w:szCs w:val="20"/>
          <w:color w:val="auto"/>
        </w:rPr>
      </w:pPr>
    </w:p>
    <w:p>
      <w:pPr>
        <w:jc w:val="both"/>
        <w:ind w:left="20" w:right="100"/>
        <w:spacing w:after="0" w:line="242" w:lineRule="auto"/>
        <w:rPr>
          <w:sz w:val="20"/>
          <w:szCs w:val="20"/>
          <w:color w:val="auto"/>
        </w:rPr>
      </w:pPr>
      <w:r>
        <w:rPr>
          <w:rFonts w:ascii="Arial" w:cs="Arial" w:eastAsia="Arial" w:hAnsi="Arial"/>
          <w:sz w:val="18"/>
          <w:szCs w:val="18"/>
          <w:color w:val="auto"/>
        </w:rPr>
        <w:t>Mr. Rosensweig holds a B.A. in Political Science from Hobart and William Smith Colleges. We believe Mr. Rosensweig is qualified to serve on our Board because of his extensive experience as a public company chief executive officer and his knowledge of technology companies.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right="1060"/>
        <w:spacing w:after="0" w:line="290" w:lineRule="auto"/>
        <w:rPr>
          <w:sz w:val="20"/>
          <w:szCs w:val="20"/>
          <w:color w:val="auto"/>
        </w:rPr>
      </w:pPr>
      <w:r>
        <w:rPr>
          <w:rFonts w:ascii="Arial" w:cs="Arial" w:eastAsia="Arial" w:hAnsi="Arial"/>
          <w:sz w:val="36"/>
          <w:szCs w:val="36"/>
          <w:b w:val="1"/>
          <w:bCs w:val="1"/>
          <w:color w:val="auto"/>
        </w:rPr>
        <w:t>Class III Director Whose Term Expires at the 2027 Annual Meeting</w:t>
      </w:r>
    </w:p>
    <w:p>
      <w:pPr>
        <w:spacing w:after="0" w:line="31" w:lineRule="exact"/>
        <w:rPr>
          <w:sz w:val="20"/>
          <w:szCs w:val="20"/>
          <w:color w:val="auto"/>
        </w:rPr>
      </w:pPr>
    </w:p>
    <w:p>
      <w:pPr>
        <w:ind w:left="20" w:right="40"/>
        <w:spacing w:after="0" w:line="252" w:lineRule="auto"/>
        <w:rPr>
          <w:sz w:val="20"/>
          <w:szCs w:val="20"/>
          <w:color w:val="auto"/>
        </w:rPr>
      </w:pPr>
      <w:r>
        <w:rPr>
          <w:rFonts w:ascii="Arial" w:cs="Arial" w:eastAsia="Arial" w:hAnsi="Arial"/>
          <w:sz w:val="17"/>
          <w:szCs w:val="17"/>
          <w:b w:val="1"/>
          <w:bCs w:val="1"/>
          <w:color w:val="auto"/>
        </w:rPr>
        <w:t xml:space="preserve">Dhiren Fonseca </w:t>
      </w:r>
      <w:r>
        <w:rPr>
          <w:rFonts w:ascii="Arial" w:cs="Arial" w:eastAsia="Arial" w:hAnsi="Arial"/>
          <w:sz w:val="17"/>
          <w:szCs w:val="17"/>
          <w:color w:val="auto"/>
        </w:rPr>
        <w:t>has served as a member of our Board and Executive Chairman since October 2025. He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Chief Executive Officer and President from December 2020 to August 2021, and as a member of the Board of Directors from January 2014 to April 2021, at RentPath, Inc., an online marketplace for residential apartment rentals. Prior to RentPath, Inc., he was Chief Commercial Officer of Expedia, Inc. from 2012 through April 2014 and served as Co-President, Partner Services Group, from 2009 through 2012. He previously served as Senior Vice President, Corporate Development and Strategy, beginning in 2005 and, prior to that role, held several roles responsible for the development of external-facing relationships and business development at Expedia. Prior to Expedia, Mr. Fonseca was an early Microsoft Corporation employee and a member of the management team responsible for creating Expedia.com in 1995. Mr. Fonseca serves on the board of Tripadvisor and DRF Logistics, as an Advisor to GetPica S.p.A. and Certares LP, a firm specializing in investments in the travel, transportation, hospitality, and payments sectors, where he was previously a Partner. Mr. Fonseca previously served as a board member for organizations including Alaska Air Group, Caesars Acquisition Corp., Cynosure, Diamond Resorts, HotelTonight, Inmar, Osiris Acquisition Corp., RentPath, Rackspace, Redbox, and Wilbur-Ellis. Mr. Fonseca attended the University of Manitoba. We believe Mr. Fonseca is qualified to chair our Board because of his experience guiding companies through transformation and innovation and his deep operational and investment experience across global markets.</w:t>
      </w:r>
    </w:p>
    <w:p>
      <w:pPr>
        <w:spacing w:after="0" w:line="304" w:lineRule="exact"/>
        <w:rPr>
          <w:sz w:val="20"/>
          <w:szCs w:val="20"/>
          <w:color w:val="auto"/>
        </w:rPr>
      </w:pPr>
    </w:p>
    <w:p>
      <w:pPr>
        <w:ind w:left="20" w:right="1060"/>
        <w:spacing w:after="0" w:line="290" w:lineRule="auto"/>
        <w:rPr>
          <w:sz w:val="20"/>
          <w:szCs w:val="20"/>
          <w:color w:val="auto"/>
        </w:rPr>
      </w:pPr>
      <w:r>
        <w:rPr>
          <w:rFonts w:ascii="Arial" w:cs="Arial" w:eastAsia="Arial" w:hAnsi="Arial"/>
          <w:sz w:val="36"/>
          <w:szCs w:val="36"/>
          <w:b w:val="1"/>
          <w:bCs w:val="1"/>
          <w:color w:val="auto"/>
        </w:rPr>
        <w:t>Class I Directors Whose Terms Expire at the 2028 Annual Meeting</w:t>
      </w:r>
    </w:p>
    <w:p>
      <w:pPr>
        <w:spacing w:after="0" w:line="31" w:lineRule="exact"/>
        <w:rPr>
          <w:sz w:val="20"/>
          <w:szCs w:val="20"/>
          <w:color w:val="auto"/>
        </w:rPr>
      </w:pPr>
    </w:p>
    <w:p>
      <w:pPr>
        <w:ind w:left="20"/>
        <w:spacing w:after="0" w:line="239" w:lineRule="auto"/>
        <w:rPr>
          <w:sz w:val="20"/>
          <w:szCs w:val="20"/>
          <w:color w:val="auto"/>
        </w:rPr>
      </w:pPr>
      <w:r>
        <w:rPr>
          <w:rFonts w:ascii="Arial" w:cs="Arial" w:eastAsia="Arial" w:hAnsi="Arial"/>
          <w:sz w:val="18"/>
          <w:szCs w:val="18"/>
          <w:b w:val="1"/>
          <w:bCs w:val="1"/>
          <w:color w:val="auto"/>
        </w:rPr>
        <w:t xml:space="preserve">Peter Comisar </w:t>
      </w:r>
      <w:r>
        <w:rPr>
          <w:rFonts w:ascii="Arial" w:cs="Arial" w:eastAsia="Arial" w:hAnsi="Arial"/>
          <w:sz w:val="18"/>
          <w:szCs w:val="18"/>
          <w:color w:val="auto"/>
        </w:rPr>
        <w:t>has served as a member of our Board since October 2025. Peter Comisar is 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STORY3 Capital Partners, a leading alternative investment manager focused on the consumer sector. Currently, Mr. Comisar serves on the board of directors of several private companies including Mammoth Brands, Recover Fiber, and Coco Republic. Previously, he was Vice Chairman of Guggenheim Partners, LLC from 2009 to 2017, where he helped build the firm’s securities team along with managing the firm’s consumer &amp; retail investment banking efforts. Prior to that, Mr. Comisar held a variety of positions at Goldman Sachs over a 20-year career, including most recently as Partner and Managing Director responsible for the consumer &amp; retail investment banking efforts on the West Coast. Mr. Comisar holds a B.A. from Colgate University. We believe Mr. Comisar is qualified to serve on our Board because of his extensive experience as an investor and advisor to leading consumer brands.</w:t>
      </w:r>
    </w:p>
    <w:p>
      <w:pPr>
        <w:spacing w:after="0" w:line="156" w:lineRule="exact"/>
        <w:rPr>
          <w:sz w:val="20"/>
          <w:szCs w:val="20"/>
          <w:color w:val="auto"/>
        </w:rPr>
      </w:pPr>
    </w:p>
    <w:p>
      <w:pPr>
        <w:ind w:left="20"/>
        <w:spacing w:after="0" w:line="239" w:lineRule="auto"/>
        <w:rPr>
          <w:sz w:val="20"/>
          <w:szCs w:val="20"/>
          <w:color w:val="auto"/>
        </w:rPr>
      </w:pPr>
      <w:r>
        <w:rPr>
          <w:rFonts w:ascii="Arial" w:cs="Arial" w:eastAsia="Arial" w:hAnsi="Arial"/>
          <w:sz w:val="18"/>
          <w:szCs w:val="18"/>
          <w:b w:val="1"/>
          <w:bCs w:val="1"/>
          <w:color w:val="auto"/>
        </w:rPr>
        <w:t xml:space="preserve">Damian Giangiacomo </w:t>
      </w:r>
      <w:r>
        <w:rPr>
          <w:rFonts w:ascii="Arial" w:cs="Arial" w:eastAsia="Arial" w:hAnsi="Arial"/>
          <w:sz w:val="18"/>
          <w:szCs w:val="18"/>
          <w:color w:val="auto"/>
        </w:rPr>
        <w:t>has served as a member of our Board since October 2025. In 2013, Damian co-founded Nexus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Management LP, a private equity firm, and is a Managing Partner of the firm. Mr. Giangiacomo currently serves on the Board of Directors of Encoura, Ethos Pet, Lamps Plus, Savvas Learning Company, Sperber Landscape Companies and TruRoots. Damian previously served on the Board of Directors of Cypress Performance Group, Resident Inc., Rexnord Corporation (NYSE: RXN), McGraw-Hill Global Education, Jacuzzi Brands, Linens ‘n Things, and Connections Education. Prior to co-founding Nexus, Damian spent 13 years at Apollo Global Management in its Private Equity Group. He began his career in the Mergers, Acquisitions &amp; Restructurings Department of Morgan Stanley. Mr. Giangiacomo holds a B.B.A. from the University of Notre Dame. We believe Mr. Giangiacomo is qualified to serve on our Board because of his deep corporate strategy, financial, and board experience.</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Audit Committee Report</w:t>
      </w:r>
    </w:p>
    <w:p>
      <w:pPr>
        <w:spacing w:after="0" w:line="212" w:lineRule="exact"/>
        <w:rPr>
          <w:sz w:val="20"/>
          <w:szCs w:val="20"/>
          <w:color w:val="auto"/>
        </w:rPr>
      </w:pPr>
    </w:p>
    <w:p>
      <w:pPr>
        <w:ind w:left="20" w:right="2140"/>
        <w:spacing w:after="0" w:line="271" w:lineRule="auto"/>
        <w:rPr>
          <w:sz w:val="20"/>
          <w:szCs w:val="20"/>
          <w:color w:val="auto"/>
        </w:rPr>
      </w:pPr>
      <w:r>
        <w:rPr>
          <w:rFonts w:ascii="Arial" w:cs="Arial" w:eastAsia="Arial" w:hAnsi="Arial"/>
          <w:sz w:val="18"/>
          <w:szCs w:val="18"/>
          <w:color w:val="auto"/>
        </w:rPr>
        <w:t>The Audit Committee operates pursuant to a charter that is available on our investor website (investors.renttherunway.com).</w:t>
      </w:r>
    </w:p>
    <w:p>
      <w:pPr>
        <w:spacing w:after="0" w:line="127"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As described above in more detail, the principal purpose of the Audit Committee is to assist the Board of Directors in its oversight of our accounting practices, system of internal controls, audit processes, and financial reporting processes. The Audit Committee is responsible for appointing and retaining our independent auditor and approving the audit and non-audit services to be provided by the independent auditor. The Audit Committee’s function is more fully described in its charter.</w:t>
      </w:r>
    </w:p>
    <w:p>
      <w:pPr>
        <w:spacing w:after="0" w:line="136" w:lineRule="exact"/>
        <w:rPr>
          <w:sz w:val="20"/>
          <w:szCs w:val="20"/>
          <w:color w:val="auto"/>
        </w:rPr>
      </w:pPr>
    </w:p>
    <w:p>
      <w:pPr>
        <w:ind w:left="20" w:right="140"/>
        <w:spacing w:after="0" w:line="244" w:lineRule="auto"/>
        <w:rPr>
          <w:sz w:val="20"/>
          <w:szCs w:val="20"/>
          <w:color w:val="auto"/>
        </w:rPr>
      </w:pPr>
      <w:r>
        <w:rPr>
          <w:rFonts w:ascii="Arial" w:cs="Arial" w:eastAsia="Arial" w:hAnsi="Arial"/>
          <w:sz w:val="18"/>
          <w:szCs w:val="18"/>
          <w:color w:val="auto"/>
        </w:rPr>
        <w:t>Management is responsible for preparing our financial statements and ensuring they are complete and accurate and prepared in accordance with generally accepted accounting principles. PricewaterhouseCoopers LLP (“PwC”), our independent registered public accounting firm, is responsible for performing an independent audit of our Consolidated Financial Statements and expressing an opinion on the conformity of those financial statements with generally accepted accounting principles.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performing its responsibilities, the Audit Committee has:</w:t>
      </w:r>
    </w:p>
    <w:p>
      <w:pPr>
        <w:spacing w:after="0" w:line="171" w:lineRule="exact"/>
        <w:rPr>
          <w:sz w:val="20"/>
          <w:szCs w:val="20"/>
          <w:color w:val="auto"/>
        </w:rPr>
      </w:pPr>
    </w:p>
    <w:p>
      <w:pPr>
        <w:ind w:left="740" w:right="820" w:hanging="359"/>
        <w:spacing w:after="0" w:line="245"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reviewed and discussed with management our audited financial statements for the fiscal year ended January 31, 2026;</w:t>
      </w:r>
    </w:p>
    <w:p>
      <w:pPr>
        <w:ind w:left="740" w:right="12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discussed with our independent registered public accounting firm, PwC, the matters required to be discussed by the applicable requirements of the Public Company Accounting Oversight Board (the “PCAOB”) and the SEC; and</w:t>
      </w:r>
    </w:p>
    <w:p>
      <w:pPr>
        <w:spacing w:after="0" w:line="2" w:lineRule="exact"/>
        <w:rPr>
          <w:rFonts w:ascii="Arial" w:cs="Arial" w:eastAsia="Arial" w:hAnsi="Arial"/>
          <w:sz w:val="18"/>
          <w:szCs w:val="18"/>
          <w:color w:val="auto"/>
        </w:rPr>
      </w:pPr>
    </w:p>
    <w:p>
      <w:pPr>
        <w:ind w:left="740" w:right="160" w:hanging="359"/>
        <w:spacing w:after="0" w:line="242"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PwC required by the applicable PCAOB requirements for the independent accountant communications with audit committees concerning auditor independence, and has discussed with PwC its independence.</w:t>
      </w:r>
    </w:p>
    <w:p>
      <w:pPr>
        <w:spacing w:after="0" w:line="152" w:lineRule="exact"/>
        <w:rPr>
          <w:sz w:val="20"/>
          <w:szCs w:val="20"/>
          <w:color w:val="auto"/>
        </w:rPr>
      </w:pPr>
    </w:p>
    <w:p>
      <w:pPr>
        <w:jc w:val="both"/>
        <w:ind w:left="20" w:right="80"/>
        <w:spacing w:after="0" w:line="253"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be included in our Annual Report on Form 10-K for the fiscal year ended January 31, 2026.</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Respectfully submitted by: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Daniel Rosensweig - </w:t>
      </w:r>
      <w:r>
        <w:rPr>
          <w:rFonts w:ascii="Arial" w:cs="Arial" w:eastAsia="Arial" w:hAnsi="Arial"/>
          <w:sz w:val="18"/>
          <w:szCs w:val="18"/>
          <w:i w:val="1"/>
          <w:iCs w:val="1"/>
          <w:color w:val="auto"/>
        </w:rPr>
        <w:t>Chair</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Damian Giangiacomo</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4"/>
          <w:szCs w:val="64"/>
          <w:b w:val="1"/>
          <w:bCs w:val="1"/>
          <w:color w:val="auto"/>
        </w:rPr>
        <w:t>Ratification of the Appointment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of Independent Registered</w:t>
      </w:r>
    </w:p>
    <w:p>
      <w:pPr>
        <w:ind w:left="20"/>
        <w:spacing w:after="0"/>
        <w:rPr>
          <w:sz w:val="20"/>
          <w:szCs w:val="20"/>
          <w:color w:val="auto"/>
        </w:rPr>
      </w:pPr>
      <w:r>
        <w:rPr>
          <w:rFonts w:ascii="Arial" w:cs="Arial" w:eastAsia="Arial" w:hAnsi="Arial"/>
          <w:sz w:val="65"/>
          <w:szCs w:val="65"/>
          <w:b w:val="1"/>
          <w:bCs w:val="1"/>
          <w:color w:val="auto"/>
        </w:rPr>
        <w:t>Public Accounting Firm</w:t>
      </w:r>
    </w:p>
    <w:p>
      <w:pPr>
        <w:spacing w:after="0" w:line="144" w:lineRule="exact"/>
        <w:rPr>
          <w:sz w:val="20"/>
          <w:szCs w:val="20"/>
          <w:color w:val="auto"/>
        </w:rPr>
      </w:pPr>
    </w:p>
    <w:p>
      <w:pPr>
        <w:ind w:left="20" w:right="220"/>
        <w:spacing w:after="0" w:line="242" w:lineRule="auto"/>
        <w:rPr>
          <w:sz w:val="20"/>
          <w:szCs w:val="20"/>
          <w:color w:val="auto"/>
        </w:rPr>
      </w:pPr>
      <w:r>
        <w:rPr>
          <w:rFonts w:ascii="Arial" w:cs="Arial" w:eastAsia="Arial" w:hAnsi="Arial"/>
          <w:sz w:val="18"/>
          <w:szCs w:val="18"/>
          <w:color w:val="auto"/>
        </w:rPr>
        <w:t>The Audit Committee has appointed PricewaterhouseCoopers LLP (“PwC”) as our independent registered public accounting firm for fiscal year 2026 and recommends that stockholders vote to ratify the appointment. Although we are not required by law to obtain such ratification from our stockholders, we believe it is good practice to do so. If our stockholders do not ratify the appointment of PwC, the Audit Committee may reconsider its appointment. The Audit Committee, in its discretion, may appoint a new independent registered public accounting firm at any time during the year if the Audit Committee believes that such a change would be in the best interests of RTR and our stockholders.</w:t>
      </w:r>
    </w:p>
    <w:p>
      <w:pPr>
        <w:spacing w:after="0" w:line="152" w:lineRule="exact"/>
        <w:rPr>
          <w:sz w:val="20"/>
          <w:szCs w:val="20"/>
          <w:color w:val="auto"/>
        </w:rPr>
      </w:pPr>
    </w:p>
    <w:p>
      <w:pPr>
        <w:ind w:left="20" w:right="600"/>
        <w:spacing w:after="0" w:line="271" w:lineRule="auto"/>
        <w:rPr>
          <w:sz w:val="20"/>
          <w:szCs w:val="20"/>
          <w:color w:val="auto"/>
        </w:rPr>
      </w:pPr>
      <w:r>
        <w:rPr>
          <w:rFonts w:ascii="Arial" w:cs="Arial" w:eastAsia="Arial" w:hAnsi="Arial"/>
          <w:sz w:val="18"/>
          <w:szCs w:val="18"/>
          <w:color w:val="auto"/>
        </w:rPr>
        <w:t>PwC has audited our consolidated financial statements since 2020. A representative of PwC will be present at our Annual Meeting to respond to appropriate questions and to make a statement if they so desire.</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Fees and Services</w:t>
      </w:r>
    </w:p>
    <w:p>
      <w:pPr>
        <w:spacing w:after="0" w:line="199"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PwC for the fiscal years ended January 31, 2026 and January 31, 2025.</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4260" w:type="dxa"/>
            <w:vAlign w:val="bottom"/>
            <w:shd w:val="clear" w:color="auto" w:fill="FFE8F5"/>
          </w:tcPr>
          <w:p>
            <w:pPr>
              <w:ind w:left="160"/>
              <w:spacing w:after="0"/>
              <w:rPr>
                <w:sz w:val="20"/>
                <w:szCs w:val="20"/>
                <w:color w:val="auto"/>
              </w:rPr>
            </w:pPr>
            <w:r>
              <w:rPr>
                <w:rFonts w:ascii="Arial" w:cs="Arial" w:eastAsia="Arial" w:hAnsi="Arial"/>
                <w:sz w:val="14"/>
                <w:szCs w:val="14"/>
                <w:b w:val="1"/>
                <w:bCs w:val="1"/>
                <w:color w:val="auto"/>
              </w:rPr>
              <w:t>Fee Categories</w:t>
            </w:r>
          </w:p>
        </w:tc>
        <w:tc>
          <w:tcPr>
            <w:tcW w:w="4100" w:type="dxa"/>
            <w:vAlign w:val="bottom"/>
            <w:shd w:val="clear" w:color="auto" w:fill="FFE8F5"/>
          </w:tcPr>
          <w:p>
            <w:pPr>
              <w:jc w:val="right"/>
              <w:ind w:right="268"/>
              <w:spacing w:after="0"/>
              <w:rPr>
                <w:sz w:val="20"/>
                <w:szCs w:val="20"/>
                <w:color w:val="auto"/>
              </w:rPr>
            </w:pPr>
            <w:r>
              <w:rPr>
                <w:rFonts w:ascii="Arial" w:cs="Arial" w:eastAsia="Arial" w:hAnsi="Arial"/>
                <w:sz w:val="14"/>
                <w:szCs w:val="14"/>
                <w:b w:val="1"/>
                <w:bCs w:val="1"/>
                <w:color w:val="auto"/>
              </w:rPr>
              <w:t>FY25 Fees</w:t>
            </w:r>
          </w:p>
        </w:tc>
        <w:tc>
          <w:tcPr>
            <w:tcW w:w="1140" w:type="dxa"/>
            <w:vAlign w:val="bottom"/>
            <w:shd w:val="clear" w:color="auto" w:fill="FFE8F5"/>
          </w:tcPr>
          <w:p>
            <w:pPr>
              <w:jc w:val="right"/>
              <w:ind w:right="108"/>
              <w:spacing w:after="0"/>
              <w:rPr>
                <w:sz w:val="20"/>
                <w:szCs w:val="20"/>
                <w:color w:val="auto"/>
              </w:rPr>
            </w:pPr>
            <w:r>
              <w:rPr>
                <w:rFonts w:ascii="Arial" w:cs="Arial" w:eastAsia="Arial" w:hAnsi="Arial"/>
                <w:sz w:val="14"/>
                <w:szCs w:val="14"/>
                <w:b w:val="1"/>
                <w:bCs w:val="1"/>
                <w:color w:val="auto"/>
              </w:rPr>
              <w:t>FY24 Fees</w:t>
            </w:r>
          </w:p>
        </w:tc>
      </w:tr>
      <w:tr>
        <w:trPr>
          <w:trHeight w:val="69"/>
        </w:trPr>
        <w:tc>
          <w:tcPr>
            <w:tcW w:w="4260" w:type="dxa"/>
            <w:vAlign w:val="bottom"/>
            <w:tcBorders>
              <w:bottom w:val="single" w:sz="8" w:color="auto"/>
            </w:tcBorders>
            <w:shd w:val="clear" w:color="auto" w:fill="FFE8F5"/>
          </w:tcPr>
          <w:p>
            <w:pPr>
              <w:spacing w:after="0"/>
              <w:rPr>
                <w:sz w:val="6"/>
                <w:szCs w:val="6"/>
                <w:color w:val="auto"/>
              </w:rPr>
            </w:pPr>
          </w:p>
        </w:tc>
        <w:tc>
          <w:tcPr>
            <w:tcW w:w="4100" w:type="dxa"/>
            <w:vAlign w:val="bottom"/>
            <w:tcBorders>
              <w:bottom w:val="single" w:sz="8" w:color="auto"/>
            </w:tcBorders>
            <w:shd w:val="clear" w:color="auto" w:fill="FFE8F5"/>
          </w:tcPr>
          <w:p>
            <w:pPr>
              <w:spacing w:after="0"/>
              <w:rPr>
                <w:sz w:val="6"/>
                <w:szCs w:val="6"/>
                <w:color w:val="auto"/>
              </w:rPr>
            </w:pPr>
          </w:p>
        </w:tc>
        <w:tc>
          <w:tcPr>
            <w:tcW w:w="1140" w:type="dxa"/>
            <w:vAlign w:val="bottom"/>
            <w:tcBorders>
              <w:bottom w:val="single" w:sz="8" w:color="auto"/>
            </w:tcBorders>
            <w:shd w:val="clear" w:color="auto" w:fill="FFE8F5"/>
          </w:tcPr>
          <w:p>
            <w:pPr>
              <w:spacing w:after="0"/>
              <w:rPr>
                <w:sz w:val="6"/>
                <w:szCs w:val="6"/>
                <w:color w:val="auto"/>
              </w:rPr>
            </w:pPr>
          </w:p>
        </w:tc>
      </w:tr>
      <w:tr>
        <w:trPr>
          <w:trHeight w:val="269"/>
        </w:trPr>
        <w:tc>
          <w:tcPr>
            <w:tcW w:w="4260" w:type="dxa"/>
            <w:vAlign w:val="bottom"/>
          </w:tcPr>
          <w:p>
            <w:pPr>
              <w:ind w:left="160"/>
              <w:spacing w:after="0"/>
              <w:rPr>
                <w:sz w:val="20"/>
                <w:szCs w:val="20"/>
                <w:color w:val="auto"/>
              </w:rPr>
            </w:pPr>
            <w:r>
              <w:rPr>
                <w:rFonts w:ascii="Arial" w:cs="Arial" w:eastAsia="Arial" w:hAnsi="Arial"/>
                <w:sz w:val="14"/>
                <w:szCs w:val="14"/>
                <w:color w:val="auto"/>
              </w:rPr>
              <w:t>Audit fees</w:t>
            </w:r>
          </w:p>
        </w:tc>
        <w:tc>
          <w:tcPr>
            <w:tcW w:w="4100" w:type="dxa"/>
            <w:vAlign w:val="bottom"/>
          </w:tcPr>
          <w:p>
            <w:pPr>
              <w:jc w:val="right"/>
              <w:ind w:right="188"/>
              <w:spacing w:after="0"/>
              <w:rPr>
                <w:sz w:val="20"/>
                <w:szCs w:val="20"/>
                <w:color w:val="auto"/>
              </w:rPr>
            </w:pPr>
            <w:r>
              <w:rPr>
                <w:rFonts w:ascii="Arial" w:cs="Arial" w:eastAsia="Arial" w:hAnsi="Arial"/>
                <w:sz w:val="14"/>
                <w:szCs w:val="14"/>
                <w:color w:val="auto"/>
              </w:rPr>
              <w:t>$1,930,000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$1,279,000</w:t>
            </w:r>
          </w:p>
        </w:tc>
      </w:tr>
      <w:tr>
        <w:trPr>
          <w:trHeight w:val="76"/>
        </w:trPr>
        <w:tc>
          <w:tcPr>
            <w:tcW w:w="426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5"/>
        </w:trPr>
        <w:tc>
          <w:tcPr>
            <w:tcW w:w="4260" w:type="dxa"/>
            <w:vAlign w:val="bottom"/>
          </w:tcPr>
          <w:p>
            <w:pPr>
              <w:ind w:left="160"/>
              <w:spacing w:after="0"/>
              <w:rPr>
                <w:sz w:val="20"/>
                <w:szCs w:val="20"/>
                <w:color w:val="auto"/>
              </w:rPr>
            </w:pPr>
            <w:r>
              <w:rPr>
                <w:rFonts w:ascii="Arial" w:cs="Arial" w:eastAsia="Arial" w:hAnsi="Arial"/>
                <w:sz w:val="14"/>
                <w:szCs w:val="14"/>
                <w:color w:val="auto"/>
              </w:rPr>
              <w:t>Tax fees</w:t>
            </w:r>
          </w:p>
        </w:tc>
        <w:tc>
          <w:tcPr>
            <w:tcW w:w="4100" w:type="dxa"/>
            <w:vAlign w:val="bottom"/>
          </w:tcPr>
          <w:p>
            <w:pPr>
              <w:jc w:val="right"/>
              <w:ind w:right="188"/>
              <w:spacing w:after="0"/>
              <w:rPr>
                <w:sz w:val="20"/>
                <w:szCs w:val="20"/>
                <w:color w:val="auto"/>
              </w:rPr>
            </w:pPr>
            <w:r>
              <w:rPr>
                <w:rFonts w:ascii="Arial" w:cs="Arial" w:eastAsia="Arial" w:hAnsi="Arial"/>
                <w:sz w:val="14"/>
                <w:szCs w:val="14"/>
                <w:color w:val="auto"/>
              </w:rPr>
              <w:t>$127,400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$108,950</w:t>
            </w:r>
          </w:p>
        </w:tc>
      </w:tr>
      <w:tr>
        <w:trPr>
          <w:trHeight w:val="75"/>
        </w:trPr>
        <w:tc>
          <w:tcPr>
            <w:tcW w:w="426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5"/>
        </w:trPr>
        <w:tc>
          <w:tcPr>
            <w:tcW w:w="4260" w:type="dxa"/>
            <w:vAlign w:val="bottom"/>
          </w:tcPr>
          <w:p>
            <w:pPr>
              <w:ind w:left="160"/>
              <w:spacing w:after="0"/>
              <w:rPr>
                <w:sz w:val="20"/>
                <w:szCs w:val="20"/>
                <w:color w:val="auto"/>
              </w:rPr>
            </w:pPr>
            <w:r>
              <w:rPr>
                <w:rFonts w:ascii="Arial" w:cs="Arial" w:eastAsia="Arial" w:hAnsi="Arial"/>
                <w:sz w:val="14"/>
                <w:szCs w:val="14"/>
                <w:color w:val="auto"/>
              </w:rPr>
              <w:t>All other fees</w:t>
            </w:r>
          </w:p>
        </w:tc>
        <w:tc>
          <w:tcPr>
            <w:tcW w:w="4100" w:type="dxa"/>
            <w:vAlign w:val="bottom"/>
          </w:tcPr>
          <w:p>
            <w:pPr>
              <w:jc w:val="right"/>
              <w:ind w:right="188"/>
              <w:spacing w:after="0"/>
              <w:rPr>
                <w:sz w:val="20"/>
                <w:szCs w:val="20"/>
                <w:color w:val="auto"/>
              </w:rPr>
            </w:pPr>
            <w:r>
              <w:rPr>
                <w:rFonts w:ascii="Arial" w:cs="Arial" w:eastAsia="Arial" w:hAnsi="Arial"/>
                <w:sz w:val="14"/>
                <w:szCs w:val="14"/>
                <w:color w:val="auto"/>
              </w:rPr>
              <w:t>$2,178</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$2,900</w:t>
            </w:r>
          </w:p>
        </w:tc>
      </w:tr>
      <w:tr>
        <w:trPr>
          <w:trHeight w:val="76"/>
        </w:trPr>
        <w:tc>
          <w:tcPr>
            <w:tcW w:w="4260" w:type="dxa"/>
            <w:vAlign w:val="bottom"/>
            <w:tcBorders>
              <w:bottom w:val="single" w:sz="8" w:color="auto"/>
            </w:tcBorders>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5"/>
        </w:trPr>
        <w:tc>
          <w:tcPr>
            <w:tcW w:w="4260" w:type="dxa"/>
            <w:vAlign w:val="bottom"/>
          </w:tcPr>
          <w:p>
            <w:pPr>
              <w:ind w:left="160"/>
              <w:spacing w:after="0"/>
              <w:rPr>
                <w:sz w:val="20"/>
                <w:szCs w:val="20"/>
                <w:color w:val="auto"/>
              </w:rPr>
            </w:pPr>
            <w:r>
              <w:rPr>
                <w:rFonts w:ascii="Arial" w:cs="Arial" w:eastAsia="Arial" w:hAnsi="Arial"/>
                <w:sz w:val="14"/>
                <w:szCs w:val="14"/>
                <w:color w:val="auto"/>
              </w:rPr>
              <w:t>Total fees</w:t>
            </w:r>
          </w:p>
        </w:tc>
        <w:tc>
          <w:tcPr>
            <w:tcW w:w="4100" w:type="dxa"/>
            <w:vAlign w:val="bottom"/>
          </w:tcPr>
          <w:p>
            <w:pPr>
              <w:jc w:val="right"/>
              <w:ind w:right="188"/>
              <w:spacing w:after="0"/>
              <w:rPr>
                <w:sz w:val="20"/>
                <w:szCs w:val="20"/>
                <w:color w:val="auto"/>
              </w:rPr>
            </w:pPr>
            <w:r>
              <w:rPr>
                <w:rFonts w:ascii="Arial" w:cs="Arial" w:eastAsia="Arial" w:hAnsi="Arial"/>
                <w:sz w:val="14"/>
                <w:szCs w:val="14"/>
                <w:color w:val="auto"/>
              </w:rPr>
              <w:t>$2,059,578</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$1,390,850</w:t>
            </w:r>
          </w:p>
        </w:tc>
      </w:tr>
      <w:tr>
        <w:trPr>
          <w:trHeight w:val="35"/>
        </w:trPr>
        <w:tc>
          <w:tcPr>
            <w:tcW w:w="426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20" w:right="420"/>
        <w:spacing w:after="0" w:line="244" w:lineRule="auto"/>
        <w:rPr>
          <w:sz w:val="20"/>
          <w:szCs w:val="20"/>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 These amounts consist of fees and expenses for professional services necessary to perform an audit or</w:t>
      </w:r>
      <w:r>
        <w:rPr>
          <w:rFonts w:ascii="Arial" w:cs="Arial" w:eastAsia="Arial" w:hAnsi="Arial"/>
          <w:sz w:val="18"/>
          <w:szCs w:val="18"/>
          <w:b w:val="1"/>
          <w:bCs w:val="1"/>
          <w:color w:val="auto"/>
        </w:rPr>
        <w:t xml:space="preserve"> </w:t>
      </w:r>
      <w:r>
        <w:rPr>
          <w:rFonts w:ascii="Arial" w:cs="Arial" w:eastAsia="Arial" w:hAnsi="Arial"/>
          <w:sz w:val="18"/>
          <w:szCs w:val="18"/>
          <w:color w:val="auto"/>
        </w:rPr>
        <w:t>review in accordance with the standards of the PCAOB, including services rendered for the audit of RTR’s annual financial statements and review of quarterly financial statements starting in fiscal year 2024. These amounts also include fees for services that are normally incurred in connection with regulatory filings, such as comfort letters, consents, and review of documents filed with the SEC, and service fees related to specific transactions and events.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Tax fees</w:t>
      </w:r>
      <w:r>
        <w:rPr>
          <w:rFonts w:ascii="Arial" w:cs="Arial" w:eastAsia="Arial" w:hAnsi="Arial"/>
          <w:sz w:val="18"/>
          <w:szCs w:val="18"/>
          <w:color w:val="auto"/>
        </w:rPr>
        <w:t>. These amounts consist of fees for tax compliance, tax planning, and tax advice.</w:t>
      </w:r>
    </w:p>
    <w:p>
      <w:pPr>
        <w:spacing w:after="0" w:line="185" w:lineRule="exact"/>
        <w:rPr>
          <w:sz w:val="20"/>
          <w:szCs w:val="20"/>
          <w:color w:val="auto"/>
        </w:rPr>
      </w:pPr>
    </w:p>
    <w:p>
      <w:pPr>
        <w:ind w:left="20" w:right="220"/>
        <w:spacing w:after="0" w:line="271" w:lineRule="auto"/>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8"/>
          <w:szCs w:val="18"/>
          <w:color w:val="auto"/>
        </w:rPr>
        <w:t>. These amounts consist of the aggregate fees for access to disclosure requirements software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provided by PwC.</w:t>
      </w:r>
    </w:p>
    <w:p>
      <w:pPr>
        <w:spacing w:after="0" w:line="2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60"/>
          </w:cols>
          <w:pgMar w:left="1180" w:top="114" w:right="10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Pre-Approval Policies and Procedures</w:t>
      </w:r>
    </w:p>
    <w:p>
      <w:pPr>
        <w:spacing w:after="0" w:line="199"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The Audit Committee is required to pre-approve all audit and non-audit services performed by PwC to ensure that the provision of such services does not impair the public accounting firm’s independence. The Audit Committee pre-approved all of the services described above.</w:t>
      </w:r>
    </w:p>
    <w:p>
      <w:pPr>
        <w:spacing w:after="0" w:line="132" w:lineRule="exact"/>
        <w:rPr>
          <w:sz w:val="20"/>
          <w:szCs w:val="20"/>
          <w:color w:val="auto"/>
        </w:rPr>
      </w:pPr>
    </w:p>
    <w:p>
      <w:pPr>
        <w:jc w:val="both"/>
        <w:ind w:left="20"/>
        <w:spacing w:after="0" w:line="251" w:lineRule="auto"/>
        <w:rPr>
          <w:sz w:val="20"/>
          <w:szCs w:val="20"/>
          <w:color w:val="auto"/>
        </w:rPr>
      </w:pPr>
      <w:r>
        <w:rPr>
          <w:rFonts w:ascii="Arial" w:cs="Arial" w:eastAsia="Arial" w:hAnsi="Arial"/>
          <w:sz w:val="22"/>
          <w:szCs w:val="22"/>
          <w:b w:val="1"/>
          <w:bCs w:val="1"/>
          <w:color w:val="auto"/>
        </w:rPr>
        <w:t>The Board of Directors recommends that you vote “FOR” the ratification of the appointment of PricewaterhouseCoopers LLP as independent registered public accounting firm for fiscal year 2026.</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114" w:right="1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060"/>
        <w:spacing w:after="0" w:line="273" w:lineRule="auto"/>
        <w:rPr>
          <w:sz w:val="20"/>
          <w:szCs w:val="20"/>
          <w:color w:val="auto"/>
        </w:rPr>
      </w:pPr>
      <w:r>
        <w:rPr>
          <w:rFonts w:ascii="Arial" w:cs="Arial" w:eastAsia="Arial" w:hAnsi="Arial"/>
          <w:sz w:val="65"/>
          <w:szCs w:val="65"/>
          <w:b w:val="1"/>
          <w:bCs w:val="1"/>
          <w:color w:val="auto"/>
        </w:rPr>
        <w:t>Introduction to Proposals 3 through 11</w:t>
      </w:r>
    </w:p>
    <w:p>
      <w:pPr>
        <w:spacing w:after="0" w:line="2"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Pursuant to the law of the State of Delaware, our state of incorporation, the Board must adopt any amendment to the Charter and submit the amendment to stockholders for their approval. Our Board has unanimously adopted, declaring the advisability of, and is recommending, in Proposals 3 through 11, that our stockholders approve certain amendments to our Charter, as more fully described in each Proposal. For each of Proposal 3 through 11, the form of the proposed amendments to our Charter is attached to this proxy statement.</w:t>
      </w:r>
    </w:p>
    <w:p>
      <w:pPr>
        <w:spacing w:after="0" w:line="149"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We are submitting each of the amendments described in Proposals 3 through 11 to stockholders as separate and independent Proposals, and none of Proposals 3 through 11 is conditioned on the approval of the others. Each of the proposed amendments set forth in Proposals 3 through 11 that are approved by the Company’s stockholders at the Annual Meeting will be reflected in a related certificate of amendment to the Charter and will become effective upon the filing of such certificate of amendment with the Secretary of State of the State of Delaware, which the Company intends to file as soon as reasonably practicable following the Annual Meeting.</w:t>
      </w:r>
    </w:p>
    <w:p>
      <w:pPr>
        <w:spacing w:after="0" w:line="138" w:lineRule="exact"/>
        <w:rPr>
          <w:sz w:val="20"/>
          <w:szCs w:val="20"/>
          <w:color w:val="auto"/>
        </w:rPr>
      </w:pPr>
    </w:p>
    <w:p>
      <w:pPr>
        <w:ind w:left="20" w:right="360"/>
        <w:spacing w:after="0" w:line="271" w:lineRule="auto"/>
        <w:rPr>
          <w:sz w:val="20"/>
          <w:szCs w:val="20"/>
          <w:color w:val="auto"/>
        </w:rPr>
      </w:pPr>
      <w:r>
        <w:rPr>
          <w:rFonts w:ascii="Arial" w:cs="Arial" w:eastAsia="Arial" w:hAnsi="Arial"/>
          <w:sz w:val="18"/>
          <w:szCs w:val="18"/>
          <w:color w:val="auto"/>
        </w:rPr>
        <w:t>The Board also has the authority to abandon any or all proposed amendments to the Charter, notwithstanding prior Board and/or stockholder approval of such amendments.</w:t>
      </w:r>
    </w:p>
    <w:p>
      <w:pPr>
        <w:spacing w:after="0" w:line="113" w:lineRule="exact"/>
        <w:rPr>
          <w:sz w:val="20"/>
          <w:szCs w:val="20"/>
          <w:color w:val="auto"/>
        </w:rPr>
      </w:pPr>
    </w:p>
    <w:p>
      <w:pPr>
        <w:ind w:left="20" w:right="240"/>
        <w:spacing w:after="0" w:line="253" w:lineRule="auto"/>
        <w:rPr>
          <w:sz w:val="20"/>
          <w:szCs w:val="20"/>
          <w:color w:val="auto"/>
        </w:rPr>
      </w:pPr>
      <w:r>
        <w:rPr>
          <w:rFonts w:ascii="Arial" w:cs="Arial" w:eastAsia="Arial" w:hAnsi="Arial"/>
          <w:sz w:val="18"/>
          <w:szCs w:val="18"/>
          <w:color w:val="auto"/>
        </w:rPr>
        <w:t>If the stockholders approve Proposals 4, 5, 6, 7, 8, 10, and 11 and the Board enacts the amendments to the Charter, the Board intends to approve conforming amendments to the Bylaws to update the corresponding provisions in the Bylaws.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3</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Class B Stock Elimination</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180"/>
        <w:spacing w:after="0" w:line="247" w:lineRule="auto"/>
        <w:rPr>
          <w:sz w:val="20"/>
          <w:szCs w:val="20"/>
          <w:color w:val="auto"/>
        </w:rPr>
      </w:pPr>
      <w:r>
        <w:rPr>
          <w:rFonts w:ascii="Arial" w:cs="Arial" w:eastAsia="Arial" w:hAnsi="Arial"/>
          <w:sz w:val="18"/>
          <w:szCs w:val="18"/>
          <w:color w:val="auto"/>
        </w:rPr>
        <w:t>In this Proposal, we are seeking stockholder approval to amend the Charter to eliminate the 50,000,000 authorized shares of our Class B common stock, none of which are currently outstanding, and eliminate all references to the Class B common stock, including but not limited to provisions relating to the rights, preferences and limitations of the Class B common stock, or the Class B Stock Elimination Proposal.</w:t>
      </w:r>
    </w:p>
    <w:p>
      <w:pPr>
        <w:spacing w:after="0" w:line="147"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B-1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85" w:lineRule="exact"/>
        <w:rPr>
          <w:sz w:val="20"/>
          <w:szCs w:val="20"/>
          <w:color w:val="auto"/>
        </w:rPr>
      </w:pPr>
    </w:p>
    <w:p>
      <w:pPr>
        <w:ind w:left="20" w:right="260"/>
        <w:spacing w:after="0"/>
        <w:rPr>
          <w:sz w:val="20"/>
          <w:szCs w:val="20"/>
          <w:color w:val="auto"/>
        </w:rPr>
      </w:pPr>
      <w:r>
        <w:rPr>
          <w:rFonts w:ascii="Arial" w:cs="Arial" w:eastAsia="Arial" w:hAnsi="Arial"/>
          <w:sz w:val="18"/>
          <w:szCs w:val="18"/>
          <w:color w:val="auto"/>
        </w:rPr>
        <w:t>Our Charter currently authorizes 50,000,000 shares of Class B common stock, par value $0.001 per share (the “Class B Common Stock”). In connection with the closing of the Recapitalization Transactions, all of the outstanding Class B Common Stock was converted into shares of Class A common stock on a one-for-one-basis, such that no shares of Class B Common Stock remain outstanding. As a result, there are currently no shares of our Class B Common Stock outstanding. In addition, the Company currently has no plans or intentions to issue any shares of Class B Common Stock in the future. The Board has proposed the amendment because it believes the dual class structure and continuing reference to the Class B Common Stock in the Charter is unnecessary, burdensome and potentially confusing to investors and the capital markets.</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Appraisal Rights</w:t>
      </w:r>
    </w:p>
    <w:p>
      <w:pPr>
        <w:spacing w:after="0" w:line="185" w:lineRule="exact"/>
        <w:rPr>
          <w:sz w:val="20"/>
          <w:szCs w:val="20"/>
          <w:color w:val="auto"/>
        </w:rPr>
      </w:pPr>
    </w:p>
    <w:p>
      <w:pPr>
        <w:jc w:val="both"/>
        <w:ind w:left="20" w:right="540"/>
        <w:spacing w:after="0" w:line="301" w:lineRule="auto"/>
        <w:rPr>
          <w:sz w:val="20"/>
          <w:szCs w:val="20"/>
          <w:color w:val="auto"/>
        </w:rPr>
      </w:pPr>
      <w:r>
        <w:rPr>
          <w:rFonts w:ascii="Arial" w:cs="Arial" w:eastAsia="Arial" w:hAnsi="Arial"/>
          <w:sz w:val="17"/>
          <w:szCs w:val="17"/>
          <w:color w:val="auto"/>
        </w:rPr>
        <w:t>Under Delaware law, our stockholders are not entitled to dissenter’s rights or appraisal rights with respect to the Class B Stock Elimination Proposal and we will not independently provide our stockholders with any such rights.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Interest of Certain Persons in Matters to be Acted Upon</w:t>
      </w:r>
    </w:p>
    <w:p>
      <w:pPr>
        <w:spacing w:after="0" w:line="185" w:lineRule="exact"/>
        <w:rPr>
          <w:sz w:val="20"/>
          <w:szCs w:val="20"/>
          <w:color w:val="auto"/>
        </w:rPr>
      </w:pPr>
    </w:p>
    <w:p>
      <w:pPr>
        <w:ind w:left="20" w:right="280"/>
        <w:spacing w:after="0" w:line="271" w:lineRule="auto"/>
        <w:rPr>
          <w:sz w:val="20"/>
          <w:szCs w:val="20"/>
          <w:color w:val="auto"/>
        </w:rPr>
      </w:pPr>
      <w:r>
        <w:rPr>
          <w:rFonts w:ascii="Arial" w:cs="Arial" w:eastAsia="Arial" w:hAnsi="Arial"/>
          <w:sz w:val="18"/>
          <w:szCs w:val="18"/>
          <w:color w:val="auto"/>
        </w:rPr>
        <w:t>No officer or director has any substantial interest, direct or indirect, by security holdings or otherwise, in the Class B Stock Elimination Proposal that is not shared by all of our other stockholders.</w:t>
      </w:r>
    </w:p>
    <w:p>
      <w:pPr>
        <w:spacing w:after="0" w:line="103" w:lineRule="exact"/>
        <w:rPr>
          <w:sz w:val="20"/>
          <w:szCs w:val="20"/>
          <w:color w:val="auto"/>
        </w:rPr>
      </w:pPr>
    </w:p>
    <w:p>
      <w:pPr>
        <w:ind w:left="20" w:right="66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Class B Stock Elimination Proposal.</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114"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4</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Preferred Stock</w:t>
      </w:r>
    </w:p>
    <w:p>
      <w:pPr>
        <w:ind w:left="20"/>
        <w:spacing w:after="0"/>
        <w:rPr>
          <w:sz w:val="20"/>
          <w:szCs w:val="20"/>
          <w:color w:val="auto"/>
        </w:rPr>
      </w:pPr>
      <w:r>
        <w:rPr>
          <w:rFonts w:ascii="Arial" w:cs="Arial" w:eastAsia="Arial" w:hAnsi="Arial"/>
          <w:sz w:val="65"/>
          <w:szCs w:val="65"/>
          <w:b w:val="1"/>
          <w:bCs w:val="1"/>
          <w:color w:val="auto"/>
        </w:rPr>
        <w:t>Elimination Proposal</w:t>
      </w:r>
    </w:p>
    <w:p>
      <w:pPr>
        <w:spacing w:after="0" w:line="144"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In this Proposal, we are seeking stockholder approval to amend the Charter to eliminate the 10,000,000 authorized shares of our preferred stock, none of which are currently outstanding, and eliminate all references to the preferred stock, including but not limited to provisions relating to the rights, preferences and limitations of the preferred stock, or the Preferred Stock Elimination Proposal.</w:t>
      </w:r>
    </w:p>
    <w:p>
      <w:pPr>
        <w:spacing w:after="0" w:line="147"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B-2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Charter currently authorizes 10,000,000 shares of preferred stock, par value $0.001 per share (the “Preferred Stock”). In connection with the closing of the Recapitalization Transactions, all of the outstanding Preferred Stock, if any, was converted into shares of Class A common stock on a one-for-one-basis, such that no shares of Preferred Stock remain outstanding. As a result, there are currently no shares of our Preferred Stock outstanding. In addition, the Company currently has no plans or intentions to issue any shares of Preferred Stock in the future. The Board has proposed the amendment because it believes the continuing reference to the Preferred Stock in the Charter is unnecessary, burdensome and potentially confusing to investors and the capital markets.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Appraisal Rights</w:t>
      </w:r>
    </w:p>
    <w:p>
      <w:pPr>
        <w:spacing w:after="0" w:line="185" w:lineRule="exact"/>
        <w:rPr>
          <w:sz w:val="20"/>
          <w:szCs w:val="20"/>
          <w:color w:val="auto"/>
        </w:rPr>
      </w:pPr>
    </w:p>
    <w:p>
      <w:pPr>
        <w:ind w:left="20" w:right="420"/>
        <w:spacing w:after="0" w:line="271" w:lineRule="auto"/>
        <w:rPr>
          <w:sz w:val="20"/>
          <w:szCs w:val="20"/>
          <w:color w:val="auto"/>
        </w:rPr>
      </w:pPr>
      <w:r>
        <w:rPr>
          <w:rFonts w:ascii="Arial" w:cs="Arial" w:eastAsia="Arial" w:hAnsi="Arial"/>
          <w:sz w:val="18"/>
          <w:szCs w:val="18"/>
          <w:color w:val="auto"/>
        </w:rPr>
        <w:t>Under Delaware law, our stockholders are not entitled to dissenter’s rights or appraisal rights with respect to the Preferred Stock Elimination Proposal and we will not independently provide our stockholders with any such rights.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Interest of Certain Persons in Matters to be Acted Upon</w:t>
      </w:r>
    </w:p>
    <w:p>
      <w:pPr>
        <w:spacing w:after="0" w:line="185" w:lineRule="exact"/>
        <w:rPr>
          <w:sz w:val="20"/>
          <w:szCs w:val="20"/>
          <w:color w:val="auto"/>
        </w:rPr>
      </w:pPr>
    </w:p>
    <w:p>
      <w:pPr>
        <w:ind w:left="20" w:right="180"/>
        <w:spacing w:after="0" w:line="271" w:lineRule="auto"/>
        <w:rPr>
          <w:sz w:val="20"/>
          <w:szCs w:val="20"/>
          <w:color w:val="auto"/>
        </w:rPr>
      </w:pPr>
      <w:r>
        <w:rPr>
          <w:rFonts w:ascii="Arial" w:cs="Arial" w:eastAsia="Arial" w:hAnsi="Arial"/>
          <w:sz w:val="18"/>
          <w:szCs w:val="18"/>
          <w:color w:val="auto"/>
        </w:rPr>
        <w:t>No officer or director has any substantial interest, direct or indirect, by security holdings or otherwise, in the Preferred Stock Elimination Proposal that is not shared by all of our other stockholders.</w:t>
      </w:r>
    </w:p>
    <w:p>
      <w:pPr>
        <w:spacing w:after="0" w:line="103" w:lineRule="exact"/>
        <w:rPr>
          <w:sz w:val="20"/>
          <w:szCs w:val="20"/>
          <w:color w:val="auto"/>
        </w:rPr>
      </w:pPr>
    </w:p>
    <w:p>
      <w:pPr>
        <w:ind w:left="20" w:right="52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Preferred Stock Elimination Proposal.</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5</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Supermajority Voting</w:t>
      </w:r>
    </w:p>
    <w:p>
      <w:pPr>
        <w:ind w:left="20"/>
        <w:spacing w:after="0"/>
        <w:rPr>
          <w:sz w:val="20"/>
          <w:szCs w:val="20"/>
          <w:color w:val="auto"/>
        </w:rPr>
      </w:pPr>
      <w:r>
        <w:rPr>
          <w:rFonts w:ascii="Arial" w:cs="Arial" w:eastAsia="Arial" w:hAnsi="Arial"/>
          <w:sz w:val="65"/>
          <w:szCs w:val="65"/>
          <w:b w:val="1"/>
          <w:bCs w:val="1"/>
          <w:color w:val="auto"/>
        </w:rPr>
        <w:t>Elimination Proposal</w:t>
      </w:r>
    </w:p>
    <w:p>
      <w:pPr>
        <w:spacing w:after="0" w:line="144" w:lineRule="exact"/>
        <w:rPr>
          <w:sz w:val="20"/>
          <w:szCs w:val="20"/>
          <w:color w:val="auto"/>
        </w:rPr>
      </w:pPr>
    </w:p>
    <w:p>
      <w:pPr>
        <w:ind w:left="20" w:right="260"/>
        <w:spacing w:after="0" w:line="271" w:lineRule="auto"/>
        <w:rPr>
          <w:sz w:val="20"/>
          <w:szCs w:val="20"/>
          <w:color w:val="auto"/>
        </w:rPr>
      </w:pPr>
      <w:r>
        <w:rPr>
          <w:rFonts w:ascii="Arial" w:cs="Arial" w:eastAsia="Arial" w:hAnsi="Arial"/>
          <w:sz w:val="18"/>
          <w:szCs w:val="18"/>
          <w:color w:val="auto"/>
        </w:rPr>
        <w:t>In this Proposal, we are seeking stockholder approval to amend the Charter to eliminate certain supermajority voting provisions, or the Supermajority Voting Elimination Proposal.</w:t>
      </w:r>
    </w:p>
    <w:p>
      <w:pPr>
        <w:spacing w:after="0" w:line="127" w:lineRule="exact"/>
        <w:rPr>
          <w:sz w:val="20"/>
          <w:szCs w:val="20"/>
          <w:color w:val="auto"/>
        </w:rPr>
      </w:pPr>
    </w:p>
    <w:p>
      <w:pPr>
        <w:ind w:left="20" w:right="60"/>
        <w:spacing w:after="0" w:line="253" w:lineRule="auto"/>
        <w:rPr>
          <w:sz w:val="20"/>
          <w:szCs w:val="20"/>
          <w:color w:val="auto"/>
        </w:rPr>
      </w:pPr>
      <w:r>
        <w:rPr>
          <w:rFonts w:ascii="Arial" w:cs="Arial" w:eastAsia="Arial" w:hAnsi="Arial"/>
          <w:sz w:val="18"/>
          <w:szCs w:val="18"/>
          <w:color w:val="auto"/>
        </w:rPr>
        <w:t>Our Charter includes certain supermajority voting provisions requiring the affirmative vote of the holders of at least two-thirds of the voting power of all of the then outstanding shares of voting stock of the Company entitled to vote. Such voting standards are included in:</w:t>
      </w:r>
    </w:p>
    <w:p>
      <w:pPr>
        <w:spacing w:after="0" w:line="128" w:lineRule="exact"/>
        <w:rPr>
          <w:sz w:val="20"/>
          <w:szCs w:val="20"/>
          <w:color w:val="auto"/>
        </w:rPr>
      </w:pPr>
    </w:p>
    <w:p>
      <w:pPr>
        <w:ind w:left="740" w:right="240" w:hanging="359"/>
        <w:spacing w:after="0" w:line="245"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Article V, outlining the vote required to approve any adoption, repeal, alteration, amendment or rescission of the Company’s bylaws by the stockholders;</w:t>
      </w:r>
    </w:p>
    <w:p>
      <w:pPr>
        <w:ind w:left="740" w:hanging="359"/>
        <w:spacing w:after="0" w:line="234"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Article VI, section 6.6, outlining the vote required to remove directors for cause; and</w:t>
      </w:r>
    </w:p>
    <w:p>
      <w:pPr>
        <w:ind w:left="740" w:right="400" w:hanging="359"/>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Article VIII, outlining the vote required, with specified exceptions, to approve the adoption, amendment, or repeal of the Charter.</w:t>
      </w:r>
    </w:p>
    <w:p>
      <w:pPr>
        <w:spacing w:after="0" w:line="131"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This Proposal is intended to eliminate the foregoing supermajority voting. The form of the proposed amendments to our Charter to reflect the changes contemplated by this Proposal are attached to this proxy statement as Annex B-3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71" w:lineRule="exact"/>
        <w:rPr>
          <w:sz w:val="20"/>
          <w:szCs w:val="20"/>
          <w:color w:val="auto"/>
        </w:rPr>
      </w:pPr>
    </w:p>
    <w:p>
      <w:pPr>
        <w:ind w:left="20" w:right="100"/>
        <w:spacing w:after="0" w:line="242" w:lineRule="auto"/>
        <w:rPr>
          <w:sz w:val="20"/>
          <w:szCs w:val="20"/>
          <w:color w:val="auto"/>
        </w:rPr>
      </w:pPr>
      <w:r>
        <w:rPr>
          <w:rFonts w:ascii="Arial" w:cs="Arial" w:eastAsia="Arial" w:hAnsi="Arial"/>
          <w:sz w:val="18"/>
          <w:szCs w:val="18"/>
          <w:color w:val="auto"/>
        </w:rPr>
        <w:t>The Board has carefully considered the advantages and disadvantages of maintaining the supermajority voting provisions in our Charter and our Bylaws. While the higher voting requirements are intended to ensure that certain fundamental matters are supported by a broad consensus of the Company’s stockholders, our Board recognizes that there are different perspectives on this matter. After weighing these considerations, our Board has determined that it is in the best interests of the Company and its stockholders to amend our Charter to eliminate the supermajority voting requirements.</w:t>
      </w:r>
    </w:p>
    <w:p>
      <w:pPr>
        <w:spacing w:after="0" w:line="142" w:lineRule="exact"/>
        <w:rPr>
          <w:sz w:val="20"/>
          <w:szCs w:val="20"/>
          <w:color w:val="auto"/>
        </w:rPr>
      </w:pPr>
    </w:p>
    <w:p>
      <w:pPr>
        <w:ind w:left="2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Supermajority Voting Elimination Proposal.</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6</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Board Quorum Proposal</w:t>
      </w:r>
    </w:p>
    <w:p>
      <w:pPr>
        <w:spacing w:after="0" w:line="144" w:lineRule="exact"/>
        <w:rPr>
          <w:sz w:val="20"/>
          <w:szCs w:val="20"/>
          <w:color w:val="auto"/>
        </w:rPr>
      </w:pPr>
    </w:p>
    <w:p>
      <w:pPr>
        <w:ind w:left="20" w:right="500"/>
        <w:spacing w:after="0" w:line="271" w:lineRule="auto"/>
        <w:rPr>
          <w:sz w:val="20"/>
          <w:szCs w:val="20"/>
          <w:color w:val="auto"/>
        </w:rPr>
      </w:pPr>
      <w:r>
        <w:rPr>
          <w:rFonts w:ascii="Arial" w:cs="Arial" w:eastAsia="Arial" w:hAnsi="Arial"/>
          <w:sz w:val="18"/>
          <w:szCs w:val="18"/>
          <w:color w:val="auto"/>
        </w:rPr>
        <w:t>In this Proposal, we are seeking stockholder approval to amend the Charter to establish quorum requirements for directors to take action at all meetings of the Board of Directors, or the Board Quorum Proposal.</w:t>
      </w:r>
    </w:p>
    <w:p>
      <w:pPr>
        <w:spacing w:after="0" w:line="127"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B-4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85"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The current Charter is silent on the quorum required for the transaction of business at all meetings of the Board of Directors. The Company’s Bylaws currently state that at all meetings of the Board of Directors, a majority of the Whole Board of Directors (which is defined as the total number of authorized directors whether or not there exist any vacancies in previously authorized directorships) shall constitute a quorum for the transaction of business; provided that, solely for the purposes of filling vacancies, a meeting of the Board of Directors may be held if a majority of the directors then in office participate in such meeting.</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Quorum Proposal is intended to amend the Charter to provide that:</w:t>
      </w:r>
    </w:p>
    <w:p>
      <w:pPr>
        <w:spacing w:after="0" w:line="171" w:lineRule="exact"/>
        <w:rPr>
          <w:sz w:val="20"/>
          <w:szCs w:val="20"/>
          <w:color w:val="auto"/>
        </w:rPr>
      </w:pPr>
    </w:p>
    <w:p>
      <w:pPr>
        <w:ind w:left="740" w:right="140" w:hanging="359"/>
        <w:spacing w:after="0" w:line="245"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all meetings of the Board of Directors, a majority of the Whole Board of Directors shall constitute a quorum for the transaction of business;</w:t>
      </w:r>
    </w:p>
    <w:p>
      <w:pPr>
        <w:ind w:left="740" w:hanging="359"/>
        <w:spacing w:after="0" w:line="23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 long as Nexus has the right to appoint the Nexus Director in accordance with the Investor Rights Agreement, the Nexus Director must be present (in person or by means of conference telephone or other communications equipment by means of which all Persons participating in the meeting can hear each other) at any meeting of the Board of Directors for a quorum to exist; and</w:t>
      </w:r>
    </w:p>
    <w:p>
      <w:pPr>
        <w:spacing w:after="0" w:line="2" w:lineRule="exact"/>
        <w:rPr>
          <w:rFonts w:ascii="Arial" w:cs="Arial" w:eastAsia="Arial" w:hAnsi="Arial"/>
          <w:sz w:val="18"/>
          <w:szCs w:val="18"/>
          <w:color w:val="auto"/>
        </w:rPr>
      </w:pPr>
    </w:p>
    <w:p>
      <w:pPr>
        <w:ind w:left="740" w:hanging="359"/>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 long as STORY3 has the right to appoint the STORY3 Director in accordance with the Investor Rights Agreement, the STORY3 Director must be present (in person or by means of conference telephone or other communications equipment by means of which all Persons participating in the meeting can hear each other) at any meeting of the Board of Directors for a quorum to exist.</w:t>
      </w:r>
    </w:p>
    <w:p>
      <w:pPr>
        <w:spacing w:after="0" w:line="140" w:lineRule="exact"/>
        <w:rPr>
          <w:sz w:val="20"/>
          <w:szCs w:val="20"/>
          <w:color w:val="auto"/>
        </w:rPr>
      </w:pPr>
    </w:p>
    <w:p>
      <w:pPr>
        <w:ind w:left="20" w:right="300"/>
        <w:spacing w:after="0" w:line="247" w:lineRule="auto"/>
        <w:rPr>
          <w:sz w:val="20"/>
          <w:szCs w:val="20"/>
          <w:color w:val="auto"/>
        </w:rPr>
      </w:pPr>
      <w:r>
        <w:rPr>
          <w:rFonts w:ascii="Arial" w:cs="Arial" w:eastAsia="Arial" w:hAnsi="Arial"/>
          <w:sz w:val="18"/>
          <w:szCs w:val="18"/>
          <w:color w:val="auto"/>
        </w:rPr>
        <w:t>Following the consummation of the Recapitalization Transactions, it is important for all members of the Board and representatives of the Investor Group to be able to actively participate in decisions made by the Board. Revising the quorum requirement to ensure that all designated directors under the Investor Rights Agreement are available will ensure that appropriate investor representation is present to maintain governance integrity.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Our Board unanimously recommends a vote “FOR” the approval of the Board Quorum Proposal.</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7</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Special Meeting Proposal</w:t>
      </w:r>
    </w:p>
    <w:p>
      <w:pPr>
        <w:spacing w:after="0" w:line="144"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In this Proposal, we are seeking stockholder approval to amend the Charter to permit stockholders holding at least 40% of the voting power of all then-outstanding common stock to call special meetings of stockholders of the Company, or the Special Meeting Proposal.</w:t>
      </w:r>
    </w:p>
    <w:p>
      <w:pPr>
        <w:spacing w:after="0" w:line="142" w:lineRule="exact"/>
        <w:rPr>
          <w:sz w:val="20"/>
          <w:szCs w:val="20"/>
          <w:color w:val="auto"/>
        </w:rPr>
      </w:pPr>
    </w:p>
    <w:p>
      <w:pPr>
        <w:ind w:left="20" w:right="200"/>
        <w:spacing w:after="0" w:line="253" w:lineRule="auto"/>
        <w:rPr>
          <w:sz w:val="20"/>
          <w:szCs w:val="20"/>
          <w:color w:val="auto"/>
        </w:rPr>
      </w:pPr>
      <w:r>
        <w:rPr>
          <w:rFonts w:ascii="Arial" w:cs="Arial" w:eastAsia="Arial" w:hAnsi="Arial"/>
          <w:sz w:val="18"/>
          <w:szCs w:val="18"/>
          <w:color w:val="auto"/>
        </w:rPr>
        <w:t>Currently, under the Company’s Bylaws, special meetings of stockholders for any purpose or purposes may be called only by a chairperson or co-chairperson of the Board or pursuant to a resolution adopted by a majority of the Whole Board of Directors.</w:t>
      </w:r>
    </w:p>
    <w:p>
      <w:pPr>
        <w:spacing w:after="0" w:line="128"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B-5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71"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As part of the Board of Directors’ review of the Company’s corporate governance practices, the Board of Directors has determined that it is appropriate and timely to present stockholders with the opportunity to approve a proposal that would allow stockholders owning 40% of the voting power of all of the then-outstanding Class A common stock to call a special meeting of stockholders.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Following the Recapitalization Transactions, the Board believes that requiring stockholders owning at least 40% of the voting power of all of the then-outstanding Class A common stock strikes a reasonable and appropriate balance between permitting stockholders to request that the Board call special meetings and ensuring that special meetings are held only when supported by a meaningful proportion of our stockholders, since special meetings should be limited to address significant, time-sensitive issues that cannot be delayed until the Company’s next annual meeting. Recognizing the benefits of providing a right to call special meetings, the Board believes that a failure to receive at least 40% of stockholders to support the need to convene a special meeting is a strong indicator that the relevant issue is unduly narrow and not deemed sufficiently significant by our stockholders generally.</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Our Board unanimously recommends a vote “FOR” the approval of the Special Meeting Proposal.</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8</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Written Consent Proposal</w:t>
      </w:r>
    </w:p>
    <w:p>
      <w:pPr>
        <w:spacing w:after="0" w:line="144" w:lineRule="exact"/>
        <w:rPr>
          <w:sz w:val="20"/>
          <w:szCs w:val="20"/>
          <w:color w:val="auto"/>
        </w:rPr>
      </w:pPr>
    </w:p>
    <w:p>
      <w:pPr>
        <w:ind w:left="20" w:right="780"/>
        <w:spacing w:after="0" w:line="271" w:lineRule="auto"/>
        <w:rPr>
          <w:sz w:val="20"/>
          <w:szCs w:val="20"/>
          <w:color w:val="auto"/>
        </w:rPr>
      </w:pPr>
      <w:r>
        <w:rPr>
          <w:rFonts w:ascii="Arial" w:cs="Arial" w:eastAsia="Arial" w:hAnsi="Arial"/>
          <w:sz w:val="18"/>
          <w:szCs w:val="18"/>
          <w:color w:val="auto"/>
        </w:rPr>
        <w:t>In this Proposal, we are seeking stockholder approval to amend the Charter to remove the prohibition against stockholders taking action by written consent without holding a meeting, or the Written Consent Proposal.</w:t>
      </w:r>
    </w:p>
    <w:p>
      <w:pPr>
        <w:spacing w:after="0" w:line="127"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Currently, Article VII of the Charter provides that no action required or permitted to be taken at any annual or special meeting of stockholders may be taken without a meeting, and no action shall be taken by stockholders of the Company by consent.</w:t>
      </w:r>
    </w:p>
    <w:p>
      <w:pPr>
        <w:spacing w:after="0" w:line="128"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B-6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71"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In connection with the Recapitalization Transactions, the Board considered the advantages and disadvantages of prohibiting stockholder action by written consent similar to that currently found in our Charter. This type of prohibition generally is intended to facilitate corporate stability by requiring stockholder action to occur at a duly called and convened stockholder meeting. These voting limitations prohibiting stockholder action by written consent may also have the effect of providing anti-takeover protection to the Company. However, many investors and others view prohibitions against stockholder action by written consent as conflicting with principles of good corporate governance by preventing stockholders from fully exercising their voting rights as stockholders due to the need to convene at an annual or special meeting to effect change. Section 228 of the Delaware General Corporation Law (the “DGCL”) allows stockholders to act by written consent unless otherwise provided in a corporation’s certificate of incorporation.</w:t>
      </w:r>
    </w:p>
    <w:p>
      <w:pPr>
        <w:spacing w:after="0" w:line="143"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In reaching its determination, the Board concluded that the benefits of prohibiting stockholder action by written consent were outweighed by the Board’s belief that removing the prohibition is a meaningful step towards achieving our goal of ensuring that our corporate governance policies conform to current best practices and maximizing the ability of our stockholders to appropriately participate in the affairs of the Company.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Our Board unanimously recommends a vote “FOR” the approval of the Written Consent Proposal.</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9</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Officer Exculpation</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100"/>
        <w:spacing w:after="0" w:line="271" w:lineRule="auto"/>
        <w:rPr>
          <w:sz w:val="20"/>
          <w:szCs w:val="20"/>
          <w:color w:val="auto"/>
        </w:rPr>
      </w:pPr>
      <w:r>
        <w:rPr>
          <w:rFonts w:ascii="Arial" w:cs="Arial" w:eastAsia="Arial" w:hAnsi="Arial"/>
          <w:sz w:val="18"/>
          <w:szCs w:val="18"/>
          <w:color w:val="auto"/>
        </w:rPr>
        <w:t>In this Proposal, we are seeking stockholder approval to amend the Charter to limit the liability of certain of our officers in certain circumstances as permitted by the DGCL, or the Officer Exculpation Proposal.</w:t>
      </w:r>
    </w:p>
    <w:p>
      <w:pPr>
        <w:spacing w:after="0" w:line="127"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Pursuant to and consistent with Section 102(b)(7) of the DGCL, Article IX of the Charter already eliminates the monetary liability of directors to the fullest extent permitted by the DGCL. Effective August 1, 2022, Section 102(b)(7) was amended to permit companies to include in their certificates of incorporation limitations of monetary liability for certain senior corporate officers, such as a president, chief executive officer, chief operating officer, chief financial officer, chief legal officer, controller, treasurer, and chief accounting officer, and any other person who is or was identified in our public filings with the SEC as a named executive officer and any persons who have consented to be identified as an officer. Consistent with Section 102(b)(7), the proposed amendments would permit exculpation of these officers for breaches of their fiduciary duty of care in any direct claim to the fullest extent permitted by Delaware law, as it currently exists or as it may be amended in the future. Like the provision limiting the monetary liability of directors, the DGCL does not permit the elimination of liability of these officers for any breach of their duty of loyalty to the Company or its stockholders, any acts or omissions not in good faith or which involve intentional misconduct or a knowing violation of the law, or any transaction from which the officer derived an improper personal benefit. The DGCL also does not permit the limitation of monetary liability of these officers in any action by or in the right of the Company, such as a derivative claim.</w:t>
      </w:r>
    </w:p>
    <w:p>
      <w:pPr>
        <w:spacing w:after="0" w:line="149"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B-7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71"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After a review of evolving corporate governance practices, the Board has determined that it is advisable and in the best interests of the Company and its stockholders to limit the liability of officers as and to the extent permitted by the DGCL. The Officer Exculpation Proposal would approve changes to the Charter that would mitigate the risk of personal financial liability in certain circumstances and help attract and retain officers, while keeping narrow the type of claims for which officers may be exculpated from liability.</w:t>
      </w:r>
    </w:p>
    <w:p>
      <w:pPr>
        <w:spacing w:after="0" w:line="126" w:lineRule="exact"/>
        <w:rPr>
          <w:sz w:val="20"/>
          <w:szCs w:val="20"/>
          <w:color w:val="auto"/>
        </w:rPr>
      </w:pPr>
    </w:p>
    <w:p>
      <w:pPr>
        <w:ind w:left="20" w:right="18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Officer Exculpation Proposal.</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10</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Board Designation Rights</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160"/>
        <w:spacing w:after="0" w:line="253" w:lineRule="auto"/>
        <w:rPr>
          <w:sz w:val="20"/>
          <w:szCs w:val="20"/>
          <w:color w:val="auto"/>
        </w:rPr>
      </w:pPr>
      <w:r>
        <w:rPr>
          <w:rFonts w:ascii="Arial" w:cs="Arial" w:eastAsia="Arial" w:hAnsi="Arial"/>
          <w:sz w:val="18"/>
          <w:szCs w:val="18"/>
          <w:color w:val="auto"/>
        </w:rPr>
        <w:t>In this Proposal, we are seeking stockholder approval to amend the Charter to provide for certain director designation rights to the Investor Group (as defined below) and to make certain other conforming changes consistent with the Investor Rights Agreement, or the Board Designation Rights Proposal.</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connection with the consummation of the Recapitalization Transactions, the Investor Group, and certain other parties entered into the Investor Rights Agreement, as amended by that certain side letter agreement, dated as of May 12, 2026, by and among Jennifer Hyman, the Company and the other parties thereto, pursuant to which, among other things, the Company and the Investor Group agreed to take all commercially reasonable actions necessary to cause the Board to include one director designated by Nexus, one director designated by STORY3 and three directors designated by the Board, for so long as they maintain a certain percentage of ownership of our outstanding Class A common stock.</w:t>
      </w:r>
    </w:p>
    <w:p>
      <w:pPr>
        <w:spacing w:after="0" w:line="144" w:lineRule="exact"/>
        <w:rPr>
          <w:sz w:val="20"/>
          <w:szCs w:val="20"/>
          <w:color w:val="auto"/>
        </w:rPr>
      </w:pPr>
    </w:p>
    <w:p>
      <w:pPr>
        <w:jc w:val="both"/>
        <w:ind w:left="20" w:right="100"/>
        <w:spacing w:after="0" w:line="253" w:lineRule="auto"/>
        <w:rPr>
          <w:sz w:val="20"/>
          <w:szCs w:val="20"/>
          <w:color w:val="auto"/>
        </w:rPr>
      </w:pPr>
      <w:r>
        <w:rPr>
          <w:rFonts w:ascii="Arial" w:cs="Arial" w:eastAsia="Arial" w:hAnsi="Arial"/>
          <w:sz w:val="18"/>
          <w:szCs w:val="18"/>
          <w:color w:val="auto"/>
        </w:rPr>
        <w:t>Pursuant to this amendment, in addition to the Investor Rights Agreement, the Charter would also provide the Investor Group with the right to designate persons to the Board, who will be the Investor Group’s appointees under Charter, as follows:</w:t>
      </w:r>
    </w:p>
    <w:p>
      <w:pPr>
        <w:spacing w:after="0" w:line="128" w:lineRule="exact"/>
        <w:rPr>
          <w:sz w:val="20"/>
          <w:szCs w:val="20"/>
          <w:color w:val="auto"/>
        </w:rPr>
      </w:pPr>
    </w:p>
    <w:p>
      <w:pPr>
        <w:ind w:left="740" w:right="100" w:hanging="359"/>
        <w:spacing w:after="0" w:line="275"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so long as Nexus continues to own at least twenty-five percent (25%) of the shares of Class A common stock that it held as of the closing of the Recapitalization Transactions (the “Minimum Ownership Threshold”), Nexus shall be entitled to designate for appointment to the Board one (1) Director from time to time;</w:t>
      </w:r>
    </w:p>
    <w:p>
      <w:pPr>
        <w:spacing w:after="0" w:line="124" w:lineRule="exact"/>
        <w:rPr>
          <w:rFonts w:ascii="Arial" w:cs="Arial" w:eastAsia="Arial" w:hAnsi="Arial"/>
          <w:sz w:val="17"/>
          <w:szCs w:val="17"/>
          <w:color w:val="auto"/>
        </w:rPr>
      </w:pPr>
    </w:p>
    <w:p>
      <w:pPr>
        <w:ind w:left="740" w:hanging="359"/>
        <w:spacing w:after="0" w:line="271"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so long as STORY3 continues to own at the Minimum Ownership Threshold as to its shares, STORY3 shall be entitled to designate for appointment to the Board one (1) Director from time to time; and  </w:t>
      </w:r>
    </w:p>
    <w:p>
      <w:pPr>
        <w:spacing w:after="0" w:line="113" w:lineRule="exact"/>
        <w:rPr>
          <w:rFonts w:ascii="Arial" w:cs="Arial" w:eastAsia="Arial" w:hAnsi="Arial"/>
          <w:sz w:val="18"/>
          <w:szCs w:val="18"/>
          <w:color w:val="auto"/>
        </w:rPr>
      </w:pPr>
    </w:p>
    <w:p>
      <w:pPr>
        <w:ind w:left="740" w:right="20" w:hanging="359"/>
        <w:spacing w:after="0" w:line="261"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Board shall be entitled to designate for appointment to the Board three (3) Directors from time to time to fill any remaining vacancies on the Board (such Directors, the “Investor Directors”); provided that such Investor Directors shall be subject to the approval, prior to such appointment, of those Investors that continue to satisfy the Minimum Ownership Threshold as to their respective holdings and that collectively hold a majority of the shares of Class A Common Stock held by all Investors then satisfying the Minimum Ownership Threshold.</w:t>
      </w:r>
    </w:p>
    <w:p>
      <w:pPr>
        <w:spacing w:after="0" w:line="125"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B-8 (with a redline against the corresponding provision in the Charter). We are also seeking to make any other conforming changes consistent with this proposal throughout the Charter, as shown in Annex B-10 (shown as a redline against the Charter).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71" w:lineRule="exact"/>
        <w:rPr>
          <w:sz w:val="20"/>
          <w:szCs w:val="20"/>
          <w:color w:val="auto"/>
        </w:rPr>
      </w:pPr>
    </w:p>
    <w:p>
      <w:pPr>
        <w:ind w:left="20" w:right="120"/>
        <w:spacing w:after="0" w:line="247" w:lineRule="auto"/>
        <w:rPr>
          <w:sz w:val="20"/>
          <w:szCs w:val="20"/>
          <w:color w:val="auto"/>
        </w:rPr>
      </w:pPr>
      <w:r>
        <w:rPr>
          <w:rFonts w:ascii="Arial" w:cs="Arial" w:eastAsia="Arial" w:hAnsi="Arial"/>
          <w:sz w:val="18"/>
          <w:szCs w:val="18"/>
          <w:color w:val="auto"/>
        </w:rPr>
        <w:t>The Board believes that it is important to provide the Investor Group with such board designation rights and believes that providing such board designation rights in the Company’s Charter will enhance the ability of the Investor Group to more freely exercise their respective independent business judgment to advance the goals of the Company and maximize value for the Company’s stockholders.</w:t>
      </w:r>
    </w:p>
    <w:p>
      <w:pPr>
        <w:spacing w:after="0" w:line="137" w:lineRule="exact"/>
        <w:rPr>
          <w:sz w:val="20"/>
          <w:szCs w:val="20"/>
          <w:color w:val="auto"/>
        </w:rPr>
      </w:pPr>
    </w:p>
    <w:p>
      <w:pPr>
        <w:ind w:left="20" w:right="22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Board Designation Rights Proposal.</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11</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Corporate Opportunity</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jc w:val="both"/>
        <w:ind w:left="20" w:right="40"/>
        <w:spacing w:after="0" w:line="247" w:lineRule="auto"/>
        <w:rPr>
          <w:sz w:val="20"/>
          <w:szCs w:val="20"/>
          <w:color w:val="auto"/>
        </w:rPr>
      </w:pPr>
      <w:r>
        <w:rPr>
          <w:rFonts w:ascii="Arial" w:cs="Arial" w:eastAsia="Arial" w:hAnsi="Arial"/>
          <w:sz w:val="18"/>
          <w:szCs w:val="18"/>
          <w:color w:val="auto"/>
        </w:rPr>
        <w:t>In this Proposal, we are seeking stockholder approval to amend the Charter to limit the definition of “Exempt Person” to designated directors of STORY3 and Nexus rather than all non-employee directors, and eliminate the provision that no director shall be liable to the Company, its subsidiaries, or its stockholders for breach of any duty relating to compliance with such corporate opportunity provisions, or the Corporate Opportunity Proposal.</w:t>
      </w:r>
    </w:p>
    <w:p>
      <w:pPr>
        <w:spacing w:after="0" w:line="147" w:lineRule="exact"/>
        <w:rPr>
          <w:sz w:val="20"/>
          <w:szCs w:val="20"/>
          <w:color w:val="auto"/>
        </w:rPr>
      </w:pPr>
    </w:p>
    <w:p>
      <w:pPr>
        <w:ind w:left="20" w:right="20"/>
        <w:spacing w:after="0" w:line="253" w:lineRule="auto"/>
        <w:rPr>
          <w:sz w:val="20"/>
          <w:szCs w:val="20"/>
          <w:color w:val="auto"/>
        </w:rPr>
      </w:pPr>
      <w:r>
        <w:rPr>
          <w:rFonts w:ascii="Arial" w:cs="Arial" w:eastAsia="Arial" w:hAnsi="Arial"/>
          <w:sz w:val="17"/>
          <w:szCs w:val="17"/>
          <w:color w:val="auto"/>
        </w:rPr>
        <w:t>The “corporate opportunity” doctrine provides that directors and officers of a corporation, as part of their duty of loyalty to the corporation and its stockholders, generally have a fiduciary duty to disclose opportunities to the corporation that are related to its business and are prohibited from pursuing those opportunities unless the corporation determines that it is not going to pursue them. Section 122(17) of the DGCL expressly permits Delaware corporations, such as the Company, to renounce any interest or expectancy of the corporation in certain business opportunities. Article X of the Charter currently provides that certain business opportunities presented to any director (or his or her respective affiliates) who is not employed by the Company or its subsidiaries (each such Person, an “Exempt Person”) are not subject to the “corporate opportunity” doctrine, and that the maximum extent permitted under the DGCL, the Company renounces any interest or expectancy in, or right to be offered an opportunity to participate in, any business opportunity that may be a corporate opportunity for the parties named therein. Furthermore, the Charter provides that any “Exempt Person” will not be liable to the Company, or to any of the Company’s stockholders, for breach of any fiduciary duty that would otherwise exist because such individual directs a corporate opportunity to themselves instead of the Company.</w:t>
      </w:r>
    </w:p>
    <w:p>
      <w:pPr>
        <w:spacing w:after="0" w:line="133"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B-9 (with a redline against the corresponding provision in the Charter). We are also seeking to make any other conforming changes consistent with this proposal throughout the Charter, as shown in Annex B-10 (shown as a redline against the Charter).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71"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Given the changes to the composition of the Board of Directors following the Recapitalization Transactions, the Board of Directors has determined that it is appropriate to limit the category of “Exempt Persons” for purposes of the corporate opportunity provisions to only the designated directors of STORY3 and Nexus, rather than all non-employee directors. Consistent with this amendment, the Board of Directors also believes it is appropriate to eliminate the provision stating that no director shall be liable to the Company, its subsidiaries or its stockholders for any breach of duty arising from compliance with such corporate opportunity provisions.</w:t>
      </w:r>
    </w:p>
    <w:p>
      <w:pPr>
        <w:spacing w:after="0" w:line="129" w:lineRule="exact"/>
        <w:rPr>
          <w:sz w:val="20"/>
          <w:szCs w:val="20"/>
          <w:color w:val="auto"/>
        </w:rPr>
      </w:pPr>
    </w:p>
    <w:p>
      <w:pPr>
        <w:ind w:left="20" w:right="114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Corporate Opportunity Proposal.</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12</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Plan Amendment</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260"/>
        <w:spacing w:after="0" w:line="247" w:lineRule="auto"/>
        <w:rPr>
          <w:sz w:val="20"/>
          <w:szCs w:val="20"/>
          <w:color w:val="auto"/>
        </w:rPr>
      </w:pPr>
      <w:r>
        <w:rPr>
          <w:rFonts w:ascii="Arial" w:cs="Arial" w:eastAsia="Arial" w:hAnsi="Arial"/>
          <w:sz w:val="18"/>
          <w:szCs w:val="18"/>
          <w:color w:val="auto"/>
        </w:rPr>
        <w:t>We are seeking stockholder approval to adopt the First Amendment to increase the maximum number of shares of Class A common stock authorized for issuance under the 2021 Plan by 3,899,439 shares to 10,171,225 shares. The Board approved the First Amendment on December 15, 2025, subject to stockholder approval, and our stockholders are now being asked to approve the First Amendment.</w:t>
      </w:r>
    </w:p>
    <w:p>
      <w:pPr>
        <w:spacing w:after="0" w:line="147" w:lineRule="exact"/>
        <w:rPr>
          <w:sz w:val="20"/>
          <w:szCs w:val="20"/>
          <w:color w:val="auto"/>
        </w:rPr>
      </w:pPr>
    </w:p>
    <w:p>
      <w:pPr>
        <w:ind w:left="20" w:right="220"/>
        <w:spacing w:after="0" w:line="253" w:lineRule="auto"/>
        <w:rPr>
          <w:sz w:val="20"/>
          <w:szCs w:val="20"/>
          <w:color w:val="auto"/>
        </w:rPr>
      </w:pPr>
      <w:r>
        <w:rPr>
          <w:rFonts w:ascii="Arial" w:cs="Arial" w:eastAsia="Arial" w:hAnsi="Arial"/>
          <w:sz w:val="18"/>
          <w:szCs w:val="18"/>
          <w:color w:val="auto"/>
        </w:rPr>
        <w:t>The Company filed a registration statement on Form S-8 with the SEC on December 15, 2025, to register the 3,899,439 shares of Class A common stock which will become available under the Amended Plan if our stockholders approve the First Amendment.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Rationale for the Amended Plan</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the Plan Amendment Proposal is approved by our stockholders, the Amended Plan will allow us to continue to provide our employees with the opportunity to acquire an ownership interest in the Company through the Amended Plan, encouraging them to remain in our employ or service, motivating them to achieve superior performance for the Company and more closely aligning their interests with those of our stockholders. We believe that offering ownership interests in the Company through the Amended Plan is a key factor in retaining existing employees, recruiting, and retaining new employees and is vital to the long-term success of the Company by aligning and increasing the interest of all employees in our success.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considers long-term equity-based incentive compensation as an important element of the Company’s compensation program. The Board believes that equity awards provide our executive officers and employees with a strong link to long-term performance, create an ownership culture and help to align the interests of our executive officers and employees with those of our stockholders. The Amended Plan is designed to advance these interests to the benefit of the Company and its stockholders and encourage sustained excellence from our employees to drive long-term stockholder value. Equity-based compensation under the Amended Plan would encourage executive officers and employees to act as owners with an equity stake in the Company, discourage inappropriate risk-taking and contribute to continuity and stability within the Company’s workforce.</w:t>
      </w:r>
    </w:p>
    <w:p>
      <w:pPr>
        <w:spacing w:after="0" w:line="153"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The ability to grant long-term equity-based compensation would allow the Company to continue to align the interests of executive officers and employees with the interests of the Company’s stockholders and to create substantial incentives for the Company’s executive officers and employees to achieve the Company’s long-term goals. In addition, long-term equity-based compensation enables the Company to provide competitive compensation to help in recruitment of executive officers and employees, and, through vesting requirements, helps to promote retention and long-term service of executive officers and employees.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Summary of the Amended Plan</w:t>
      </w:r>
    </w:p>
    <w:p>
      <w:pPr>
        <w:spacing w:after="0" w:line="169"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The following summary discussion describes the principal features of the Amended Plan. This summary, however, does not purport to be a complete description of all of the provisions of the Amended Plan. It is qualified in its entirety by reference to the full text and terms of the Amended Plan, a copy of which is attached as Annex C.</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Eligibility and Administration</w:t>
      </w:r>
    </w:p>
    <w:p>
      <w:pPr>
        <w:spacing w:after="0" w:line="169" w:lineRule="exact"/>
        <w:rPr>
          <w:sz w:val="20"/>
          <w:szCs w:val="20"/>
          <w:color w:val="auto"/>
        </w:rPr>
      </w:pPr>
    </w:p>
    <w:p>
      <w:pPr>
        <w:ind w:left="20" w:right="180"/>
        <w:spacing w:after="0"/>
        <w:rPr>
          <w:sz w:val="20"/>
          <w:szCs w:val="20"/>
          <w:color w:val="auto"/>
        </w:rPr>
      </w:pPr>
      <w:r>
        <w:rPr>
          <w:rFonts w:ascii="Arial" w:cs="Arial" w:eastAsia="Arial" w:hAnsi="Arial"/>
          <w:sz w:val="18"/>
          <w:szCs w:val="18"/>
          <w:color w:val="auto"/>
        </w:rPr>
        <w:t>Our employees, non -employee directors and consultants, and employees, non-employee directors and consultants of our subsidiaries, are eligible to receive awards under the Amended Plan. The Amended Plan is expected to be administered by the Board, which may delegate its duties and responsibilities to committees of our directors and/or officers (referred to collectively as the “plan administrator” below),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Amended Plan, subject to its express</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160"/>
        <w:spacing w:after="0" w:line="247" w:lineRule="auto"/>
        <w:rPr>
          <w:sz w:val="20"/>
          <w:szCs w:val="20"/>
          <w:color w:val="auto"/>
        </w:rPr>
      </w:pPr>
      <w:r>
        <w:rPr>
          <w:rFonts w:ascii="Arial" w:cs="Arial" w:eastAsia="Arial" w:hAnsi="Arial"/>
          <w:sz w:val="18"/>
          <w:szCs w:val="18"/>
          <w:color w:val="auto"/>
        </w:rPr>
        <w:t>terms and conditions. The plan administrator will also set the terms and conditions of all awards under the Amended Plan, including any vesting and vesting acceleration conditions. As of May 20, 2026, approximately 186 employees, four (4) non-employee directors, and no consultants of the Company and its subsidiaries were eligible to participate in the Amended Plan.</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169" w:lineRule="exact"/>
        <w:rPr>
          <w:sz w:val="20"/>
          <w:szCs w:val="20"/>
          <w:color w:val="auto"/>
        </w:rPr>
      </w:pPr>
    </w:p>
    <w:p>
      <w:pPr>
        <w:ind w:left="20" w:right="220"/>
        <w:spacing w:after="0" w:line="271" w:lineRule="auto"/>
        <w:rPr>
          <w:sz w:val="20"/>
          <w:szCs w:val="20"/>
          <w:color w:val="auto"/>
        </w:rPr>
      </w:pPr>
      <w:r>
        <w:rPr>
          <w:rFonts w:ascii="Arial" w:cs="Arial" w:eastAsia="Arial" w:hAnsi="Arial"/>
          <w:sz w:val="18"/>
          <w:szCs w:val="18"/>
          <w:color w:val="auto"/>
        </w:rPr>
        <w:t>Previously, the maximum number of shares of our Class A common stock available for issuance under the 2021 Plan was 6,271,786 shares of our Class A common stock.</w:t>
      </w:r>
    </w:p>
    <w:p>
      <w:pPr>
        <w:spacing w:after="0" w:line="127" w:lineRule="exact"/>
        <w:rPr>
          <w:sz w:val="20"/>
          <w:szCs w:val="20"/>
          <w:color w:val="auto"/>
        </w:rPr>
      </w:pPr>
    </w:p>
    <w:p>
      <w:pPr>
        <w:ind w:left="20" w:right="40"/>
        <w:spacing w:after="0" w:line="244" w:lineRule="auto"/>
        <w:rPr>
          <w:sz w:val="20"/>
          <w:szCs w:val="20"/>
          <w:color w:val="auto"/>
        </w:rPr>
      </w:pPr>
      <w:r>
        <w:rPr>
          <w:rFonts w:ascii="Arial" w:cs="Arial" w:eastAsia="Arial" w:hAnsi="Arial"/>
          <w:sz w:val="18"/>
          <w:szCs w:val="18"/>
          <w:color w:val="auto"/>
        </w:rPr>
        <w:t>If the Plan Amendment Proposal is approved by our stockholders, the maximum number of shares of Class A common stock authorized for issuance under the Amended Plan will be increased by 3,899,439 to 10,171,225, and is intended to provide us with enough shares of Class A common stock to grant awards to executive officers, non-employee directors, and other employees, to promote retention of our executive officers and employees, and to align the interests of our executive officers and employees with those of our stockholders.</w:t>
      </w:r>
    </w:p>
    <w:p>
      <w:pPr>
        <w:spacing w:after="0" w:line="136"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color w:val="auto"/>
        </w:rPr>
        <w:t>No more than 15,665,544 shares of Class A common stock may be issued upon the exercise of incentive stock options (“ISOs”) under the Amended Plan.</w:t>
      </w:r>
    </w:p>
    <w:p>
      <w:pPr>
        <w:spacing w:after="0" w:line="113"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Awards granted under the Amended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Amended Plan. The maximum grant date fair value of cash and equity awards granted to any non-employee director pursuant to the Amended Plan during any calendar year is $750,000, increased to $1,000,000 for the non-employee director’s initial year of service as a non-employee director.</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Awards</w:t>
      </w:r>
    </w:p>
    <w:p>
      <w:pPr>
        <w:spacing w:after="0" w:line="169"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The Amended Plan provides for the grant of stock options, including ISOs and nonqualified stock options (“NSOs”), restricted stock, dividend equivalents, stock payments, restricted stock units, which may be subject to time- and / or performance-vesting conditions (“RSUs”), other incentive awards, stock appreciation rights (“SARs”) and cash awards.</w:t>
      </w:r>
    </w:p>
    <w:p>
      <w:pPr>
        <w:spacing w:after="0" w:line="128" w:lineRule="exact"/>
        <w:rPr>
          <w:sz w:val="20"/>
          <w:szCs w:val="20"/>
          <w:color w:val="auto"/>
        </w:rPr>
      </w:pPr>
    </w:p>
    <w:p>
      <w:pPr>
        <w:ind w:left="20" w:right="120"/>
        <w:spacing w:after="0"/>
        <w:rPr>
          <w:sz w:val="20"/>
          <w:szCs w:val="20"/>
          <w:color w:val="auto"/>
        </w:rPr>
      </w:pPr>
      <w:r>
        <w:rPr>
          <w:rFonts w:ascii="Arial" w:cs="Arial" w:eastAsia="Arial" w:hAnsi="Arial"/>
          <w:sz w:val="18"/>
          <w:szCs w:val="18"/>
          <w:color w:val="auto"/>
        </w:rPr>
        <w:t>Certain awards under the Amended Plan may constitute or provide for a deferral of compensation, subject to Section 409A of the Internal Revenue Code as amended, and the regulations and guidance promulgated thereunder (the “Code”), which may impose additional requirements on the terms and conditions of such awards. All awards under the Amended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158" w:lineRule="exact"/>
        <w:rPr>
          <w:sz w:val="20"/>
          <w:szCs w:val="20"/>
          <w:color w:val="auto"/>
        </w:rPr>
      </w:pPr>
    </w:p>
    <w:p>
      <w:pPr>
        <w:ind w:left="20" w:right="80"/>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provide for the purchase of shares of Class A common stock in the future at an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set 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of Class A common stock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144" w:lineRule="exact"/>
        <w:rPr>
          <w:sz w:val="20"/>
          <w:szCs w:val="20"/>
          <w:color w:val="auto"/>
        </w:rPr>
      </w:pPr>
    </w:p>
    <w:p>
      <w:pPr>
        <w:ind w:left="20"/>
        <w:spacing w:after="0" w:line="244"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SARs entitle their holder, upon exercise, to receive from us an amount equal to the appreciation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subject to the award between the grant date and the exercise date. The exercise price of a SAR may not be less than 100% of the fair market value of the underlying share of Class A common stock on the date of grant (except with respect to certain substitute SARs granted in connection with a corporate transaction). The term of a SAR may not be longer than ten years.</w:t>
      </w:r>
    </w:p>
    <w:p>
      <w:pPr>
        <w:spacing w:after="0" w:line="136" w:lineRule="exact"/>
        <w:rPr>
          <w:sz w:val="20"/>
          <w:szCs w:val="20"/>
          <w:color w:val="auto"/>
        </w:rPr>
      </w:pPr>
    </w:p>
    <w:p>
      <w:pPr>
        <w:ind w:left="20" w:right="200"/>
        <w:spacing w:after="0" w:line="253" w:lineRule="auto"/>
        <w:rPr>
          <w:sz w:val="20"/>
          <w:szCs w:val="20"/>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of Class A common stock that</w:t>
      </w:r>
      <w:r>
        <w:rPr>
          <w:rFonts w:ascii="Arial" w:cs="Arial" w:eastAsia="Arial" w:hAnsi="Arial"/>
          <w:sz w:val="18"/>
          <w:szCs w:val="18"/>
          <w:i w:val="1"/>
          <w:iCs w:val="1"/>
          <w:color w:val="auto"/>
        </w:rPr>
        <w:t xml:space="preserve"> </w:t>
      </w:r>
      <w:r>
        <w:rPr>
          <w:rFonts w:ascii="Arial" w:cs="Arial" w:eastAsia="Arial" w:hAnsi="Arial"/>
          <w:sz w:val="18"/>
          <w:szCs w:val="18"/>
          <w:color w:val="auto"/>
        </w:rPr>
        <w:t>remain forfeitable unless and until specified conditions are met, and which may be subject to a purchase price. RSUs are contractual promises to deliver shares of Class A common stock in the future, which may also remain</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forfeitable unless and until specified conditions are met. Delivery of the shares underlying RSUs may be deferred under the terms of the award or at the election of the participant, if the plan administrator permits such a deferral.</w:t>
      </w:r>
    </w:p>
    <w:p>
      <w:pPr>
        <w:spacing w:after="0" w:line="113" w:lineRule="exact"/>
        <w:rPr>
          <w:sz w:val="20"/>
          <w:szCs w:val="20"/>
          <w:color w:val="auto"/>
        </w:rPr>
      </w:pPr>
    </w:p>
    <w:p>
      <w:pPr>
        <w:ind w:left="20"/>
        <w:spacing w:after="0" w:line="242" w:lineRule="auto"/>
        <w:rPr>
          <w:sz w:val="20"/>
          <w:szCs w:val="20"/>
          <w:color w:val="auto"/>
        </w:rPr>
      </w:pPr>
      <w:r>
        <w:rPr>
          <w:rFonts w:ascii="Arial" w:cs="Arial" w:eastAsia="Arial" w:hAnsi="Arial"/>
          <w:sz w:val="18"/>
          <w:szCs w:val="18"/>
          <w:i w:val="1"/>
          <w:iCs w:val="1"/>
          <w:color w:val="auto"/>
        </w:rPr>
        <w:t>Stock Payments, Other Incentive Awards and Cash Awards</w:t>
      </w:r>
      <w:r>
        <w:rPr>
          <w:rFonts w:ascii="Arial" w:cs="Arial" w:eastAsia="Arial" w:hAnsi="Arial"/>
          <w:sz w:val="18"/>
          <w:szCs w:val="18"/>
          <w:color w:val="auto"/>
        </w:rPr>
        <w:t>. Stock payments are awards of fully vested shares of Class</w:t>
      </w:r>
      <w:r>
        <w:rPr>
          <w:rFonts w:ascii="Arial" w:cs="Arial" w:eastAsia="Arial" w:hAnsi="Arial"/>
          <w:sz w:val="18"/>
          <w:szCs w:val="18"/>
          <w:i w:val="1"/>
          <w:iCs w:val="1"/>
          <w:color w:val="auto"/>
        </w:rPr>
        <w:t xml:space="preserve"> </w:t>
      </w:r>
      <w:r>
        <w:rPr>
          <w:rFonts w:ascii="Arial" w:cs="Arial" w:eastAsia="Arial" w:hAnsi="Arial"/>
          <w:sz w:val="18"/>
          <w:szCs w:val="18"/>
          <w:color w:val="auto"/>
        </w:rPr>
        <w:t>A 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Class A common stock or value metrics related to our shares, and may remain forfeitable unless and until specified conditions are met. Cash awards are cash incentive bonuses subject to performance goals.</w:t>
      </w:r>
    </w:p>
    <w:p>
      <w:pPr>
        <w:spacing w:after="0" w:line="138" w:lineRule="exact"/>
        <w:rPr>
          <w:sz w:val="20"/>
          <w:szCs w:val="20"/>
          <w:color w:val="auto"/>
        </w:rPr>
      </w:pPr>
    </w:p>
    <w:p>
      <w:pPr>
        <w:ind w:left="20" w:right="100"/>
        <w:spacing w:after="0" w:line="266" w:lineRule="auto"/>
        <w:rPr>
          <w:sz w:val="20"/>
          <w:szCs w:val="20"/>
          <w:color w:val="auto"/>
        </w:rPr>
      </w:pPr>
      <w:r>
        <w:rPr>
          <w:rFonts w:ascii="Arial" w:cs="Arial" w:eastAsia="Arial" w:hAnsi="Arial"/>
          <w:sz w:val="17"/>
          <w:szCs w:val="17"/>
          <w:i w:val="1"/>
          <w:iCs w:val="1"/>
          <w:color w:val="auto"/>
        </w:rPr>
        <w:t>Dividend Equivalents</w:t>
      </w:r>
      <w:r>
        <w:rPr>
          <w:rFonts w:ascii="Arial" w:cs="Arial" w:eastAsia="Arial" w:hAnsi="Arial"/>
          <w:sz w:val="17"/>
          <w:szCs w:val="17"/>
          <w:color w:val="auto"/>
        </w:rPr>
        <w:t>. Dividend equivalents represent the right to receive the equivalent value of dividends paid on</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A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Vesting</w:t>
      </w:r>
    </w:p>
    <w:p>
      <w:pPr>
        <w:spacing w:after="0" w:line="183"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Vesting conditions determined by the plan administrator may apply to each award and may include continued service, performance and/or other conditions.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Certain Transactions</w:t>
      </w:r>
    </w:p>
    <w:p>
      <w:pPr>
        <w:spacing w:after="0" w:line="169" w:lineRule="exact"/>
        <w:rPr>
          <w:sz w:val="20"/>
          <w:szCs w:val="20"/>
          <w:color w:val="auto"/>
        </w:rPr>
      </w:pPr>
    </w:p>
    <w:p>
      <w:pPr>
        <w:ind w:left="20" w:right="80"/>
        <w:spacing w:after="0" w:line="237" w:lineRule="auto"/>
        <w:rPr>
          <w:sz w:val="20"/>
          <w:szCs w:val="20"/>
          <w:color w:val="auto"/>
        </w:rPr>
      </w:pPr>
      <w:r>
        <w:rPr>
          <w:rFonts w:ascii="Arial" w:cs="Arial" w:eastAsia="Arial" w:hAnsi="Arial"/>
          <w:sz w:val="18"/>
          <w:szCs w:val="18"/>
          <w:color w:val="auto"/>
        </w:rPr>
        <w:t>The plan administrator has broad discretion to take action under the Amended Plan, as well as 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stock splits,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Amended Plan and replacing or terminating awards under the Amended Plan. In addition, in the event of certain non-reciprocal transactions with our stockholders known as “equity restructurings,” the plan administrator will make equitable adjustments to the Amended Plan and outstanding awards. In the event of a “change in control” of our Company (as defined in the Amended Plan), to the extent that the surviving entity declines to continue, convert, assume or replace outstanding awards, then all such awards may become fully vested and exercisable in connection with the transaction. Individual award agreements may provide for additional accelerated vesting and payment provisions.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Non-U.S. Participants, Clawback Provisions, Transferability and Participant Payments</w:t>
      </w:r>
    </w:p>
    <w:p>
      <w:pPr>
        <w:spacing w:after="0" w:line="169"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Company’s Policy Relating to Recovery of Erroneously Awarded Compensation. With limited exceptions for estate planning, domestic relations orders, certain beneficiary designations and the laws of descent and distribution, awards under the Amended Plan are generally non-transferable, and are exercisable only by the participant. With regard to tax withholding, exercise price and purchase price obligations arising in connection with awards under the Amended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Plan Amendment and Termination</w:t>
      </w:r>
    </w:p>
    <w:p>
      <w:pPr>
        <w:spacing w:after="0" w:line="183"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The Board may amend or terminate the Amended Plan at any time; however, except in connection with certain changes in our capital structure, stockholder approval will be required for any amendment that increases the number of shares available under the Amended Plan. No award may be granted pursuant to the Amended Plan after the tenth anniversary of the date on which our stockholders approve the Amended Plan.</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Federal Income Tax Consequences of Awards</w:t>
      </w:r>
    </w:p>
    <w:p>
      <w:pPr>
        <w:spacing w:after="0" w:line="169" w:lineRule="exact"/>
        <w:rPr>
          <w:sz w:val="20"/>
          <w:szCs w:val="20"/>
          <w:color w:val="auto"/>
        </w:rPr>
      </w:pPr>
    </w:p>
    <w:p>
      <w:pPr>
        <w:ind w:left="20" w:right="140"/>
        <w:spacing w:after="0" w:line="244" w:lineRule="auto"/>
        <w:rPr>
          <w:sz w:val="20"/>
          <w:szCs w:val="20"/>
          <w:color w:val="auto"/>
        </w:rPr>
      </w:pPr>
      <w:r>
        <w:rPr>
          <w:rFonts w:ascii="Arial" w:cs="Arial" w:eastAsia="Arial" w:hAnsi="Arial"/>
          <w:sz w:val="18"/>
          <w:szCs w:val="18"/>
          <w:color w:val="auto"/>
        </w:rPr>
        <w:t>The Amended Plan is not qualified under the provisions of Section 401(a) of the Code and is not subject to any of the provisions of the Employee Retirement Income Security Act of 1974. The following is a general summary of certain U.S. Federal income tax consequences to U.S. participants with respect to awards granted under the Amended Plan based on the law as currently in effect. This discussion applies to participants who are citizens or residents of the U.S. and a U.S. taxpayer.</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Nonqualified Stock Options</w:t>
      </w:r>
    </w:p>
    <w:p>
      <w:pPr>
        <w:spacing w:after="0" w:line="169" w:lineRule="exact"/>
        <w:rPr>
          <w:sz w:val="20"/>
          <w:szCs w:val="20"/>
          <w:color w:val="auto"/>
        </w:rPr>
      </w:pPr>
    </w:p>
    <w:p>
      <w:pPr>
        <w:ind w:left="20" w:right="60"/>
        <w:spacing w:after="0" w:line="242" w:lineRule="auto"/>
        <w:rPr>
          <w:sz w:val="20"/>
          <w:szCs w:val="20"/>
          <w:color w:val="auto"/>
        </w:rPr>
      </w:pPr>
      <w:r>
        <w:rPr>
          <w:rFonts w:ascii="Arial" w:cs="Arial" w:eastAsia="Arial" w:hAnsi="Arial"/>
          <w:sz w:val="18"/>
          <w:szCs w:val="18"/>
          <w:color w:val="auto"/>
        </w:rPr>
        <w:t>On exercise of a nonqualified stock option granted under the Amended Plan, an optionee will recognize ordinary income equal to the excess, if any, of the fair market value on the date of exercise of the shares of stock acquired on exercise of the option over the exercise price. If the optionee is an employee of the Company or one of its subsidiaries, that income will be subject to the withholding of Federal income tax. The optionee’s tax basis in those shares will be equal to their fair market value on the date of exercise of the option, and his or her holding period for those shares will begin on that date.</w:t>
      </w:r>
    </w:p>
    <w:p>
      <w:pPr>
        <w:spacing w:after="0" w:line="152"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If an optionee pays for shares of stock on exercise of an option by delivering shares of our common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or she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or her holding period for those shares will include his or her holding period for the shares delivered. The optionee’s tax basis and holding period for the additional shares received on exercise of the option will be the same as if the optionee had exercised the option solely in exchange for cash.</w:t>
      </w:r>
    </w:p>
    <w:p>
      <w:pPr>
        <w:spacing w:after="0" w:line="143" w:lineRule="exact"/>
        <w:rPr>
          <w:sz w:val="20"/>
          <w:szCs w:val="20"/>
          <w:color w:val="auto"/>
        </w:rPr>
      </w:pPr>
    </w:p>
    <w:p>
      <w:pPr>
        <w:ind w:left="20" w:right="240"/>
        <w:spacing w:after="0" w:line="271" w:lineRule="auto"/>
        <w:rPr>
          <w:sz w:val="20"/>
          <w:szCs w:val="20"/>
          <w:color w:val="auto"/>
        </w:rPr>
      </w:pPr>
      <w:r>
        <w:rPr>
          <w:rFonts w:ascii="Arial" w:cs="Arial" w:eastAsia="Arial" w:hAnsi="Arial"/>
          <w:sz w:val="18"/>
          <w:szCs w:val="18"/>
          <w:color w:val="auto"/>
        </w:rPr>
        <w:t>We will be entitled to a deduction for Federal income tax purposes equal to the amount of ordinary income taxable to the optionee; provided that the deduction is not otherwise disallowed under the Code.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Incentive Stock Options</w:t>
      </w:r>
    </w:p>
    <w:p>
      <w:pPr>
        <w:spacing w:after="0" w:line="169"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The Amended Plan provides for the grant of stock options that qualify as “incentive stock options” as defined in Section 422 of the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(the “Required Holding Period”), the difference, if any, between the amount realized on a sale or other taxable disposition of that share and the holder’s tax basis in that share will be long-term capital gain or loss. An individual’s stock options otherwise qualifying as ISOs will be treated for tax purposes as nonqualified stock options (and not as ISOs) to the extent that, in the aggregate, they first become exercisable in any calendar year for stock having a fair market value (determined as of the date of grant) in excess of $100,000.</w:t>
      </w:r>
    </w:p>
    <w:p>
      <w:pPr>
        <w:spacing w:after="0" w:line="156"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color w:val="auto"/>
        </w:rPr>
        <w:t>If, however, an optionee disposes of a share acquired on exercise of an ISO before the end of the Required Holding Period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43" w:lineRule="exact"/>
        <w:rPr>
          <w:sz w:val="20"/>
          <w:szCs w:val="20"/>
          <w:color w:val="auto"/>
        </w:rPr>
      </w:pPr>
    </w:p>
    <w:p>
      <w:pPr>
        <w:ind w:left="20" w:right="300"/>
        <w:spacing w:after="0" w:line="244" w:lineRule="auto"/>
        <w:rPr>
          <w:sz w:val="20"/>
          <w:szCs w:val="20"/>
          <w:color w:val="auto"/>
        </w:rPr>
      </w:pPr>
      <w:r>
        <w:rPr>
          <w:rFonts w:ascii="Arial" w:cs="Arial" w:eastAsia="Arial" w:hAnsi="Arial"/>
          <w:sz w:val="18"/>
          <w:szCs w:val="18"/>
          <w:color w:val="auto"/>
        </w:rPr>
        <w:t>An optionee who exercises an ISO by delivering shares of our common stock acquired previously pursuant to the exercise of an ISO before the expiration of the Required Holding Period for those shares is treated as making a Disqualifying Disposition of those shares. This rule prevents “pyramiding” in connection with the exercise of an ISO (that is, exercising an ISO for one share and using that share, and others so acquired, to exercise successive ISOs) without the imposition of current income tax.</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our common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43"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We are not allowed an income tax deduction with respect to the grant or exercise of an ISO or the disposition of a share acquired on exercise of an ISO after the Required Holding Period. However, if there is a Disqualifying Disposition of a share, RTR is allowed a deduction in an amount equal to the ordinary income includible in income by the optionee; provided that the deduction is not otherwise disallowed under the Code.</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Appreciation Rights</w:t>
      </w:r>
    </w:p>
    <w:p>
      <w:pPr>
        <w:spacing w:after="0" w:line="169"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A recipient who is granted a SAR generally will not recognize ordinary income upon receipt of the SAR. Rather, at the time of exercise of such SAR, the participant will recognize ordinary income for income tax purposes in an amount equal to the value of any cash received and the fair market value on the date of exercise of any stock received. We generally will be entitled to a tax deduction at such time and in the same amount, if any, that the participant recognizes as ordinary income; provided that the deduction is not otherwise disallowed under the Code. The participant’s tax basis in any stock received upon exercise of a SAR will be the fair market value of the stock on the date of exercise, and if the shares are later sold or exchanged, then the difference between the amount received upon such sale or exchange and the fair market value of such stock on the date of exercise will generally be taxable as long-term or short-term capital gain or loss (if the shares are a capital asset of the participant) depending upon the length of time such stock were held by the participant.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Restricted Stock; Restricted Stock Units</w:t>
      </w:r>
    </w:p>
    <w:p>
      <w:pPr>
        <w:spacing w:after="0" w:line="183"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Generally, the recipient of a stock award will recognize ordinary compensation income at the time the stock is received equal to the excess, if any, of the fair market value of the stock received over any amount paid by the recipient in exchange for the stock. If, however, the stock is non-vested when it is received under the Amended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If permitted by the plan administrator, a recipient may, however, file an election with the Internal Revenue Service, within 30 days of his or her receipt of the stock award, to recognize ordinary compensation income, as of the date the recipient receives the award, equal to the excess, if any, of the fair market value of the stock on the date the award is granted over any amount paid by the recipient in exchange for the stock.</w:t>
      </w:r>
    </w:p>
    <w:p>
      <w:pPr>
        <w:spacing w:after="0" w:line="145"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Amended Plan the difference between the sale price and the recipient’s basis in the shares will be treated as a capital gain or loss and generally will be characterized as long-term capital gain or loss if the shares have been held for more than one year from the date as of which he or she would be required to recognize any compensation income.</w:t>
      </w:r>
    </w:p>
    <w:p>
      <w:pPr>
        <w:spacing w:after="0" w:line="138" w:lineRule="exact"/>
        <w:rPr>
          <w:sz w:val="20"/>
          <w:szCs w:val="20"/>
          <w:color w:val="auto"/>
        </w:rPr>
      </w:pPr>
    </w:p>
    <w:p>
      <w:pPr>
        <w:ind w:left="20" w:right="860"/>
        <w:spacing w:after="0" w:line="271" w:lineRule="auto"/>
        <w:rPr>
          <w:sz w:val="20"/>
          <w:szCs w:val="20"/>
          <w:color w:val="auto"/>
        </w:rPr>
      </w:pPr>
      <w:r>
        <w:rPr>
          <w:rFonts w:ascii="Arial" w:cs="Arial" w:eastAsia="Arial" w:hAnsi="Arial"/>
          <w:sz w:val="18"/>
          <w:szCs w:val="18"/>
          <w:color w:val="auto"/>
        </w:rPr>
        <w:t>We will be allowed a corresponding Federal income tax deduction in an amount equal to the ordinary income recognized by the recipient; provided that the deduction is not otherwise disallowed under the Code.</w:t>
      </w:r>
    </w:p>
    <w:p>
      <w:pPr>
        <w:spacing w:after="0" w:line="127"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Generally, the grant of RSUs (including performance-based restricted stock units) will not result in income for the participant or in a tax deduction for us. Upon the settlement of such an award in stock or cash, the participant will recognize ordinary income equal to the aggregate value of the payment received, and we generally will be entitled to a tax deduction at the same time and in the same amount.</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Payments, Other Incentive Awards and Cash Awards</w:t>
      </w:r>
    </w:p>
    <w:p>
      <w:pPr>
        <w:spacing w:after="0" w:line="169"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With respect to other awards granted under the Amended Plan, including stock bonuses, other stock-based awards and cash awards, generally when the participant receives payment with respect to an award, the amount of cash and/or the fair market value of any stock or other property received will be ordinary income to the participant, and we generally will be entitled to a tax deduction at the same time and in the same amount; provided that the deduction is not otherwise disallowed under the Code.</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Dividend Equivalents</w:t>
      </w:r>
    </w:p>
    <w:p>
      <w:pPr>
        <w:spacing w:after="0" w:line="169" w:lineRule="exact"/>
        <w:rPr>
          <w:sz w:val="20"/>
          <w:szCs w:val="20"/>
          <w:color w:val="auto"/>
        </w:rPr>
      </w:pPr>
    </w:p>
    <w:p>
      <w:pPr>
        <w:ind w:left="20" w:right="240"/>
        <w:spacing w:after="0" w:line="244" w:lineRule="auto"/>
        <w:rPr>
          <w:sz w:val="20"/>
          <w:szCs w:val="20"/>
          <w:color w:val="auto"/>
        </w:rPr>
      </w:pPr>
      <w:r>
        <w:rPr>
          <w:rFonts w:ascii="Arial" w:cs="Arial" w:eastAsia="Arial" w:hAnsi="Arial"/>
          <w:sz w:val="18"/>
          <w:szCs w:val="18"/>
          <w:color w:val="auto"/>
        </w:rPr>
        <w:t>Generally, the recipient of dividend equivalents will recognize ordinary compensation income at the time the dividend equivalents are received equal to the fair market value of the dividend equivalents received. We generally will be entitled to a deduction for Federal income tax purposes equal to the amount of ordinary income that the employee is required to recognize as a result of the dividend equivalents; provided that the deduction is not otherwise disallowed under the Code.</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Section 409A of the Code</w:t>
      </w:r>
    </w:p>
    <w:p>
      <w:pPr>
        <w:spacing w:after="0" w:line="183" w:lineRule="exact"/>
        <w:rPr>
          <w:sz w:val="20"/>
          <w:szCs w:val="20"/>
          <w:color w:val="auto"/>
        </w:rPr>
      </w:pPr>
    </w:p>
    <w:p>
      <w:pPr>
        <w:ind w:left="20" w:right="120"/>
        <w:spacing w:after="0" w:line="238" w:lineRule="auto"/>
        <w:rPr>
          <w:sz w:val="20"/>
          <w:szCs w:val="20"/>
          <w:color w:val="auto"/>
        </w:rPr>
      </w:pPr>
      <w:r>
        <w:rPr>
          <w:rFonts w:ascii="Arial" w:cs="Arial" w:eastAsia="Arial" w:hAnsi="Arial"/>
          <w:sz w:val="18"/>
          <w:szCs w:val="18"/>
          <w:color w:val="auto"/>
        </w:rPr>
        <w:t>Section 409A of the Code imposes requirements applicable to “nonqualified deferred compensation plans,” including rules relating to the timing of deferral elections and elections with regard to the form and timing of benefit distributions, prohibitions against the acceleration of the timing of distributions, and the times when distributions may be made, as well as rules that generally prohibit the funding of nonqualified deferred compensation plans in offshore trusts or upon the occurrence of a change in the employer’s financial health. These rules generally apply with respect to deferred compensation that becomes earned and vested on or after January 1, 2005. If a nonqualified deferred compensation plan subject to Section 409A fails to meet, or is not operated in accordance with, these requirements, then all compensation deferred under the plan is or becomes immediately taxable to the extent that it is not subject to a substantial risk of forfeiture and was not previously taxable. The tax imposed as a result of these rules would be increased by interest at a rate equal to the rate imposed upon tax underpayments plus one percentage point, and an additional tax equal to 20% of the compensation required to be included in income.</w:t>
      </w:r>
    </w:p>
    <w:p>
      <w:pPr>
        <w:spacing w:after="0" w:line="145" w:lineRule="exact"/>
        <w:rPr>
          <w:sz w:val="20"/>
          <w:szCs w:val="20"/>
          <w:color w:val="auto"/>
        </w:rPr>
      </w:pPr>
    </w:p>
    <w:p>
      <w:pPr>
        <w:ind w:left="20" w:right="240"/>
        <w:spacing w:after="0" w:line="253" w:lineRule="auto"/>
        <w:rPr>
          <w:sz w:val="20"/>
          <w:szCs w:val="20"/>
          <w:color w:val="auto"/>
        </w:rPr>
      </w:pPr>
      <w:r>
        <w:rPr>
          <w:rFonts w:ascii="Arial" w:cs="Arial" w:eastAsia="Arial" w:hAnsi="Arial"/>
          <w:sz w:val="18"/>
          <w:szCs w:val="18"/>
          <w:color w:val="auto"/>
        </w:rPr>
        <w:t>Some of the awards to be granted under the Amended Plan may constitute deferred compensation subject to the Section 409A requirements, including, without limitation, deferred stock. It is intended that any award agreement that will govern Awards subject to Section 409A will comply with, or be exempt from, these rules.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Section 280G of the Code</w:t>
      </w:r>
    </w:p>
    <w:p>
      <w:pPr>
        <w:spacing w:after="0" w:line="183"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Under certain circumstances, the acceleration of vesting of equity awards in connection with a change in control could result in excess “parachute payments” under Section 280G of the Code, which amounts may not be deductible by the Company. In addition, executives that receive such payments may be subject to a 20% excise tax (in addition to regular income taxes). The Amended Plan does not provide for any excise tax gross-ups.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Section 162(m) Deduction Limitation</w:t>
      </w:r>
    </w:p>
    <w:p>
      <w:pPr>
        <w:spacing w:after="0" w:line="169" w:lineRule="exact"/>
        <w:rPr>
          <w:sz w:val="20"/>
          <w:szCs w:val="20"/>
          <w:color w:val="auto"/>
        </w:rPr>
      </w:pPr>
    </w:p>
    <w:p>
      <w:pPr>
        <w:ind w:left="20" w:right="280"/>
        <w:spacing w:after="0" w:line="271" w:lineRule="auto"/>
        <w:rPr>
          <w:sz w:val="20"/>
          <w:szCs w:val="20"/>
          <w:color w:val="auto"/>
        </w:rPr>
      </w:pPr>
      <w:r>
        <w:rPr>
          <w:rFonts w:ascii="Arial" w:cs="Arial" w:eastAsia="Arial" w:hAnsi="Arial"/>
          <w:sz w:val="18"/>
          <w:szCs w:val="18"/>
          <w:color w:val="auto"/>
        </w:rPr>
        <w:t>In general, compensation over $1.0 million per year paid to any named executive officer (and any person who was a named executive for any year, beginning with 2017) will be nondeductible under Section 162(m) of the Code.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State and Local Income Taxes</w:t>
      </w:r>
    </w:p>
    <w:p>
      <w:pPr>
        <w:spacing w:after="0" w:line="169"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In addition to U.S. Federal income tax, participants may also be subject to U.S. state and local taxes with respect to awards granted under the Amended Plan.</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New Plan Benefits under the Amended Plan</w:t>
      </w:r>
    </w:p>
    <w:p>
      <w:pPr>
        <w:spacing w:after="0" w:line="183" w:lineRule="exact"/>
        <w:rPr>
          <w:sz w:val="20"/>
          <w:szCs w:val="20"/>
          <w:color w:val="auto"/>
        </w:rPr>
      </w:pPr>
    </w:p>
    <w:p>
      <w:pPr>
        <w:jc w:val="both"/>
        <w:ind w:left="20" w:right="60"/>
        <w:spacing w:after="0" w:line="255" w:lineRule="auto"/>
        <w:rPr>
          <w:sz w:val="20"/>
          <w:szCs w:val="20"/>
          <w:color w:val="auto"/>
        </w:rPr>
      </w:pPr>
      <w:r>
        <w:rPr>
          <w:rFonts w:ascii="Arial" w:cs="Arial" w:eastAsia="Arial" w:hAnsi="Arial"/>
          <w:sz w:val="17"/>
          <w:szCs w:val="17"/>
          <w:color w:val="auto"/>
        </w:rPr>
        <w:t>On December 16, 2025, we granted performance stock units (“PSUs”) to our executive officers (other than Ms. Hyman and Mr. Fonseca) and certain of our other employees, on February 27, 2026, we granted PSUs to Mr. Fonseca and, on May 15, 2026, we granted PSUs to Ms. Bariquit, in each case, pursuant to the Amended Plan (the “FY 2025 PSUs”).</w:t>
      </w:r>
    </w:p>
    <w:p>
      <w:pPr>
        <w:spacing w:after="0" w:line="2" w:lineRule="exact"/>
        <w:rPr>
          <w:sz w:val="20"/>
          <w:szCs w:val="20"/>
          <w:color w:val="auto"/>
        </w:rPr>
      </w:pPr>
    </w:p>
    <w:p>
      <w:pPr>
        <w:ind w:left="20" w:right="260"/>
        <w:spacing w:after="0" w:line="250" w:lineRule="auto"/>
        <w:rPr>
          <w:sz w:val="20"/>
          <w:szCs w:val="20"/>
          <w:color w:val="auto"/>
        </w:rPr>
      </w:pPr>
      <w:r>
        <w:rPr>
          <w:rFonts w:ascii="Arial" w:cs="Arial" w:eastAsia="Arial" w:hAnsi="Arial"/>
          <w:sz w:val="18"/>
          <w:szCs w:val="18"/>
          <w:color w:val="auto"/>
        </w:rPr>
        <w:t>The award agreements covering the FY 2025 PSUs provide that no shares of Class A common stock may be issued with respect to the FY 2025 PSUs unless and until the Company’s stockholders</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approve an increase in the number of shares of Class A common stock authorized for issuance under the 2021 Plan. If our stockholders approve the Plan Amendment Proposal, then such requirement will be satisfied. However, if the Plan Amendment Proposal is not approved by our stockholders, then there will not be a sufficient number of shares of Class A common stock under the 2021 Plan in order to deliver shares of Class A common stock with respect to any vested FY 2025 PSUs.</w:t>
      </w:r>
    </w:p>
    <w:p>
      <w:pPr>
        <w:spacing w:after="0" w:line="136" w:lineRule="exact"/>
        <w:rPr>
          <w:sz w:val="20"/>
          <w:szCs w:val="20"/>
          <w:color w:val="auto"/>
        </w:rPr>
      </w:pPr>
    </w:p>
    <w:p>
      <w:pPr>
        <w:ind w:left="20" w:right="460"/>
        <w:spacing w:after="0" w:line="271" w:lineRule="auto"/>
        <w:rPr>
          <w:sz w:val="20"/>
          <w:szCs w:val="20"/>
          <w:color w:val="auto"/>
        </w:rPr>
      </w:pPr>
      <w:r>
        <w:rPr>
          <w:rFonts w:ascii="Arial" w:cs="Arial" w:eastAsia="Arial" w:hAnsi="Arial"/>
          <w:sz w:val="18"/>
          <w:szCs w:val="18"/>
          <w:color w:val="auto"/>
        </w:rPr>
        <w:t>The table below sets forth the new plan benefits granted to the individuals and groups identified in the table below pursuant to the Amended Plan.</w:t>
      </w:r>
    </w:p>
    <w:p>
      <w:pPr>
        <w:spacing w:after="0" w:line="113"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The FY 2025 PSUs (other than Ms. Bariquit’s and Mr. Fonseca’s) will be eligible to be earned in three equal tranches over the Company’s 2027, 2028 and 2029 fiscal years (each period, a “Performance Period”), based upon performance goals and metrics applicable to the Performance Period as determined by the Board no later than 90 days following the commencement of the Performance Period. Any earned PSUs will generally vest at the end of the final Performance Period, provided that the holder remains employed with the Company through the vesting date.</w:t>
      </w:r>
    </w:p>
    <w:p>
      <w:pPr>
        <w:spacing w:after="0" w:line="149"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Mr. Fonseca’s FY 2025 PSUs and Ms. Bariquit’s FY2025 PSUs will generally vest based on the Implied Equity Value of the Company (as defined in the applicable PSU award agreement) attained in connection with an Investor Group Sale (as defined in the applicable PSU award agreement), generally subject to Mr. Fonseca’s and Ms. Bariquit’s continued service through the applicable vesting date.</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closing price of a share of our Class A common stock on May 20, 2026 was $3.79.</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392"/>
        </w:trPr>
        <w:tc>
          <w:tcPr>
            <w:tcW w:w="120" w:type="dxa"/>
            <w:vAlign w:val="bottom"/>
            <w:tcBorders>
              <w:bottom w:val="single" w:sz="8" w:color="auto"/>
            </w:tcBorders>
            <w:shd w:val="clear" w:color="auto" w:fill="FFE8F5"/>
          </w:tcPr>
          <w:p>
            <w:pPr>
              <w:spacing w:after="0"/>
              <w:rPr>
                <w:sz w:val="24"/>
                <w:szCs w:val="24"/>
                <w:color w:val="auto"/>
              </w:rPr>
            </w:pPr>
          </w:p>
        </w:tc>
        <w:tc>
          <w:tcPr>
            <w:tcW w:w="4780" w:type="dxa"/>
            <w:vAlign w:val="bottom"/>
            <w:tcBorders>
              <w:bottom w:val="single" w:sz="8" w:color="auto"/>
            </w:tcBorders>
            <w:shd w:val="clear" w:color="auto" w:fill="FFE8F5"/>
          </w:tcPr>
          <w:p>
            <w:pPr>
              <w:ind w:left="40"/>
              <w:spacing w:after="0"/>
              <w:rPr>
                <w:sz w:val="20"/>
                <w:szCs w:val="20"/>
                <w:color w:val="auto"/>
              </w:rPr>
            </w:pPr>
            <w:r>
              <w:rPr>
                <w:rFonts w:ascii="Arial" w:cs="Arial" w:eastAsia="Arial" w:hAnsi="Arial"/>
                <w:sz w:val="14"/>
                <w:szCs w:val="14"/>
                <w:b w:val="1"/>
                <w:bCs w:val="1"/>
                <w:color w:val="auto"/>
              </w:rPr>
              <w:t>Name and Position</w:t>
            </w:r>
          </w:p>
        </w:tc>
        <w:tc>
          <w:tcPr>
            <w:tcW w:w="2060" w:type="dxa"/>
            <w:vAlign w:val="bottom"/>
            <w:tcBorders>
              <w:bottom w:val="single" w:sz="8" w:color="auto"/>
            </w:tcBorders>
            <w:shd w:val="clear" w:color="auto" w:fill="FFE8F5"/>
          </w:tcPr>
          <w:p>
            <w:pPr>
              <w:ind w:left="560"/>
              <w:spacing w:after="0"/>
              <w:rPr>
                <w:sz w:val="20"/>
                <w:szCs w:val="20"/>
                <w:color w:val="auto"/>
              </w:rPr>
            </w:pPr>
            <w:r>
              <w:rPr>
                <w:rFonts w:ascii="Arial" w:cs="Arial" w:eastAsia="Arial" w:hAnsi="Arial"/>
                <w:sz w:val="14"/>
                <w:szCs w:val="14"/>
                <w:b w:val="1"/>
                <w:bCs w:val="1"/>
                <w:color w:val="auto"/>
              </w:rPr>
              <w:t>Target Value ($)</w:t>
            </w:r>
            <w:r>
              <w:rPr>
                <w:rFonts w:ascii="Arial" w:cs="Arial" w:eastAsia="Arial" w:hAnsi="Arial"/>
                <w:sz w:val="23"/>
                <w:szCs w:val="23"/>
                <w:b w:val="1"/>
                <w:bCs w:val="1"/>
                <w:color w:val="auto"/>
                <w:vertAlign w:val="superscript"/>
              </w:rPr>
              <w:t>(1)</w:t>
            </w:r>
          </w:p>
        </w:tc>
        <w:tc>
          <w:tcPr>
            <w:tcW w:w="2540" w:type="dxa"/>
            <w:vAlign w:val="bottom"/>
            <w:tcBorders>
              <w:bottom w:val="single" w:sz="8" w:color="auto"/>
            </w:tcBorders>
            <w:shd w:val="clear" w:color="auto" w:fill="FFE8F5"/>
          </w:tcPr>
          <w:p>
            <w:pPr>
              <w:ind w:left="300"/>
              <w:spacing w:after="0"/>
              <w:rPr>
                <w:sz w:val="20"/>
                <w:szCs w:val="20"/>
                <w:color w:val="auto"/>
              </w:rPr>
            </w:pPr>
            <w:r>
              <w:rPr>
                <w:rFonts w:ascii="Arial" w:cs="Arial" w:eastAsia="Arial" w:hAnsi="Arial"/>
                <w:sz w:val="14"/>
                <w:szCs w:val="14"/>
                <w:b w:val="1"/>
                <w:bCs w:val="1"/>
                <w:color w:val="auto"/>
              </w:rPr>
              <w:t>Target Number of Shares (#)</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Jennifer Y. Hyman</w:t>
            </w:r>
          </w:p>
        </w:tc>
        <w:tc>
          <w:tcPr>
            <w:tcW w:w="2060" w:type="dxa"/>
            <w:vAlign w:val="bottom"/>
            <w:vMerge w:val="restart"/>
          </w:tcPr>
          <w:p>
            <w:pPr>
              <w:jc w:val="center"/>
              <w:ind w:left="188"/>
              <w:spacing w:after="0"/>
              <w:rPr>
                <w:sz w:val="20"/>
                <w:szCs w:val="20"/>
                <w:color w:val="auto"/>
              </w:rPr>
            </w:pPr>
            <w:r>
              <w:rPr>
                <w:rFonts w:ascii="Arial" w:cs="Arial" w:eastAsia="Arial" w:hAnsi="Arial"/>
                <w:sz w:val="14"/>
                <w:szCs w:val="14"/>
                <w:color w:val="auto"/>
              </w:rPr>
              <w:t>$0.00</w:t>
            </w:r>
          </w:p>
        </w:tc>
        <w:tc>
          <w:tcPr>
            <w:tcW w:w="2540" w:type="dxa"/>
            <w:vAlign w:val="bottom"/>
            <w:vMerge w:val="restart"/>
          </w:tcPr>
          <w:p>
            <w:pPr>
              <w:jc w:val="center"/>
              <w:ind w:left="10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i w:val="1"/>
                <w:iCs w:val="1"/>
                <w:color w:val="auto"/>
              </w:rPr>
              <w:t>Co-Founder, Former Chief</w:t>
            </w:r>
          </w:p>
        </w:tc>
        <w:tc>
          <w:tcPr>
            <w:tcW w:w="206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4780" w:type="dxa"/>
            <w:vAlign w:val="bottom"/>
          </w:tcPr>
          <w:p>
            <w:pPr>
              <w:ind w:left="40"/>
              <w:spacing w:after="0"/>
              <w:rPr>
                <w:sz w:val="20"/>
                <w:szCs w:val="20"/>
                <w:color w:val="auto"/>
              </w:rPr>
            </w:pPr>
            <w:r>
              <w:rPr>
                <w:rFonts w:ascii="Arial" w:cs="Arial" w:eastAsia="Arial" w:hAnsi="Arial"/>
                <w:sz w:val="14"/>
                <w:szCs w:val="14"/>
                <w:i w:val="1"/>
                <w:iCs w:val="1"/>
                <w:color w:val="auto"/>
              </w:rPr>
              <w:t>Executive Officer &amp; President</w:t>
            </w:r>
          </w:p>
        </w:tc>
        <w:tc>
          <w:tcPr>
            <w:tcW w:w="2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Teri Bariquit</w:t>
            </w:r>
          </w:p>
        </w:tc>
        <w:tc>
          <w:tcPr>
            <w:tcW w:w="2060" w:type="dxa"/>
            <w:vAlign w:val="bottom"/>
            <w:vMerge w:val="restart"/>
          </w:tcPr>
          <w:p>
            <w:pPr>
              <w:jc w:val="center"/>
              <w:ind w:left="188"/>
              <w:spacing w:after="0"/>
              <w:rPr>
                <w:sz w:val="20"/>
                <w:szCs w:val="20"/>
                <w:color w:val="auto"/>
              </w:rPr>
            </w:pPr>
            <w:r>
              <w:rPr>
                <w:rFonts w:ascii="Arial" w:cs="Arial" w:eastAsia="Arial" w:hAnsi="Arial"/>
                <w:sz w:val="14"/>
                <w:szCs w:val="14"/>
                <w:color w:val="auto"/>
              </w:rPr>
              <w:t>$​379,000</w:t>
            </w:r>
          </w:p>
        </w:tc>
        <w:tc>
          <w:tcPr>
            <w:tcW w:w="2540" w:type="dxa"/>
            <w:vAlign w:val="bottom"/>
            <w:vMerge w:val="restart"/>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i w:val="1"/>
                <w:iCs w:val="1"/>
                <w:color w:val="auto"/>
              </w:rPr>
              <w:t>Interim Chief Executive</w:t>
            </w:r>
          </w:p>
        </w:tc>
        <w:tc>
          <w:tcPr>
            <w:tcW w:w="206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4780" w:type="dxa"/>
            <w:vAlign w:val="bottom"/>
          </w:tcPr>
          <w:p>
            <w:pPr>
              <w:ind w:left="40"/>
              <w:spacing w:after="0"/>
              <w:rPr>
                <w:sz w:val="20"/>
                <w:szCs w:val="20"/>
                <w:color w:val="auto"/>
              </w:rPr>
            </w:pPr>
            <w:r>
              <w:rPr>
                <w:rFonts w:ascii="Arial" w:cs="Arial" w:eastAsia="Arial" w:hAnsi="Arial"/>
                <w:sz w:val="14"/>
                <w:szCs w:val="14"/>
                <w:i w:val="1"/>
                <w:iCs w:val="1"/>
                <w:color w:val="auto"/>
              </w:rPr>
              <w:t>Officer &amp; President</w:t>
            </w:r>
          </w:p>
        </w:tc>
        <w:tc>
          <w:tcPr>
            <w:tcW w:w="2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Sid Thacker</w:t>
            </w:r>
          </w:p>
        </w:tc>
        <w:tc>
          <w:tcPr>
            <w:tcW w:w="2060" w:type="dxa"/>
            <w:vAlign w:val="bottom"/>
            <w:vMerge w:val="restart"/>
          </w:tcPr>
          <w:p>
            <w:pPr>
              <w:jc w:val="center"/>
              <w:ind w:left="188"/>
              <w:spacing w:after="0"/>
              <w:rPr>
                <w:sz w:val="20"/>
                <w:szCs w:val="20"/>
                <w:color w:val="auto"/>
              </w:rPr>
            </w:pPr>
            <w:r>
              <w:rPr>
                <w:rFonts w:ascii="Arial" w:cs="Arial" w:eastAsia="Arial" w:hAnsi="Arial"/>
                <w:sz w:val="14"/>
                <w:szCs w:val="14"/>
                <w:color w:val="auto"/>
              </w:rPr>
              <w:t>$​760,266</w:t>
            </w:r>
          </w:p>
        </w:tc>
        <w:tc>
          <w:tcPr>
            <w:tcW w:w="2540" w:type="dxa"/>
            <w:vAlign w:val="bottom"/>
            <w:vMerge w:val="restart"/>
          </w:tcPr>
          <w:p>
            <w:pPr>
              <w:jc w:val="center"/>
              <w:ind w:left="108"/>
              <w:spacing w:after="0"/>
              <w:rPr>
                <w:sz w:val="20"/>
                <w:szCs w:val="20"/>
                <w:color w:val="auto"/>
              </w:rPr>
            </w:pPr>
            <w:r>
              <w:rPr>
                <w:rFonts w:ascii="Arial" w:cs="Arial" w:eastAsia="Arial" w:hAnsi="Arial"/>
                <w:sz w:val="14"/>
                <w:szCs w:val="14"/>
                <w:color w:val="auto"/>
              </w:rPr>
              <w:t>200,598</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7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Chief Financial Officer</w:t>
            </w:r>
          </w:p>
        </w:tc>
        <w:tc>
          <w:tcPr>
            <w:tcW w:w="206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47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Sarah Tam</w:t>
            </w:r>
          </w:p>
        </w:tc>
        <w:tc>
          <w:tcPr>
            <w:tcW w:w="2060" w:type="dxa"/>
            <w:vAlign w:val="bottom"/>
            <w:vMerge w:val="restart"/>
          </w:tcPr>
          <w:p>
            <w:pPr>
              <w:jc w:val="center"/>
              <w:ind w:left="188"/>
              <w:spacing w:after="0"/>
              <w:rPr>
                <w:sz w:val="20"/>
                <w:szCs w:val="20"/>
                <w:color w:val="auto"/>
              </w:rPr>
            </w:pPr>
            <w:r>
              <w:rPr>
                <w:rFonts w:ascii="Arial" w:cs="Arial" w:eastAsia="Arial" w:hAnsi="Arial"/>
                <w:sz w:val="14"/>
                <w:szCs w:val="14"/>
                <w:color w:val="auto"/>
              </w:rPr>
              <w:t>$​760,266</w:t>
            </w:r>
          </w:p>
        </w:tc>
        <w:tc>
          <w:tcPr>
            <w:tcW w:w="2540" w:type="dxa"/>
            <w:vAlign w:val="bottom"/>
            <w:vMerge w:val="restart"/>
          </w:tcPr>
          <w:p>
            <w:pPr>
              <w:jc w:val="center"/>
              <w:ind w:left="108"/>
              <w:spacing w:after="0"/>
              <w:rPr>
                <w:sz w:val="20"/>
                <w:szCs w:val="20"/>
                <w:color w:val="auto"/>
              </w:rPr>
            </w:pPr>
            <w:r>
              <w:rPr>
                <w:rFonts w:ascii="Arial" w:cs="Arial" w:eastAsia="Arial" w:hAnsi="Arial"/>
                <w:sz w:val="14"/>
                <w:szCs w:val="14"/>
                <w:color w:val="auto"/>
              </w:rPr>
              <w:t>200,598</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7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Chief Merchant Officer</w:t>
            </w:r>
          </w:p>
        </w:tc>
        <w:tc>
          <w:tcPr>
            <w:tcW w:w="206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47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All Current Executive Officers as a group (6)</w:t>
            </w:r>
            <w:r>
              <w:rPr>
                <w:rFonts w:ascii="Arial" w:cs="Arial" w:eastAsia="Arial" w:hAnsi="Arial"/>
                <w:sz w:val="23"/>
                <w:szCs w:val="23"/>
                <w:color w:val="auto"/>
                <w:vertAlign w:val="superscript"/>
              </w:rPr>
              <w:t>(3)(4)(5)</w:t>
            </w:r>
          </w:p>
        </w:tc>
        <w:tc>
          <w:tcPr>
            <w:tcW w:w="206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$​10,414,549</w:t>
            </w:r>
          </w:p>
        </w:tc>
        <w:tc>
          <w:tcPr>
            <w:tcW w:w="25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2,747,902</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All Current Non-Employee Directors as a group (3)</w:t>
            </w:r>
            <w:r>
              <w:rPr>
                <w:rFonts w:ascii="Arial" w:cs="Arial" w:eastAsia="Arial" w:hAnsi="Arial"/>
                <w:sz w:val="23"/>
                <w:szCs w:val="23"/>
                <w:color w:val="auto"/>
                <w:vertAlign w:val="superscript"/>
              </w:rPr>
              <w:t>(6)</w:t>
            </w:r>
          </w:p>
        </w:tc>
        <w:tc>
          <w:tcPr>
            <w:tcW w:w="206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$​0.00</w:t>
            </w:r>
          </w:p>
        </w:tc>
        <w:tc>
          <w:tcPr>
            <w:tcW w:w="25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All Current Employees (other than Executive Officers) as a Group</w:t>
            </w:r>
          </w:p>
        </w:tc>
        <w:tc>
          <w:tcPr>
            <w:tcW w:w="2060" w:type="dxa"/>
            <w:vAlign w:val="bottom"/>
            <w:vMerge w:val="restart"/>
          </w:tcPr>
          <w:p>
            <w:pPr>
              <w:jc w:val="center"/>
              <w:ind w:left="188"/>
              <w:spacing w:after="0"/>
              <w:rPr>
                <w:sz w:val="20"/>
                <w:szCs w:val="20"/>
                <w:color w:val="auto"/>
              </w:rPr>
            </w:pPr>
            <w:r>
              <w:rPr>
                <w:rFonts w:ascii="Arial" w:cs="Arial" w:eastAsia="Arial" w:hAnsi="Arial"/>
                <w:sz w:val="14"/>
                <w:szCs w:val="14"/>
                <w:color w:val="auto"/>
              </w:rPr>
              <w:t>$​2,255,202</w:t>
            </w:r>
          </w:p>
        </w:tc>
        <w:tc>
          <w:tcPr>
            <w:tcW w:w="2540" w:type="dxa"/>
            <w:vAlign w:val="bottom"/>
            <w:vMerge w:val="restart"/>
          </w:tcPr>
          <w:p>
            <w:pPr>
              <w:jc w:val="center"/>
              <w:ind w:left="108"/>
              <w:spacing w:after="0"/>
              <w:rPr>
                <w:sz w:val="20"/>
                <w:szCs w:val="20"/>
                <w:color w:val="auto"/>
              </w:rPr>
            </w:pPr>
            <w:r>
              <w:rPr>
                <w:rFonts w:ascii="Arial" w:cs="Arial" w:eastAsia="Arial" w:hAnsi="Arial"/>
                <w:sz w:val="14"/>
                <w:szCs w:val="14"/>
                <w:color w:val="auto"/>
              </w:rPr>
              <w:t>​595,040</w:t>
            </w: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780" w:type="dxa"/>
            <w:vAlign w:val="bottom"/>
            <w:vMerge w:val="restart"/>
          </w:tcPr>
          <w:p>
            <w:pPr>
              <w:ind w:left="40"/>
              <w:spacing w:after="0" w:line="255" w:lineRule="exact"/>
              <w:rPr>
                <w:sz w:val="20"/>
                <w:szCs w:val="20"/>
                <w:color w:val="auto"/>
              </w:rPr>
            </w:pPr>
            <w:r>
              <w:rPr>
                <w:rFonts w:ascii="Arial" w:cs="Arial" w:eastAsia="Arial" w:hAnsi="Arial"/>
                <w:sz w:val="14"/>
                <w:szCs w:val="14"/>
                <w:color w:val="auto"/>
              </w:rPr>
              <w:t>(approximately 28)</w:t>
            </w:r>
            <w:r>
              <w:rPr>
                <w:rFonts w:ascii="Arial" w:cs="Arial" w:eastAsia="Arial" w:hAnsi="Arial"/>
                <w:sz w:val="23"/>
                <w:szCs w:val="23"/>
                <w:color w:val="auto"/>
                <w:vertAlign w:val="superscript"/>
              </w:rPr>
              <w:t>(7)</w:t>
            </w:r>
          </w:p>
        </w:tc>
        <w:tc>
          <w:tcPr>
            <w:tcW w:w="2060" w:type="dxa"/>
            <w:vAlign w:val="bottom"/>
            <w:vMerge w:val="continue"/>
          </w:tcPr>
          <w:p>
            <w:pPr>
              <w:spacing w:after="0"/>
              <w:rPr>
                <w:sz w:val="10"/>
                <w:szCs w:val="10"/>
                <w:color w:val="auto"/>
              </w:rPr>
            </w:pPr>
          </w:p>
        </w:tc>
        <w:tc>
          <w:tcPr>
            <w:tcW w:w="2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0" w:type="dxa"/>
            <w:vAlign w:val="bottom"/>
            <w:tcBorders>
              <w:bottom w:val="single" w:sz="8" w:color="auto"/>
            </w:tcBorders>
          </w:tcPr>
          <w:p>
            <w:pPr>
              <w:spacing w:after="0"/>
              <w:rPr>
                <w:sz w:val="11"/>
                <w:szCs w:val="11"/>
                <w:color w:val="auto"/>
              </w:rPr>
            </w:pPr>
          </w:p>
        </w:tc>
        <w:tc>
          <w:tcPr>
            <w:tcW w:w="4780" w:type="dxa"/>
            <w:vAlign w:val="bottom"/>
            <w:tcBorders>
              <w:bottom w:val="single" w:sz="8" w:color="auto"/>
            </w:tcBorders>
            <w:vMerge w:val="continue"/>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right="100" w:hanging="359"/>
        <w:spacing w:after="0" w:line="256"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column, except where noted to the contrary, reflect the value of the FY 2025 PSUs granted to the specified individuals or groups as determined by multiplying the target number of shares of Class A common stock subject to the PSUs, by the closing price of our common stock on May 20, 2026, which was $3.79. As further explained above, the FY 2025 PSUs (other than Ms. Bariquit and Mr. Fonseca’s) are subject to performance goals and metrics that have not been set as of the date of this Proxy Statement.</w:t>
      </w:r>
    </w:p>
    <w:p>
      <w:pPr>
        <w:spacing w:after="0" w:line="15" w:lineRule="exact"/>
        <w:rPr>
          <w:rFonts w:ascii="Arial" w:cs="Arial" w:eastAsia="Arial" w:hAnsi="Arial"/>
          <w:sz w:val="14"/>
          <w:szCs w:val="14"/>
          <w:color w:val="auto"/>
        </w:rPr>
      </w:pPr>
    </w:p>
    <w:p>
      <w:pPr>
        <w:ind w:left="380" w:right="100" w:hanging="359"/>
        <w:spacing w:after="0" w:line="281"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column, except where noted to the contrary, reflect the number of shares of Class A common stock issued under the Amended Plan assuming that target level of performance is achieved.</w:t>
      </w:r>
    </w:p>
    <w:p>
      <w:pPr>
        <w:spacing w:after="0" w:line="1" w:lineRule="exact"/>
        <w:rPr>
          <w:rFonts w:ascii="Arial" w:cs="Arial" w:eastAsia="Arial" w:hAnsi="Arial"/>
          <w:sz w:val="14"/>
          <w:szCs w:val="14"/>
          <w:color w:val="auto"/>
        </w:rPr>
      </w:pPr>
    </w:p>
    <w:p>
      <w:pPr>
        <w:ind w:left="380" w:right="320" w:hanging="359"/>
        <w:spacing w:after="0" w:line="281"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row include the target value and target number of shares of Class A common stock subject to Ms. Bariquit’s FY 2025 PSUs assuming that maximum level of performance is achieved.</w:t>
      </w:r>
    </w:p>
    <w:p>
      <w:pPr>
        <w:spacing w:after="0" w:line="1" w:lineRule="exact"/>
        <w:rPr>
          <w:rFonts w:ascii="Arial" w:cs="Arial" w:eastAsia="Arial" w:hAnsi="Arial"/>
          <w:sz w:val="14"/>
          <w:szCs w:val="14"/>
          <w:color w:val="auto"/>
        </w:rPr>
      </w:pPr>
    </w:p>
    <w:p>
      <w:pPr>
        <w:ind w:left="380" w:right="460" w:hanging="359"/>
        <w:spacing w:after="0" w:line="281"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Ms. Hyman has been excluded from the “All Current Executive Officers as a Group” on the basis that she is not an executive officer as of May 20, 2026.</w:t>
      </w:r>
    </w:p>
    <w:p>
      <w:pPr>
        <w:spacing w:after="0" w:line="1" w:lineRule="exact"/>
        <w:rPr>
          <w:rFonts w:ascii="Arial" w:cs="Arial" w:eastAsia="Arial" w:hAnsi="Arial"/>
          <w:sz w:val="14"/>
          <w:szCs w:val="14"/>
          <w:color w:val="auto"/>
        </w:rPr>
      </w:pPr>
    </w:p>
    <w:p>
      <w:pPr>
        <w:ind w:left="380" w:right="280" w:hanging="359"/>
        <w:spacing w:after="0" w:line="281"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row include the target value and target number of shares of Class A common stock subject to Mr. Fonseca’s FY 2025 PSUs assuming that maximum level of performance is achieved.</w:t>
      </w:r>
    </w:p>
    <w:p>
      <w:pPr>
        <w:spacing w:after="0" w:line="1" w:lineRule="exact"/>
        <w:rPr>
          <w:rFonts w:ascii="Arial" w:cs="Arial" w:eastAsia="Arial" w:hAnsi="Arial"/>
          <w:sz w:val="14"/>
          <w:szCs w:val="14"/>
          <w:color w:val="auto"/>
        </w:rPr>
      </w:pPr>
    </w:p>
    <w:p>
      <w:pPr>
        <w:ind w:left="380" w:right="260" w:hanging="359"/>
        <w:spacing w:after="0" w:line="281"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Ms. Bariquit has been excluded from the “All Current Non-Employee Directors as a Group” on the basis that she is an executive officer as of May 15, 2026, and her amounts are reflected above in “All Current Executive Officers as a Group”.</w:t>
      </w:r>
    </w:p>
    <w:p>
      <w:pPr>
        <w:spacing w:after="0" w:line="1" w:lineRule="exact"/>
        <w:rPr>
          <w:rFonts w:ascii="Arial" w:cs="Arial" w:eastAsia="Arial" w:hAnsi="Arial"/>
          <w:sz w:val="14"/>
          <w:szCs w:val="14"/>
          <w:color w:val="auto"/>
        </w:rPr>
      </w:pPr>
    </w:p>
    <w:p>
      <w:pPr>
        <w:ind w:left="380" w:right="40" w:hanging="359"/>
        <w:spacing w:after="0" w:line="256"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row do not include the number of shares of Class A common stock subject to FY 2025 PSUs, or the value thereof, granted to individuals who forfeited their FY 2025 PSUs as a result of their termination of service prior to May 20, 2025, including Ms. Hyman, who ceased to be an executive officer as of May 15, 2026. For Ms. Bariquit, the amount in this row includes the target value and number of shares of Class A common stock subject to Ms. Bariquit’s FY 2025 PSUs assuming maximum level of performance is achieved.</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Additional Information Regarding the Amended Plan</w:t>
      </w:r>
    </w:p>
    <w:p>
      <w:pPr>
        <w:spacing w:after="0" w:line="169"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The following table lists each of our named executive officers, all current executive officers as a group, all current non-employee directors as a group, each associate of the foregoing persons, each other person who received at least 5% of the awards under the 2021 Plan, and all current employees of the Company (other than executive officers) as a group, indicating the aggregate number of options, RSUs and PSUs granted under the 2021 Plan to each of the foregoing since the inception of the 2021 Plan. The closing price of a share of our Class A common stock on May 20, 2026 was $3.79.</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20" w:type="dxa"/>
            <w:vAlign w:val="bottom"/>
            <w:shd w:val="clear" w:color="auto" w:fill="FFE8F5"/>
          </w:tcPr>
          <w:p>
            <w:pPr>
              <w:spacing w:after="0"/>
              <w:rPr>
                <w:sz w:val="22"/>
                <w:szCs w:val="22"/>
                <w:color w:val="auto"/>
              </w:rPr>
            </w:pPr>
          </w:p>
        </w:tc>
        <w:tc>
          <w:tcPr>
            <w:tcW w:w="2480" w:type="dxa"/>
            <w:vAlign w:val="bottom"/>
            <w:shd w:val="clear" w:color="auto" w:fill="FFE8F5"/>
          </w:tcPr>
          <w:p>
            <w:pPr>
              <w:spacing w:after="0"/>
              <w:rPr>
                <w:sz w:val="22"/>
                <w:szCs w:val="22"/>
                <w:color w:val="auto"/>
              </w:rPr>
            </w:pPr>
          </w:p>
        </w:tc>
        <w:tc>
          <w:tcPr>
            <w:tcW w:w="1380" w:type="dxa"/>
            <w:vAlign w:val="bottom"/>
            <w:shd w:val="clear" w:color="auto" w:fill="FFE8F5"/>
          </w:tcPr>
          <w:p>
            <w:pPr>
              <w:ind w:left="180"/>
              <w:spacing w:after="0"/>
              <w:rPr>
                <w:sz w:val="20"/>
                <w:szCs w:val="20"/>
                <w:color w:val="auto"/>
              </w:rPr>
            </w:pPr>
            <w:r>
              <w:rPr>
                <w:rFonts w:ascii="Arial" w:cs="Arial" w:eastAsia="Arial" w:hAnsi="Arial"/>
                <w:sz w:val="14"/>
                <w:szCs w:val="14"/>
                <w:b w:val="1"/>
                <w:bCs w:val="1"/>
                <w:color w:val="auto"/>
              </w:rPr>
              <w:t>Options</w:t>
            </w:r>
          </w:p>
        </w:tc>
        <w:tc>
          <w:tcPr>
            <w:tcW w:w="154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Weighted</w:t>
            </w:r>
          </w:p>
        </w:tc>
        <w:tc>
          <w:tcPr>
            <w:tcW w:w="1700" w:type="dxa"/>
            <w:vAlign w:val="bottom"/>
            <w:shd w:val="clear" w:color="auto" w:fill="FFE8F5"/>
          </w:tcPr>
          <w:p>
            <w:pPr>
              <w:ind w:left="160"/>
              <w:spacing w:after="0"/>
              <w:rPr>
                <w:sz w:val="20"/>
                <w:szCs w:val="20"/>
                <w:color w:val="auto"/>
              </w:rPr>
            </w:pPr>
            <w:r>
              <w:rPr>
                <w:rFonts w:ascii="Arial" w:cs="Arial" w:eastAsia="Arial" w:hAnsi="Arial"/>
                <w:sz w:val="14"/>
                <w:szCs w:val="14"/>
                <w:b w:val="1"/>
                <w:bCs w:val="1"/>
                <w:color w:val="auto"/>
              </w:rPr>
              <w:t>Restricted Stock</w:t>
            </w:r>
          </w:p>
        </w:tc>
        <w:tc>
          <w:tcPr>
            <w:tcW w:w="2280" w:type="dxa"/>
            <w:vAlign w:val="bottom"/>
            <w:shd w:val="clear" w:color="auto" w:fill="FFE8F5"/>
          </w:tcPr>
          <w:p>
            <w:pPr>
              <w:ind w:left="180"/>
              <w:spacing w:after="0"/>
              <w:rPr>
                <w:sz w:val="20"/>
                <w:szCs w:val="20"/>
                <w:color w:val="auto"/>
              </w:rPr>
            </w:pPr>
            <w:r>
              <w:rPr>
                <w:rFonts w:ascii="Arial" w:cs="Arial" w:eastAsia="Arial" w:hAnsi="Arial"/>
                <w:sz w:val="14"/>
                <w:szCs w:val="14"/>
                <w:b w:val="1"/>
                <w:bCs w:val="1"/>
                <w:color w:val="auto"/>
              </w:rPr>
              <w:t>Performance Stock Units</w:t>
            </w:r>
          </w:p>
        </w:tc>
        <w:tc>
          <w:tcPr>
            <w:tcW w:w="0" w:type="dxa"/>
            <w:vAlign w:val="bottom"/>
          </w:tcPr>
          <w:p>
            <w:pPr>
              <w:spacing w:after="0"/>
              <w:rPr>
                <w:sz w:val="1"/>
                <w:szCs w:val="1"/>
                <w:color w:val="auto"/>
              </w:rPr>
            </w:pPr>
          </w:p>
        </w:tc>
      </w:tr>
      <w:tr>
        <w:trPr>
          <w:trHeight w:val="94"/>
        </w:trPr>
        <w:tc>
          <w:tcPr>
            <w:tcW w:w="120" w:type="dxa"/>
            <w:vAlign w:val="bottom"/>
            <w:shd w:val="clear" w:color="auto" w:fill="FFE8F5"/>
          </w:tcPr>
          <w:p>
            <w:pPr>
              <w:spacing w:after="0"/>
              <w:rPr>
                <w:sz w:val="8"/>
                <w:szCs w:val="8"/>
                <w:color w:val="auto"/>
              </w:rPr>
            </w:pPr>
          </w:p>
        </w:tc>
        <w:tc>
          <w:tcPr>
            <w:tcW w:w="2480" w:type="dxa"/>
            <w:vAlign w:val="bottom"/>
            <w:vMerge w:val="restart"/>
            <w:shd w:val="clear" w:color="auto" w:fill="FFE8F5"/>
          </w:tcPr>
          <w:p>
            <w:pPr>
              <w:ind w:left="40"/>
              <w:spacing w:after="0" w:line="257" w:lineRule="exact"/>
              <w:rPr>
                <w:sz w:val="20"/>
                <w:szCs w:val="20"/>
                <w:color w:val="auto"/>
              </w:rPr>
            </w:pPr>
            <w:r>
              <w:rPr>
                <w:rFonts w:ascii="Arial" w:cs="Arial" w:eastAsia="Arial" w:hAnsi="Arial"/>
                <w:sz w:val="28"/>
                <w:szCs w:val="28"/>
                <w:b w:val="1"/>
                <w:bCs w:val="1"/>
                <w:color w:val="auto"/>
                <w:vertAlign w:val="subscript"/>
              </w:rPr>
              <w:t>Name</w:t>
            </w:r>
            <w:r>
              <w:rPr>
                <w:rFonts w:ascii="Arial" w:cs="Arial" w:eastAsia="Arial" w:hAnsi="Arial"/>
                <w:sz w:val="12"/>
                <w:szCs w:val="12"/>
                <w:b w:val="1"/>
                <w:bCs w:val="1"/>
                <w:color w:val="auto"/>
              </w:rPr>
              <w:t>(1)(2)</w:t>
            </w:r>
          </w:p>
        </w:tc>
        <w:tc>
          <w:tcPr>
            <w:tcW w:w="138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granted under</w:t>
            </w:r>
          </w:p>
        </w:tc>
        <w:tc>
          <w:tcPr>
            <w:tcW w:w="1540" w:type="dxa"/>
            <w:vAlign w:val="bottom"/>
            <w:vMerge w:val="continue"/>
            <w:shd w:val="clear" w:color="auto" w:fill="FFE8F5"/>
          </w:tcPr>
          <w:p>
            <w:pPr>
              <w:spacing w:after="0"/>
              <w:rPr>
                <w:sz w:val="8"/>
                <w:szCs w:val="8"/>
                <w:color w:val="auto"/>
              </w:rPr>
            </w:pPr>
          </w:p>
        </w:tc>
        <w:tc>
          <w:tcPr>
            <w:tcW w:w="1700" w:type="dxa"/>
            <w:vAlign w:val="bottom"/>
            <w:vMerge w:val="restart"/>
            <w:shd w:val="clear" w:color="auto" w:fill="FFE8F5"/>
          </w:tcPr>
          <w:p>
            <w:pPr>
              <w:ind w:left="160"/>
              <w:spacing w:after="0"/>
              <w:rPr>
                <w:sz w:val="20"/>
                <w:szCs w:val="20"/>
                <w:color w:val="auto"/>
              </w:rPr>
            </w:pPr>
            <w:r>
              <w:rPr>
                <w:rFonts w:ascii="Arial" w:cs="Arial" w:eastAsia="Arial" w:hAnsi="Arial"/>
                <w:sz w:val="14"/>
                <w:szCs w:val="14"/>
                <w:b w:val="1"/>
                <w:bCs w:val="1"/>
                <w:color w:val="auto"/>
              </w:rPr>
              <w:t>Units granted under</w:t>
            </w:r>
          </w:p>
        </w:tc>
        <w:tc>
          <w:tcPr>
            <w:tcW w:w="228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granted under the 2021 Plan</w:t>
            </w:r>
          </w:p>
        </w:tc>
        <w:tc>
          <w:tcPr>
            <w:tcW w:w="0" w:type="dxa"/>
            <w:vAlign w:val="bottom"/>
          </w:tcPr>
          <w:p>
            <w:pPr>
              <w:spacing w:after="0"/>
              <w:rPr>
                <w:sz w:val="1"/>
                <w:szCs w:val="1"/>
                <w:color w:val="auto"/>
              </w:rPr>
            </w:pPr>
          </w:p>
        </w:tc>
      </w:tr>
      <w:tr>
        <w:trPr>
          <w:trHeight w:val="68"/>
        </w:trPr>
        <w:tc>
          <w:tcPr>
            <w:tcW w:w="120" w:type="dxa"/>
            <w:vAlign w:val="bottom"/>
            <w:shd w:val="clear" w:color="auto" w:fill="FFE8F5"/>
          </w:tcPr>
          <w:p>
            <w:pPr>
              <w:spacing w:after="0"/>
              <w:rPr>
                <w:sz w:val="5"/>
                <w:szCs w:val="5"/>
                <w:color w:val="auto"/>
              </w:rPr>
            </w:pPr>
          </w:p>
        </w:tc>
        <w:tc>
          <w:tcPr>
            <w:tcW w:w="2480" w:type="dxa"/>
            <w:vAlign w:val="bottom"/>
            <w:vMerge w:val="continue"/>
            <w:shd w:val="clear" w:color="auto" w:fill="FFE8F5"/>
          </w:tcPr>
          <w:p>
            <w:pPr>
              <w:spacing w:after="0"/>
              <w:rPr>
                <w:sz w:val="5"/>
                <w:szCs w:val="5"/>
                <w:color w:val="auto"/>
              </w:rPr>
            </w:pPr>
          </w:p>
        </w:tc>
        <w:tc>
          <w:tcPr>
            <w:tcW w:w="1380" w:type="dxa"/>
            <w:vAlign w:val="bottom"/>
            <w:vMerge w:val="continue"/>
            <w:shd w:val="clear" w:color="auto" w:fill="FFE8F5"/>
          </w:tcPr>
          <w:p>
            <w:pPr>
              <w:spacing w:after="0"/>
              <w:rPr>
                <w:sz w:val="5"/>
                <w:szCs w:val="5"/>
                <w:color w:val="auto"/>
              </w:rPr>
            </w:pPr>
          </w:p>
        </w:tc>
        <w:tc>
          <w:tcPr>
            <w:tcW w:w="154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Average Exercise</w:t>
            </w:r>
          </w:p>
        </w:tc>
        <w:tc>
          <w:tcPr>
            <w:tcW w:w="1700" w:type="dxa"/>
            <w:vAlign w:val="bottom"/>
            <w:vMerge w:val="continue"/>
            <w:shd w:val="clear" w:color="auto" w:fill="FFE8F5"/>
          </w:tcPr>
          <w:p>
            <w:pPr>
              <w:spacing w:after="0"/>
              <w:rPr>
                <w:sz w:val="5"/>
                <w:szCs w:val="5"/>
                <w:color w:val="auto"/>
              </w:rPr>
            </w:pPr>
          </w:p>
        </w:tc>
        <w:tc>
          <w:tcPr>
            <w:tcW w:w="2280" w:type="dxa"/>
            <w:vAlign w:val="bottom"/>
            <w:vMerge w:val="continue"/>
            <w:shd w:val="clear" w:color="auto" w:fill="FFE8F5"/>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FFE8F5"/>
          </w:tcPr>
          <w:p>
            <w:pPr>
              <w:spacing w:after="0"/>
              <w:rPr>
                <w:sz w:val="8"/>
                <w:szCs w:val="8"/>
                <w:color w:val="auto"/>
              </w:rPr>
            </w:pPr>
          </w:p>
        </w:tc>
        <w:tc>
          <w:tcPr>
            <w:tcW w:w="2480" w:type="dxa"/>
            <w:vAlign w:val="bottom"/>
            <w:vMerge w:val="continue"/>
            <w:shd w:val="clear" w:color="auto" w:fill="FFE8F5"/>
          </w:tcPr>
          <w:p>
            <w:pPr>
              <w:spacing w:after="0"/>
              <w:rPr>
                <w:sz w:val="8"/>
                <w:szCs w:val="8"/>
                <w:color w:val="auto"/>
              </w:rPr>
            </w:pPr>
          </w:p>
        </w:tc>
        <w:tc>
          <w:tcPr>
            <w:tcW w:w="1380" w:type="dxa"/>
            <w:vAlign w:val="bottom"/>
            <w:vMerge w:val="restart"/>
            <w:shd w:val="clear" w:color="auto" w:fill="FFE8F5"/>
          </w:tcPr>
          <w:p>
            <w:pPr>
              <w:ind w:left="180"/>
              <w:spacing w:after="0" w:line="159" w:lineRule="exact"/>
              <w:rPr>
                <w:sz w:val="20"/>
                <w:szCs w:val="20"/>
                <w:color w:val="auto"/>
              </w:rPr>
            </w:pPr>
            <w:r>
              <w:rPr>
                <w:rFonts w:ascii="Arial" w:cs="Arial" w:eastAsia="Arial" w:hAnsi="Arial"/>
                <w:sz w:val="14"/>
                <w:szCs w:val="14"/>
                <w:b w:val="1"/>
                <w:bCs w:val="1"/>
                <w:color w:val="auto"/>
              </w:rPr>
              <w:t>the 2021 Plan</w:t>
            </w:r>
          </w:p>
        </w:tc>
        <w:tc>
          <w:tcPr>
            <w:tcW w:w="1540" w:type="dxa"/>
            <w:vAlign w:val="bottom"/>
            <w:vMerge w:val="continue"/>
            <w:shd w:val="clear" w:color="auto" w:fill="FFE8F5"/>
          </w:tcPr>
          <w:p>
            <w:pPr>
              <w:spacing w:after="0"/>
              <w:rPr>
                <w:sz w:val="8"/>
                <w:szCs w:val="8"/>
                <w:color w:val="auto"/>
              </w:rPr>
            </w:pPr>
          </w:p>
        </w:tc>
        <w:tc>
          <w:tcPr>
            <w:tcW w:w="1700" w:type="dxa"/>
            <w:vAlign w:val="bottom"/>
            <w:vMerge w:val="restart"/>
            <w:shd w:val="clear" w:color="auto" w:fill="FFE8F5"/>
          </w:tcPr>
          <w:p>
            <w:pPr>
              <w:ind w:left="160"/>
              <w:spacing w:after="0" w:line="159" w:lineRule="exact"/>
              <w:rPr>
                <w:sz w:val="20"/>
                <w:szCs w:val="20"/>
                <w:color w:val="auto"/>
              </w:rPr>
            </w:pPr>
            <w:r>
              <w:rPr>
                <w:rFonts w:ascii="Arial" w:cs="Arial" w:eastAsia="Arial" w:hAnsi="Arial"/>
                <w:sz w:val="14"/>
                <w:szCs w:val="14"/>
                <w:b w:val="1"/>
                <w:bCs w:val="1"/>
                <w:color w:val="auto"/>
              </w:rPr>
              <w:t>the 2021 Plan From</w:t>
            </w:r>
          </w:p>
        </w:tc>
        <w:tc>
          <w:tcPr>
            <w:tcW w:w="2280" w:type="dxa"/>
            <w:vAlign w:val="bottom"/>
            <w:vMerge w:val="restart"/>
            <w:shd w:val="clear" w:color="auto" w:fill="FFE8F5"/>
          </w:tcPr>
          <w:p>
            <w:pPr>
              <w:ind w:left="180"/>
              <w:spacing w:after="0" w:line="159" w:lineRule="exact"/>
              <w:rPr>
                <w:sz w:val="20"/>
                <w:szCs w:val="20"/>
                <w:color w:val="auto"/>
              </w:rPr>
            </w:pPr>
            <w:r>
              <w:rPr>
                <w:rFonts w:ascii="Arial" w:cs="Arial" w:eastAsia="Arial" w:hAnsi="Arial"/>
                <w:sz w:val="14"/>
                <w:szCs w:val="14"/>
                <w:b w:val="1"/>
                <w:bCs w:val="1"/>
                <w:color w:val="auto"/>
              </w:rPr>
              <w:t>From Inception (assuming</w:t>
            </w:r>
          </w:p>
        </w:tc>
        <w:tc>
          <w:tcPr>
            <w:tcW w:w="0" w:type="dxa"/>
            <w:vAlign w:val="bottom"/>
          </w:tcPr>
          <w:p>
            <w:pPr>
              <w:spacing w:after="0"/>
              <w:rPr>
                <w:sz w:val="1"/>
                <w:szCs w:val="1"/>
                <w:color w:val="auto"/>
              </w:rPr>
            </w:pPr>
          </w:p>
        </w:tc>
      </w:tr>
      <w:tr>
        <w:trPr>
          <w:trHeight w:val="64"/>
        </w:trPr>
        <w:tc>
          <w:tcPr>
            <w:tcW w:w="120" w:type="dxa"/>
            <w:vAlign w:val="bottom"/>
            <w:shd w:val="clear" w:color="auto" w:fill="FFE8F5"/>
          </w:tcPr>
          <w:p>
            <w:pPr>
              <w:spacing w:after="0"/>
              <w:rPr>
                <w:sz w:val="5"/>
                <w:szCs w:val="5"/>
                <w:color w:val="auto"/>
              </w:rPr>
            </w:pPr>
          </w:p>
        </w:tc>
        <w:tc>
          <w:tcPr>
            <w:tcW w:w="2480" w:type="dxa"/>
            <w:vAlign w:val="bottom"/>
            <w:shd w:val="clear" w:color="auto" w:fill="FFE8F5"/>
          </w:tcPr>
          <w:p>
            <w:pPr>
              <w:spacing w:after="0"/>
              <w:rPr>
                <w:sz w:val="5"/>
                <w:szCs w:val="5"/>
                <w:color w:val="auto"/>
              </w:rPr>
            </w:pPr>
          </w:p>
        </w:tc>
        <w:tc>
          <w:tcPr>
            <w:tcW w:w="1380" w:type="dxa"/>
            <w:vAlign w:val="bottom"/>
            <w:vMerge w:val="continue"/>
            <w:shd w:val="clear" w:color="auto" w:fill="FFE8F5"/>
          </w:tcPr>
          <w:p>
            <w:pPr>
              <w:spacing w:after="0"/>
              <w:rPr>
                <w:sz w:val="5"/>
                <w:szCs w:val="5"/>
                <w:color w:val="auto"/>
              </w:rPr>
            </w:pPr>
          </w:p>
        </w:tc>
        <w:tc>
          <w:tcPr>
            <w:tcW w:w="154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Price of Options</w:t>
            </w:r>
          </w:p>
        </w:tc>
        <w:tc>
          <w:tcPr>
            <w:tcW w:w="1700" w:type="dxa"/>
            <w:vAlign w:val="bottom"/>
            <w:vMerge w:val="continue"/>
            <w:shd w:val="clear" w:color="auto" w:fill="FFE8F5"/>
          </w:tcPr>
          <w:p>
            <w:pPr>
              <w:spacing w:after="0"/>
              <w:rPr>
                <w:sz w:val="5"/>
                <w:szCs w:val="5"/>
                <w:color w:val="auto"/>
              </w:rPr>
            </w:pPr>
          </w:p>
        </w:tc>
        <w:tc>
          <w:tcPr>
            <w:tcW w:w="2280" w:type="dxa"/>
            <w:vAlign w:val="bottom"/>
            <w:vMerge w:val="continue"/>
            <w:shd w:val="clear" w:color="auto" w:fill="FFE8F5"/>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20" w:type="dxa"/>
            <w:vAlign w:val="bottom"/>
            <w:shd w:val="clear" w:color="auto" w:fill="FFE8F5"/>
          </w:tcPr>
          <w:p>
            <w:pPr>
              <w:spacing w:after="0"/>
              <w:rPr>
                <w:sz w:val="11"/>
                <w:szCs w:val="11"/>
                <w:color w:val="auto"/>
              </w:rPr>
            </w:pPr>
          </w:p>
        </w:tc>
        <w:tc>
          <w:tcPr>
            <w:tcW w:w="2480" w:type="dxa"/>
            <w:vAlign w:val="bottom"/>
            <w:shd w:val="clear" w:color="auto" w:fill="FFE8F5"/>
          </w:tcPr>
          <w:p>
            <w:pPr>
              <w:spacing w:after="0"/>
              <w:rPr>
                <w:sz w:val="11"/>
                <w:szCs w:val="11"/>
                <w:color w:val="auto"/>
              </w:rPr>
            </w:pPr>
          </w:p>
        </w:tc>
        <w:tc>
          <w:tcPr>
            <w:tcW w:w="138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From Inception</w:t>
            </w:r>
          </w:p>
        </w:tc>
        <w:tc>
          <w:tcPr>
            <w:tcW w:w="1540" w:type="dxa"/>
            <w:vAlign w:val="bottom"/>
            <w:vMerge w:val="continue"/>
            <w:shd w:val="clear" w:color="auto" w:fill="FFE8F5"/>
          </w:tcPr>
          <w:p>
            <w:pPr>
              <w:spacing w:after="0"/>
              <w:rPr>
                <w:sz w:val="11"/>
                <w:szCs w:val="11"/>
                <w:color w:val="auto"/>
              </w:rPr>
            </w:pPr>
          </w:p>
        </w:tc>
        <w:tc>
          <w:tcPr>
            <w:tcW w:w="1700" w:type="dxa"/>
            <w:vAlign w:val="bottom"/>
            <w:vMerge w:val="restart"/>
            <w:shd w:val="clear" w:color="auto" w:fill="FFE8F5"/>
          </w:tcPr>
          <w:p>
            <w:pPr>
              <w:ind w:left="160"/>
              <w:spacing w:after="0"/>
              <w:rPr>
                <w:sz w:val="20"/>
                <w:szCs w:val="20"/>
                <w:color w:val="auto"/>
              </w:rPr>
            </w:pPr>
            <w:r>
              <w:rPr>
                <w:rFonts w:ascii="Arial" w:cs="Arial" w:eastAsia="Arial" w:hAnsi="Arial"/>
                <w:sz w:val="14"/>
                <w:szCs w:val="14"/>
                <w:b w:val="1"/>
                <w:bCs w:val="1"/>
                <w:color w:val="auto"/>
              </w:rPr>
              <w:t>Inception</w:t>
            </w:r>
            <w:r>
              <w:rPr>
                <w:rFonts w:ascii="Arial" w:cs="Arial" w:eastAsia="Arial" w:hAnsi="Arial"/>
                <w:sz w:val="23"/>
                <w:szCs w:val="23"/>
                <w:b w:val="1"/>
                <w:bCs w:val="1"/>
                <w:color w:val="auto"/>
                <w:vertAlign w:val="superscript"/>
              </w:rPr>
              <w:t>(3)</w:t>
            </w:r>
          </w:p>
        </w:tc>
        <w:tc>
          <w:tcPr>
            <w:tcW w:w="228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target level of performance)</w:t>
            </w:r>
          </w:p>
        </w:tc>
        <w:tc>
          <w:tcPr>
            <w:tcW w:w="0" w:type="dxa"/>
            <w:vAlign w:val="bottom"/>
          </w:tcPr>
          <w:p>
            <w:pPr>
              <w:spacing w:after="0"/>
              <w:rPr>
                <w:sz w:val="1"/>
                <w:szCs w:val="1"/>
                <w:color w:val="auto"/>
              </w:rPr>
            </w:pPr>
          </w:p>
        </w:tc>
      </w:tr>
      <w:tr>
        <w:trPr>
          <w:trHeight w:val="151"/>
        </w:trPr>
        <w:tc>
          <w:tcPr>
            <w:tcW w:w="120" w:type="dxa"/>
            <w:vAlign w:val="bottom"/>
            <w:tcBorders>
              <w:bottom w:val="single" w:sz="8" w:color="auto"/>
            </w:tcBorders>
            <w:shd w:val="clear" w:color="auto" w:fill="FFE8F5"/>
          </w:tcPr>
          <w:p>
            <w:pPr>
              <w:spacing w:after="0"/>
              <w:rPr>
                <w:sz w:val="13"/>
                <w:szCs w:val="13"/>
                <w:color w:val="auto"/>
              </w:rPr>
            </w:pPr>
          </w:p>
        </w:tc>
        <w:tc>
          <w:tcPr>
            <w:tcW w:w="2480" w:type="dxa"/>
            <w:vAlign w:val="bottom"/>
            <w:tcBorders>
              <w:bottom w:val="single" w:sz="8" w:color="auto"/>
            </w:tcBorders>
            <w:shd w:val="clear" w:color="auto" w:fill="FFE8F5"/>
          </w:tcPr>
          <w:p>
            <w:pPr>
              <w:spacing w:after="0"/>
              <w:rPr>
                <w:sz w:val="13"/>
                <w:szCs w:val="13"/>
                <w:color w:val="auto"/>
              </w:rPr>
            </w:pPr>
          </w:p>
        </w:tc>
        <w:tc>
          <w:tcPr>
            <w:tcW w:w="1380" w:type="dxa"/>
            <w:vAlign w:val="bottom"/>
            <w:tcBorders>
              <w:bottom w:val="single" w:sz="8" w:color="auto"/>
            </w:tcBorders>
            <w:vMerge w:val="continue"/>
            <w:shd w:val="clear" w:color="auto" w:fill="FFE8F5"/>
          </w:tcPr>
          <w:p>
            <w:pPr>
              <w:spacing w:after="0"/>
              <w:rPr>
                <w:sz w:val="13"/>
                <w:szCs w:val="13"/>
                <w:color w:val="auto"/>
              </w:rPr>
            </w:pPr>
          </w:p>
        </w:tc>
        <w:tc>
          <w:tcPr>
            <w:tcW w:w="1540" w:type="dxa"/>
            <w:vAlign w:val="bottom"/>
            <w:tcBorders>
              <w:bottom w:val="single" w:sz="8" w:color="auto"/>
            </w:tcBorders>
            <w:shd w:val="clear" w:color="auto" w:fill="FFE8F5"/>
          </w:tcPr>
          <w:p>
            <w:pPr>
              <w:spacing w:after="0"/>
              <w:rPr>
                <w:sz w:val="13"/>
                <w:szCs w:val="13"/>
                <w:color w:val="auto"/>
              </w:rPr>
            </w:pPr>
          </w:p>
        </w:tc>
        <w:tc>
          <w:tcPr>
            <w:tcW w:w="1700" w:type="dxa"/>
            <w:vAlign w:val="bottom"/>
            <w:tcBorders>
              <w:bottom w:val="single" w:sz="8" w:color="auto"/>
            </w:tcBorders>
            <w:vMerge w:val="continue"/>
            <w:shd w:val="clear" w:color="auto" w:fill="FFE8F5"/>
          </w:tcPr>
          <w:p>
            <w:pPr>
              <w:spacing w:after="0"/>
              <w:rPr>
                <w:sz w:val="13"/>
                <w:szCs w:val="13"/>
                <w:color w:val="auto"/>
              </w:rPr>
            </w:pPr>
          </w:p>
        </w:tc>
        <w:tc>
          <w:tcPr>
            <w:tcW w:w="2280" w:type="dxa"/>
            <w:vAlign w:val="bottom"/>
            <w:tcBorders>
              <w:bottom w:val="single" w:sz="8" w:color="auto"/>
            </w:tcBorders>
            <w:vMerge w:val="continue"/>
            <w:shd w:val="clear" w:color="auto" w:fill="FFE8F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Jennifer Y. Hyman</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1,214,458</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1,002,993</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Arial" w:cs="Arial" w:eastAsia="Arial" w:hAnsi="Arial"/>
                <w:sz w:val="14"/>
                <w:szCs w:val="14"/>
                <w:i w:val="1"/>
                <w:iCs w:val="1"/>
                <w:color w:val="auto"/>
              </w:rPr>
              <w:t>Co-Founder, Former Chief</w:t>
            </w:r>
          </w:p>
        </w:tc>
        <w:tc>
          <w:tcPr>
            <w:tcW w:w="13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2480" w:type="dxa"/>
            <w:vAlign w:val="bottom"/>
          </w:tcPr>
          <w:p>
            <w:pPr>
              <w:ind w:left="40"/>
              <w:spacing w:after="0"/>
              <w:rPr>
                <w:sz w:val="20"/>
                <w:szCs w:val="20"/>
                <w:color w:val="auto"/>
              </w:rPr>
            </w:pPr>
            <w:r>
              <w:rPr>
                <w:rFonts w:ascii="Arial" w:cs="Arial" w:eastAsia="Arial" w:hAnsi="Arial"/>
                <w:sz w:val="14"/>
                <w:szCs w:val="14"/>
                <w:i w:val="1"/>
                <w:iCs w:val="1"/>
                <w:color w:val="auto"/>
              </w:rPr>
              <w:t>Executive Officer &amp; President</w:t>
            </w: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Teri Bariquit</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16,759</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Arial" w:cs="Arial" w:eastAsia="Arial" w:hAnsi="Arial"/>
                <w:sz w:val="14"/>
                <w:szCs w:val="14"/>
                <w:i w:val="1"/>
                <w:iCs w:val="1"/>
                <w:color w:val="auto"/>
              </w:rPr>
              <w:t>Interim Chief Executive</w:t>
            </w:r>
          </w:p>
        </w:tc>
        <w:tc>
          <w:tcPr>
            <w:tcW w:w="13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2480" w:type="dxa"/>
            <w:vAlign w:val="bottom"/>
          </w:tcPr>
          <w:p>
            <w:pPr>
              <w:ind w:left="40"/>
              <w:spacing w:after="0"/>
              <w:rPr>
                <w:sz w:val="20"/>
                <w:szCs w:val="20"/>
                <w:color w:val="auto"/>
              </w:rPr>
            </w:pPr>
            <w:r>
              <w:rPr>
                <w:rFonts w:ascii="Arial" w:cs="Arial" w:eastAsia="Arial" w:hAnsi="Arial"/>
                <w:sz w:val="14"/>
                <w:szCs w:val="14"/>
                <w:i w:val="1"/>
                <w:iCs w:val="1"/>
                <w:color w:val="auto"/>
              </w:rPr>
              <w:t>Officer &amp; President</w:t>
            </w: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Sid Thacker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261,848</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24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Chief Financial Officer</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Sarah Tam</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242,005</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24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Chief Merchant Officer</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All Current Executive Officers as a</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831,027​</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2480" w:type="dxa"/>
            <w:vAlign w:val="bottom"/>
            <w:vMerge w:val="restart"/>
          </w:tcPr>
          <w:p>
            <w:pPr>
              <w:ind w:left="40"/>
              <w:spacing w:after="0"/>
              <w:rPr>
                <w:sz w:val="20"/>
                <w:szCs w:val="20"/>
                <w:color w:val="auto"/>
              </w:rPr>
            </w:pPr>
            <w:r>
              <w:rPr>
                <w:rFonts w:ascii="Arial" w:cs="Arial" w:eastAsia="Arial" w:hAnsi="Arial"/>
                <w:sz w:val="14"/>
                <w:szCs w:val="14"/>
                <w:color w:val="auto"/>
              </w:rPr>
              <w:t>Group (6 persons)</w:t>
            </w:r>
            <w:r>
              <w:rPr>
                <w:rFonts w:ascii="Arial" w:cs="Arial" w:eastAsia="Arial" w:hAnsi="Arial"/>
                <w:sz w:val="23"/>
                <w:szCs w:val="23"/>
                <w:color w:val="auto"/>
                <w:vertAlign w:val="superscript"/>
              </w:rPr>
              <w:t>(4)</w:t>
            </w:r>
          </w:p>
        </w:tc>
        <w:tc>
          <w:tcPr>
            <w:tcW w:w="13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All Current Non-Executive Directors</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19,181</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2480" w:type="dxa"/>
            <w:vAlign w:val="bottom"/>
            <w:vMerge w:val="restart"/>
          </w:tcPr>
          <w:p>
            <w:pPr>
              <w:ind w:left="40"/>
              <w:spacing w:after="0"/>
              <w:rPr>
                <w:sz w:val="20"/>
                <w:szCs w:val="20"/>
                <w:color w:val="auto"/>
              </w:rPr>
            </w:pPr>
            <w:r>
              <w:rPr>
                <w:rFonts w:ascii="Arial" w:cs="Arial" w:eastAsia="Arial" w:hAnsi="Arial"/>
                <w:sz w:val="14"/>
                <w:szCs w:val="14"/>
                <w:color w:val="auto"/>
              </w:rPr>
              <w:t>as a Group (3 persons)</w:t>
            </w:r>
            <w:r>
              <w:rPr>
                <w:rFonts w:ascii="Arial" w:cs="Arial" w:eastAsia="Arial" w:hAnsi="Arial"/>
                <w:sz w:val="23"/>
                <w:szCs w:val="23"/>
                <w:color w:val="auto"/>
                <w:vertAlign w:val="superscript"/>
              </w:rPr>
              <w:t>(5)</w:t>
            </w:r>
          </w:p>
        </w:tc>
        <w:tc>
          <w:tcPr>
            <w:tcW w:w="13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Associates of Named Executive</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9"/>
        </w:trPr>
        <w:tc>
          <w:tcPr>
            <w:tcW w:w="120" w:type="dxa"/>
            <w:vAlign w:val="bottom"/>
          </w:tcPr>
          <w:p>
            <w:pPr>
              <w:spacing w:after="0"/>
              <w:rPr>
                <w:sz w:val="9"/>
                <w:szCs w:val="9"/>
                <w:color w:val="auto"/>
              </w:rPr>
            </w:pPr>
          </w:p>
        </w:tc>
        <w:tc>
          <w:tcPr>
            <w:tcW w:w="2480" w:type="dxa"/>
            <w:vAlign w:val="bottom"/>
            <w:vMerge w:val="restart"/>
          </w:tcPr>
          <w:p>
            <w:pPr>
              <w:ind w:left="40"/>
              <w:spacing w:after="0"/>
              <w:rPr>
                <w:sz w:val="20"/>
                <w:szCs w:val="20"/>
                <w:color w:val="auto"/>
              </w:rPr>
            </w:pPr>
            <w:r>
              <w:rPr>
                <w:rFonts w:ascii="Arial" w:cs="Arial" w:eastAsia="Arial" w:hAnsi="Arial"/>
                <w:sz w:val="14"/>
                <w:szCs w:val="14"/>
                <w:color w:val="auto"/>
              </w:rPr>
              <w:t>Officers and Directors</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Each Other Person who Received</w:t>
            </w: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5% of Awards under the Amended</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540" w:type="dxa"/>
            <w:vAlign w:val="bottom"/>
          </w:tcPr>
          <w:p>
            <w:pPr>
              <w:jc w:val="center"/>
              <w:spacing w:after="0"/>
              <w:rPr>
                <w:sz w:val="20"/>
                <w:szCs w:val="20"/>
                <w:color w:val="auto"/>
              </w:rPr>
            </w:pPr>
            <w:r>
              <w:rPr>
                <w:rFonts w:ascii="Arial" w:cs="Arial" w:eastAsia="Arial" w:hAnsi="Arial"/>
                <w:sz w:val="14"/>
                <w:szCs w:val="14"/>
                <w:color w:val="auto"/>
              </w:rPr>
              <w:t>0</w:t>
            </w:r>
          </w:p>
        </w:tc>
        <w:tc>
          <w:tcPr>
            <w:tcW w:w="1700" w:type="dxa"/>
            <w:vAlign w:val="bottom"/>
          </w:tcPr>
          <w:p>
            <w:pPr>
              <w:jc w:val="center"/>
              <w:spacing w:after="0"/>
              <w:rPr>
                <w:sz w:val="20"/>
                <w:szCs w:val="20"/>
                <w:color w:val="auto"/>
              </w:rPr>
            </w:pPr>
            <w:r>
              <w:rPr>
                <w:rFonts w:ascii="Arial" w:cs="Arial" w:eastAsia="Arial" w:hAnsi="Arial"/>
                <w:sz w:val="14"/>
                <w:szCs w:val="14"/>
                <w:color w:val="auto"/>
              </w:rPr>
              <w:t>0</w:t>
            </w:r>
          </w:p>
        </w:tc>
        <w:tc>
          <w:tcPr>
            <w:tcW w:w="2280" w:type="dxa"/>
            <w:vAlign w:val="bottom"/>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Plan</w:t>
            </w: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All Current Employees (other than</w:t>
            </w: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Executive Officers) as a Group</w:t>
            </w:r>
          </w:p>
        </w:tc>
        <w:tc>
          <w:tcPr>
            <w:tcW w:w="1380" w:type="dxa"/>
            <w:vAlign w:val="bottom"/>
          </w:tcPr>
          <w:p>
            <w:pPr>
              <w:jc w:val="center"/>
              <w:spacing w:after="0"/>
              <w:rPr>
                <w:sz w:val="20"/>
                <w:szCs w:val="20"/>
                <w:color w:val="auto"/>
              </w:rPr>
            </w:pPr>
            <w:r>
              <w:rPr>
                <w:rFonts w:ascii="Arial" w:cs="Arial" w:eastAsia="Arial" w:hAnsi="Arial"/>
                <w:sz w:val="14"/>
                <w:szCs w:val="14"/>
                <w:color w:val="auto"/>
              </w:rPr>
              <w:t>4,146</w:t>
            </w:r>
          </w:p>
        </w:tc>
        <w:tc>
          <w:tcPr>
            <w:tcW w:w="1540" w:type="dxa"/>
            <w:vAlign w:val="bottom"/>
          </w:tcPr>
          <w:p>
            <w:pPr>
              <w:jc w:val="center"/>
              <w:spacing w:after="0"/>
              <w:rPr>
                <w:sz w:val="20"/>
                <w:szCs w:val="20"/>
                <w:color w:val="auto"/>
              </w:rPr>
            </w:pPr>
            <w:r>
              <w:rPr>
                <w:rFonts w:ascii="Arial" w:cs="Arial" w:eastAsia="Arial" w:hAnsi="Arial"/>
                <w:sz w:val="14"/>
                <w:szCs w:val="14"/>
                <w:color w:val="auto"/>
              </w:rPr>
              <w:t>$339.76</w:t>
            </w:r>
          </w:p>
        </w:tc>
        <w:tc>
          <w:tcPr>
            <w:tcW w:w="1700" w:type="dxa"/>
            <w:vAlign w:val="bottom"/>
          </w:tcPr>
          <w:p>
            <w:pPr>
              <w:jc w:val="center"/>
              <w:spacing w:after="0"/>
              <w:rPr>
                <w:sz w:val="20"/>
                <w:szCs w:val="20"/>
                <w:color w:val="auto"/>
              </w:rPr>
            </w:pPr>
            <w:r>
              <w:rPr>
                <w:rFonts w:ascii="Arial" w:cs="Arial" w:eastAsia="Arial" w:hAnsi="Arial"/>
                <w:sz w:val="14"/>
                <w:szCs w:val="14"/>
                <w:color w:val="auto"/>
              </w:rPr>
              <w:t>880,736​</w:t>
            </w:r>
          </w:p>
        </w:tc>
        <w:tc>
          <w:tcPr>
            <w:tcW w:w="2280" w:type="dxa"/>
            <w:vAlign w:val="bottom"/>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(approximately 188)</w:t>
            </w: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20" w:hanging="359"/>
        <w:spacing w:after="0" w:line="256"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Rule 12b-2 of the Exchange Act defines an “associate” as (1) any corporation or entity of which the person is a partner, officer or 10% beneficial owner; (2) any trust or estate in which the person has a substantial interest or as to which the person serves as a trustee; and (3) any relative or spouse of the person, or relative of the person’s spouse, who shares the same household or who is a director or officer of the company, its parent or any of its subsidiaries.</w:t>
      </w:r>
    </w:p>
    <w:p>
      <w:pPr>
        <w:spacing w:after="0" w:line="15" w:lineRule="exact"/>
        <w:rPr>
          <w:rFonts w:ascii="Arial" w:cs="Arial" w:eastAsia="Arial" w:hAnsi="Arial"/>
          <w:sz w:val="14"/>
          <w:szCs w:val="14"/>
          <w:color w:val="auto"/>
        </w:rPr>
      </w:pPr>
    </w:p>
    <w:p>
      <w:pPr>
        <w:ind w:left="380" w:right="20" w:hanging="359"/>
        <w:spacing w:after="0" w:line="263"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and values in this table have been adjusted to reflect (i) that certain reverse stock split effectuated in April 2024, (ii) that certain stock option exchange implemented in July 2023, and (iii) the conversion of equity awards denominated in shares of Class B common stock that were converted into equity awards denominated in Class A common stock in connection with the Recapitalization Transactions.</w:t>
      </w:r>
    </w:p>
    <w:p>
      <w:pPr>
        <w:spacing w:after="0" w:line="10" w:lineRule="exact"/>
        <w:rPr>
          <w:rFonts w:ascii="Arial" w:cs="Arial" w:eastAsia="Arial" w:hAnsi="Arial"/>
          <w:sz w:val="14"/>
          <w:szCs w:val="14"/>
          <w:color w:val="auto"/>
        </w:rPr>
      </w:pPr>
    </w:p>
    <w:p>
      <w:pPr>
        <w:ind w:left="380" w:hanging="359"/>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in this column include RSUs held by executive officers which were cancelled in connection with the Recapitalization Transactions.</w:t>
      </w:r>
    </w:p>
    <w:p>
      <w:pPr>
        <w:spacing w:after="0" w:line="55" w:lineRule="exact"/>
        <w:rPr>
          <w:rFonts w:ascii="Arial" w:cs="Arial" w:eastAsia="Arial" w:hAnsi="Arial"/>
          <w:sz w:val="14"/>
          <w:szCs w:val="14"/>
          <w:color w:val="auto"/>
        </w:rPr>
      </w:pPr>
    </w:p>
    <w:p>
      <w:pPr>
        <w:ind w:left="380" w:right="500" w:hanging="359"/>
        <w:spacing w:after="0" w:line="281"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Hyman has been excluded from the “All Current Executive Officers as a group” on the basis that she is not an executive officer as of May 15, 2026.</w:t>
      </w:r>
    </w:p>
    <w:p>
      <w:pPr>
        <w:spacing w:after="0" w:line="1" w:lineRule="exact"/>
        <w:rPr>
          <w:rFonts w:ascii="Arial" w:cs="Arial" w:eastAsia="Arial" w:hAnsi="Arial"/>
          <w:sz w:val="14"/>
          <w:szCs w:val="14"/>
          <w:color w:val="auto"/>
        </w:rPr>
      </w:pPr>
    </w:p>
    <w:p>
      <w:pPr>
        <w:ind w:left="380" w:right="260" w:hanging="359"/>
        <w:spacing w:after="0" w:line="285"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Bariquit has been excluded from the “All Current Non-Employee Directors as a Group” on the basis that she is an executive officer as of May 15, 2026 and her amounts are reflected above in “All Current Executive Officers as a Group”.</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Seeking Stockholder Approval</w:t>
      </w:r>
    </w:p>
    <w:p>
      <w:pPr>
        <w:spacing w:after="0" w:line="171" w:lineRule="exact"/>
        <w:rPr>
          <w:sz w:val="20"/>
          <w:szCs w:val="20"/>
          <w:color w:val="auto"/>
        </w:rPr>
      </w:pPr>
    </w:p>
    <w:p>
      <w:pPr>
        <w:ind w:left="20" w:right="560"/>
        <w:spacing w:after="0" w:line="253" w:lineRule="auto"/>
        <w:rPr>
          <w:sz w:val="20"/>
          <w:szCs w:val="20"/>
          <w:color w:val="auto"/>
        </w:rPr>
      </w:pPr>
      <w:r>
        <w:rPr>
          <w:rFonts w:ascii="Arial" w:cs="Arial" w:eastAsia="Arial" w:hAnsi="Arial"/>
          <w:sz w:val="18"/>
          <w:szCs w:val="18"/>
          <w:color w:val="auto"/>
        </w:rPr>
        <w:t>Our Class A common stock is listed on the Nasdaq Global Market. In order to comply with Nasdaq Listing Rules, including, but not limited to, Rule 5635(c), we are seeking stockholder approval of the First Amendment to the Amended Plan.</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260"/>
        <w:spacing w:after="0" w:line="253" w:lineRule="auto"/>
        <w:rPr>
          <w:sz w:val="20"/>
          <w:szCs w:val="20"/>
          <w:color w:val="auto"/>
        </w:rPr>
      </w:pPr>
      <w:r>
        <w:rPr>
          <w:rFonts w:ascii="Arial" w:cs="Arial" w:eastAsia="Arial" w:hAnsi="Arial"/>
          <w:sz w:val="18"/>
          <w:szCs w:val="18"/>
          <w:color w:val="auto"/>
        </w:rPr>
        <w:t>Nasdaq Listing Rule 5635(c) requires stockholder approval prior to the issuance of securities when a stock option or purchase plan is to be established or materially amended, pursuant to which stock may be acquired by officers, directors, employees or consultants.</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Consequences if Stockholder Approval Is Not Obtained</w:t>
      </w:r>
    </w:p>
    <w:p>
      <w:pPr>
        <w:spacing w:after="0" w:line="185" w:lineRule="exact"/>
        <w:rPr>
          <w:sz w:val="20"/>
          <w:szCs w:val="20"/>
          <w:color w:val="auto"/>
        </w:rPr>
      </w:pPr>
    </w:p>
    <w:p>
      <w:pPr>
        <w:ind w:left="20"/>
        <w:spacing w:after="0" w:line="259" w:lineRule="auto"/>
        <w:rPr>
          <w:sz w:val="20"/>
          <w:szCs w:val="20"/>
          <w:color w:val="auto"/>
        </w:rPr>
      </w:pPr>
      <w:r>
        <w:rPr>
          <w:rFonts w:ascii="Arial" w:cs="Arial" w:eastAsia="Arial" w:hAnsi="Arial"/>
          <w:sz w:val="17"/>
          <w:szCs w:val="17"/>
          <w:color w:val="auto"/>
        </w:rPr>
        <w:t>As noted above, if the Plan Amendment Proposal is not approved by our stockholders, then there will not be a sufficient number of shares of Class A common stock under the 2021 Plan in order to deliver shares of Class A common stock with respect to any vested FY 2025 PSUs. In addition, we will be unable to provide equity-based compensation to eligible employees and other service providers once the 2021 Plan share pool is depleted. Equity-based compensation is a critical feature of our executive and employee compensation program and the inability to grant equity awards in the future may adversely impact our ability to attract and retain talent and accordingly, the Company’s long-term success. We therefore strongly believe that it is critical that you vote “</w:t>
      </w:r>
      <w:r>
        <w:rPr>
          <w:rFonts w:ascii="Arial" w:cs="Arial" w:eastAsia="Arial" w:hAnsi="Arial"/>
          <w:sz w:val="17"/>
          <w:szCs w:val="17"/>
          <w:b w:val="1"/>
          <w:bCs w:val="1"/>
          <w:color w:val="auto"/>
        </w:rPr>
        <w:t>FOR</w:t>
      </w:r>
      <w:r>
        <w:rPr>
          <w:rFonts w:ascii="Arial" w:cs="Arial" w:eastAsia="Arial" w:hAnsi="Arial"/>
          <w:sz w:val="17"/>
          <w:szCs w:val="17"/>
          <w:color w:val="auto"/>
        </w:rPr>
        <w:t>” the Plan Amendment Proposal.</w:t>
      </w:r>
    </w:p>
    <w:p>
      <w:pPr>
        <w:spacing w:after="0" w:line="107" w:lineRule="exact"/>
        <w:rPr>
          <w:sz w:val="20"/>
          <w:szCs w:val="20"/>
          <w:color w:val="auto"/>
        </w:rPr>
      </w:pPr>
    </w:p>
    <w:p>
      <w:pPr>
        <w:ind w:left="20" w:right="38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Plan Amendment Proposal.</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Executive Officers</w:t>
      </w:r>
    </w:p>
    <w:p>
      <w:pPr>
        <w:spacing w:after="0" w:line="212" w:lineRule="exact"/>
        <w:rPr>
          <w:sz w:val="20"/>
          <w:szCs w:val="20"/>
          <w:color w:val="auto"/>
        </w:rPr>
      </w:pPr>
    </w:p>
    <w:p>
      <w:pPr>
        <w:ind w:left="20" w:right="240"/>
        <w:spacing w:after="0" w:line="271" w:lineRule="auto"/>
        <w:rPr>
          <w:sz w:val="20"/>
          <w:szCs w:val="20"/>
          <w:color w:val="auto"/>
        </w:rPr>
      </w:pPr>
      <w:r>
        <w:rPr>
          <w:rFonts w:ascii="Arial" w:cs="Arial" w:eastAsia="Arial" w:hAnsi="Arial"/>
          <w:sz w:val="18"/>
          <w:szCs w:val="18"/>
          <w:color w:val="auto"/>
        </w:rPr>
        <w:t>Below is information regarding each of our current executive officers. Our executive officers serve at the discretion of our Board of Directors. There are no family relationships among any of our directors or executive officers.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329"/>
        </w:trPr>
        <w:tc>
          <w:tcPr>
            <w:tcW w:w="2240" w:type="dxa"/>
            <w:vAlign w:val="bottom"/>
            <w:tcBorders>
              <w:bottom w:val="single" w:sz="8" w:color="FFE8F5"/>
            </w:tcBorders>
            <w:shd w:val="clear" w:color="auto" w:fill="FFE8F5"/>
          </w:tcPr>
          <w:p>
            <w:pPr>
              <w:ind w:left="160"/>
              <w:spacing w:after="0"/>
              <w:rPr>
                <w:sz w:val="20"/>
                <w:szCs w:val="20"/>
                <w:color w:val="auto"/>
              </w:rPr>
            </w:pPr>
            <w:r>
              <w:rPr>
                <w:rFonts w:ascii="Arial" w:cs="Arial" w:eastAsia="Arial" w:hAnsi="Arial"/>
                <w:sz w:val="14"/>
                <w:szCs w:val="14"/>
                <w:b w:val="1"/>
                <w:bCs w:val="1"/>
                <w:color w:val="auto"/>
              </w:rPr>
              <w:t>Name</w:t>
            </w:r>
          </w:p>
        </w:tc>
        <w:tc>
          <w:tcPr>
            <w:tcW w:w="2300" w:type="dxa"/>
            <w:vAlign w:val="bottom"/>
            <w:tcBorders>
              <w:bottom w:val="single" w:sz="8" w:color="FFE8F5"/>
            </w:tcBorders>
            <w:shd w:val="clear" w:color="auto" w:fill="FFE8F5"/>
          </w:tcPr>
          <w:p>
            <w:pPr>
              <w:ind w:left="1020"/>
              <w:spacing w:after="0"/>
              <w:rPr>
                <w:sz w:val="20"/>
                <w:szCs w:val="20"/>
                <w:color w:val="auto"/>
              </w:rPr>
            </w:pPr>
            <w:r>
              <w:rPr>
                <w:rFonts w:ascii="Arial" w:cs="Arial" w:eastAsia="Arial" w:hAnsi="Arial"/>
                <w:sz w:val="14"/>
                <w:szCs w:val="14"/>
                <w:b w:val="1"/>
                <w:bCs w:val="1"/>
                <w:color w:val="auto"/>
              </w:rPr>
              <w:t>Age</w:t>
            </w:r>
          </w:p>
        </w:tc>
        <w:tc>
          <w:tcPr>
            <w:tcW w:w="4960" w:type="dxa"/>
            <w:vAlign w:val="bottom"/>
            <w:tcBorders>
              <w:bottom w:val="single" w:sz="8" w:color="FFE8F5"/>
            </w:tcBorders>
            <w:shd w:val="clear" w:color="auto" w:fill="FFE8F5"/>
          </w:tcPr>
          <w:p>
            <w:pPr>
              <w:ind w:left="1000"/>
              <w:spacing w:after="0"/>
              <w:rPr>
                <w:sz w:val="20"/>
                <w:szCs w:val="20"/>
                <w:color w:val="auto"/>
              </w:rPr>
            </w:pPr>
            <w:r>
              <w:rPr>
                <w:rFonts w:ascii="Arial" w:cs="Arial" w:eastAsia="Arial" w:hAnsi="Arial"/>
                <w:sz w:val="14"/>
                <w:szCs w:val="14"/>
                <w:b w:val="1"/>
                <w:bCs w:val="1"/>
                <w:color w:val="auto"/>
              </w:rPr>
              <w:t>Position</w:t>
            </w:r>
          </w:p>
        </w:tc>
      </w:tr>
      <w:tr>
        <w:trPr>
          <w:trHeight w:val="228"/>
        </w:trPr>
        <w:tc>
          <w:tcPr>
            <w:tcW w:w="224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Teri Bariquit</w:t>
            </w:r>
          </w:p>
        </w:tc>
        <w:tc>
          <w:tcPr>
            <w:tcW w:w="2300" w:type="dxa"/>
            <w:vAlign w:val="bottom"/>
            <w:tcBorders>
              <w:top w:val="single" w:sz="8" w:color="auto"/>
            </w:tcBorders>
          </w:tcPr>
          <w:p>
            <w:pPr>
              <w:ind w:left="1020"/>
              <w:spacing w:after="0"/>
              <w:rPr>
                <w:sz w:val="20"/>
                <w:szCs w:val="20"/>
                <w:color w:val="auto"/>
              </w:rPr>
            </w:pPr>
            <w:r>
              <w:rPr>
                <w:rFonts w:ascii="Arial" w:cs="Arial" w:eastAsia="Arial" w:hAnsi="Arial"/>
                <w:sz w:val="14"/>
                <w:szCs w:val="14"/>
                <w:color w:val="auto"/>
              </w:rPr>
              <w:t>65</w:t>
            </w:r>
          </w:p>
        </w:tc>
        <w:tc>
          <w:tcPr>
            <w:tcW w:w="4960" w:type="dxa"/>
            <w:vAlign w:val="bottom"/>
            <w:tcBorders>
              <w:top w:val="single" w:sz="8" w:color="auto"/>
            </w:tcBorders>
          </w:tcPr>
          <w:p>
            <w:pPr>
              <w:ind w:left="1000"/>
              <w:spacing w:after="0"/>
              <w:rPr>
                <w:sz w:val="20"/>
                <w:szCs w:val="20"/>
                <w:color w:val="auto"/>
              </w:rPr>
            </w:pPr>
            <w:r>
              <w:rPr>
                <w:rFonts w:ascii="Arial" w:cs="Arial" w:eastAsia="Arial" w:hAnsi="Arial"/>
                <w:sz w:val="14"/>
                <w:szCs w:val="14"/>
                <w:color w:val="auto"/>
              </w:rPr>
              <w:t>Interim Chief Executive Officer &amp; President</w:t>
            </w:r>
          </w:p>
        </w:tc>
      </w:tr>
      <w:tr>
        <w:trPr>
          <w:trHeight w:val="35"/>
        </w:trPr>
        <w:tc>
          <w:tcPr>
            <w:tcW w:w="22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2240" w:type="dxa"/>
            <w:vAlign w:val="bottom"/>
          </w:tcPr>
          <w:p>
            <w:pPr>
              <w:ind w:left="160"/>
              <w:spacing w:after="0"/>
              <w:rPr>
                <w:sz w:val="20"/>
                <w:szCs w:val="20"/>
                <w:color w:val="auto"/>
              </w:rPr>
            </w:pPr>
            <w:r>
              <w:rPr>
                <w:rFonts w:ascii="Arial" w:cs="Arial" w:eastAsia="Arial" w:hAnsi="Arial"/>
                <w:sz w:val="14"/>
                <w:szCs w:val="14"/>
                <w:color w:val="auto"/>
              </w:rPr>
              <w:t>Dhiren Fonseca</w:t>
            </w:r>
          </w:p>
        </w:tc>
        <w:tc>
          <w:tcPr>
            <w:tcW w:w="2300" w:type="dxa"/>
            <w:vAlign w:val="bottom"/>
          </w:tcPr>
          <w:p>
            <w:pPr>
              <w:ind w:left="1020"/>
              <w:spacing w:after="0"/>
              <w:rPr>
                <w:sz w:val="20"/>
                <w:szCs w:val="20"/>
                <w:color w:val="auto"/>
              </w:rPr>
            </w:pPr>
            <w:r>
              <w:rPr>
                <w:rFonts w:ascii="Arial" w:cs="Arial" w:eastAsia="Arial" w:hAnsi="Arial"/>
                <w:sz w:val="14"/>
                <w:szCs w:val="14"/>
                <w:color w:val="auto"/>
              </w:rPr>
              <w:t>61</w:t>
            </w:r>
          </w:p>
        </w:tc>
        <w:tc>
          <w:tcPr>
            <w:tcW w:w="4960" w:type="dxa"/>
            <w:vAlign w:val="bottom"/>
          </w:tcPr>
          <w:p>
            <w:pPr>
              <w:ind w:left="1000"/>
              <w:spacing w:after="0"/>
              <w:rPr>
                <w:sz w:val="20"/>
                <w:szCs w:val="20"/>
                <w:color w:val="auto"/>
              </w:rPr>
            </w:pPr>
            <w:r>
              <w:rPr>
                <w:rFonts w:ascii="Arial" w:cs="Arial" w:eastAsia="Arial" w:hAnsi="Arial"/>
                <w:sz w:val="14"/>
                <w:szCs w:val="14"/>
                <w:color w:val="auto"/>
              </w:rPr>
              <w:t>Executive Chairman</w:t>
            </w:r>
          </w:p>
        </w:tc>
      </w:tr>
      <w:tr>
        <w:trPr>
          <w:trHeight w:val="35"/>
        </w:trPr>
        <w:tc>
          <w:tcPr>
            <w:tcW w:w="22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2240" w:type="dxa"/>
            <w:vAlign w:val="bottom"/>
          </w:tcPr>
          <w:p>
            <w:pPr>
              <w:ind w:left="160"/>
              <w:spacing w:after="0"/>
              <w:rPr>
                <w:sz w:val="20"/>
                <w:szCs w:val="20"/>
                <w:color w:val="auto"/>
              </w:rPr>
            </w:pPr>
            <w:r>
              <w:rPr>
                <w:rFonts w:ascii="Arial" w:cs="Arial" w:eastAsia="Arial" w:hAnsi="Arial"/>
                <w:sz w:val="14"/>
                <w:szCs w:val="14"/>
                <w:color w:val="auto"/>
              </w:rPr>
              <w:t>Sid Thacker*</w:t>
            </w:r>
          </w:p>
        </w:tc>
        <w:tc>
          <w:tcPr>
            <w:tcW w:w="2300" w:type="dxa"/>
            <w:vAlign w:val="bottom"/>
          </w:tcPr>
          <w:p>
            <w:pPr>
              <w:ind w:left="1020"/>
              <w:spacing w:after="0"/>
              <w:rPr>
                <w:sz w:val="20"/>
                <w:szCs w:val="20"/>
                <w:color w:val="auto"/>
              </w:rPr>
            </w:pPr>
            <w:r>
              <w:rPr>
                <w:rFonts w:ascii="Arial" w:cs="Arial" w:eastAsia="Arial" w:hAnsi="Arial"/>
                <w:sz w:val="14"/>
                <w:szCs w:val="14"/>
                <w:color w:val="auto"/>
              </w:rPr>
              <w:t>49</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Financial Officer</w:t>
            </w:r>
          </w:p>
        </w:tc>
      </w:tr>
      <w:tr>
        <w:trPr>
          <w:trHeight w:val="35"/>
        </w:trPr>
        <w:tc>
          <w:tcPr>
            <w:tcW w:w="22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2240" w:type="dxa"/>
            <w:vAlign w:val="bottom"/>
          </w:tcPr>
          <w:p>
            <w:pPr>
              <w:ind w:left="160"/>
              <w:spacing w:after="0"/>
              <w:rPr>
                <w:sz w:val="20"/>
                <w:szCs w:val="20"/>
                <w:color w:val="auto"/>
              </w:rPr>
            </w:pPr>
            <w:r>
              <w:rPr>
                <w:rFonts w:ascii="Arial" w:cs="Arial" w:eastAsia="Arial" w:hAnsi="Arial"/>
                <w:sz w:val="14"/>
                <w:szCs w:val="14"/>
                <w:color w:val="auto"/>
              </w:rPr>
              <w:t>Drew Rau</w:t>
            </w:r>
          </w:p>
        </w:tc>
        <w:tc>
          <w:tcPr>
            <w:tcW w:w="2300" w:type="dxa"/>
            <w:vAlign w:val="bottom"/>
          </w:tcPr>
          <w:p>
            <w:pPr>
              <w:ind w:left="1020"/>
              <w:spacing w:after="0"/>
              <w:rPr>
                <w:sz w:val="20"/>
                <w:szCs w:val="20"/>
                <w:color w:val="auto"/>
              </w:rPr>
            </w:pPr>
            <w:r>
              <w:rPr>
                <w:rFonts w:ascii="Arial" w:cs="Arial" w:eastAsia="Arial" w:hAnsi="Arial"/>
                <w:sz w:val="14"/>
                <w:szCs w:val="14"/>
                <w:color w:val="auto"/>
              </w:rPr>
              <w:t>48</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Supply Chain Officer</w:t>
            </w:r>
          </w:p>
        </w:tc>
      </w:tr>
      <w:tr>
        <w:trPr>
          <w:trHeight w:val="35"/>
        </w:trPr>
        <w:tc>
          <w:tcPr>
            <w:tcW w:w="22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2240" w:type="dxa"/>
            <w:vAlign w:val="bottom"/>
          </w:tcPr>
          <w:p>
            <w:pPr>
              <w:ind w:left="160"/>
              <w:spacing w:after="0"/>
              <w:rPr>
                <w:sz w:val="20"/>
                <w:szCs w:val="20"/>
                <w:color w:val="auto"/>
              </w:rPr>
            </w:pPr>
            <w:r>
              <w:rPr>
                <w:rFonts w:ascii="Arial" w:cs="Arial" w:eastAsia="Arial" w:hAnsi="Arial"/>
                <w:sz w:val="14"/>
                <w:szCs w:val="14"/>
                <w:color w:val="auto"/>
              </w:rPr>
              <w:t>Cara Schembri</w:t>
            </w:r>
          </w:p>
        </w:tc>
        <w:tc>
          <w:tcPr>
            <w:tcW w:w="2300" w:type="dxa"/>
            <w:vAlign w:val="bottom"/>
          </w:tcPr>
          <w:p>
            <w:pPr>
              <w:ind w:left="1020"/>
              <w:spacing w:after="0"/>
              <w:rPr>
                <w:sz w:val="20"/>
                <w:szCs w:val="20"/>
                <w:color w:val="auto"/>
              </w:rPr>
            </w:pPr>
            <w:r>
              <w:rPr>
                <w:rFonts w:ascii="Arial" w:cs="Arial" w:eastAsia="Arial" w:hAnsi="Arial"/>
                <w:sz w:val="14"/>
                <w:szCs w:val="14"/>
                <w:color w:val="auto"/>
              </w:rPr>
              <w:t>49</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Legal &amp; Administrative Officer; Secretary</w:t>
            </w:r>
          </w:p>
        </w:tc>
      </w:tr>
      <w:tr>
        <w:trPr>
          <w:trHeight w:val="35"/>
        </w:trPr>
        <w:tc>
          <w:tcPr>
            <w:tcW w:w="22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2240" w:type="dxa"/>
            <w:vAlign w:val="bottom"/>
          </w:tcPr>
          <w:p>
            <w:pPr>
              <w:ind w:left="160"/>
              <w:spacing w:after="0"/>
              <w:rPr>
                <w:sz w:val="20"/>
                <w:szCs w:val="20"/>
                <w:color w:val="auto"/>
              </w:rPr>
            </w:pPr>
            <w:r>
              <w:rPr>
                <w:rFonts w:ascii="Arial" w:cs="Arial" w:eastAsia="Arial" w:hAnsi="Arial"/>
                <w:sz w:val="14"/>
                <w:szCs w:val="14"/>
                <w:color w:val="auto"/>
              </w:rPr>
              <w:t>Sarah Tam</w:t>
            </w:r>
          </w:p>
        </w:tc>
        <w:tc>
          <w:tcPr>
            <w:tcW w:w="2300" w:type="dxa"/>
            <w:vAlign w:val="bottom"/>
          </w:tcPr>
          <w:p>
            <w:pPr>
              <w:ind w:left="1020"/>
              <w:spacing w:after="0"/>
              <w:rPr>
                <w:sz w:val="20"/>
                <w:szCs w:val="20"/>
                <w:color w:val="auto"/>
              </w:rPr>
            </w:pPr>
            <w:r>
              <w:rPr>
                <w:rFonts w:ascii="Arial" w:cs="Arial" w:eastAsia="Arial" w:hAnsi="Arial"/>
                <w:sz w:val="14"/>
                <w:szCs w:val="14"/>
                <w:color w:val="auto"/>
              </w:rPr>
              <w:t>52</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Merchant Officer</w:t>
            </w:r>
          </w:p>
        </w:tc>
      </w:tr>
      <w:tr>
        <w:trPr>
          <w:trHeight w:val="35"/>
        </w:trPr>
        <w:tc>
          <w:tcPr>
            <w:tcW w:w="22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2240" w:type="dxa"/>
            <w:vAlign w:val="bottom"/>
          </w:tcPr>
          <w:p>
            <w:pPr>
              <w:ind w:left="160"/>
              <w:spacing w:after="0"/>
              <w:rPr>
                <w:sz w:val="20"/>
                <w:szCs w:val="20"/>
                <w:color w:val="auto"/>
              </w:rPr>
            </w:pPr>
            <w:r>
              <w:rPr>
                <w:rFonts w:ascii="Arial" w:cs="Arial" w:eastAsia="Arial" w:hAnsi="Arial"/>
                <w:sz w:val="14"/>
                <w:szCs w:val="14"/>
                <w:color w:val="auto"/>
              </w:rPr>
              <w:t>Paige Thomas**</w:t>
            </w:r>
          </w:p>
        </w:tc>
        <w:tc>
          <w:tcPr>
            <w:tcW w:w="2300" w:type="dxa"/>
            <w:vAlign w:val="bottom"/>
          </w:tcPr>
          <w:p>
            <w:pPr>
              <w:ind w:left="1020"/>
              <w:spacing w:after="0"/>
              <w:rPr>
                <w:sz w:val="20"/>
                <w:szCs w:val="20"/>
                <w:color w:val="auto"/>
              </w:rPr>
            </w:pPr>
            <w:r>
              <w:rPr>
                <w:rFonts w:ascii="Arial" w:cs="Arial" w:eastAsia="Arial" w:hAnsi="Arial"/>
                <w:sz w:val="14"/>
                <w:szCs w:val="14"/>
                <w:color w:val="auto"/>
              </w:rPr>
              <w:t>54</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Commercial Officer</w:t>
            </w:r>
          </w:p>
        </w:tc>
      </w:tr>
      <w:tr>
        <w:trPr>
          <w:trHeight w:val="35"/>
        </w:trPr>
        <w:tc>
          <w:tcPr>
            <w:tcW w:w="224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bl>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*On May 18, 2026, Mr. Thacker notified us of his resignation as Chief Financial Officer, effective on or about June 3, 2026.</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Ms. Thomas was appointed as Chief Commercial Officer, effective June 1, 2026.</w:t>
      </w:r>
    </w:p>
    <w:p>
      <w:pPr>
        <w:spacing w:after="0" w:line="180" w:lineRule="exact"/>
        <w:rPr>
          <w:sz w:val="20"/>
          <w:szCs w:val="20"/>
          <w:color w:val="auto"/>
        </w:rPr>
      </w:pPr>
    </w:p>
    <w:p>
      <w:pPr>
        <w:ind w:left="20" w:right="740"/>
        <w:spacing w:after="0" w:line="301" w:lineRule="auto"/>
        <w:rPr>
          <w:sz w:val="20"/>
          <w:szCs w:val="20"/>
          <w:color w:val="auto"/>
        </w:rPr>
      </w:pPr>
      <w:r>
        <w:rPr>
          <w:rFonts w:ascii="Arial" w:cs="Arial" w:eastAsia="Arial" w:hAnsi="Arial"/>
          <w:sz w:val="17"/>
          <w:szCs w:val="17"/>
          <w:b w:val="1"/>
          <w:bCs w:val="1"/>
          <w:color w:val="auto"/>
        </w:rPr>
        <w:t xml:space="preserve">Teri Bariquit </w:t>
      </w:r>
      <w:r>
        <w:rPr>
          <w:rFonts w:ascii="Arial" w:cs="Arial" w:eastAsia="Arial" w:hAnsi="Arial"/>
          <w:sz w:val="17"/>
          <w:szCs w:val="17"/>
          <w:color w:val="auto"/>
        </w:rPr>
        <w:t>has served as our interim Chief Executive Officer and President since May 2026. Please see the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About Board Nominees and Continuing Directors” section for additional biographical information.</w:t>
      </w:r>
    </w:p>
    <w:p>
      <w:pPr>
        <w:spacing w:after="0" w:line="90" w:lineRule="exact"/>
        <w:rPr>
          <w:sz w:val="20"/>
          <w:szCs w:val="20"/>
          <w:color w:val="auto"/>
        </w:rPr>
      </w:pPr>
    </w:p>
    <w:p>
      <w:pPr>
        <w:ind w:left="20" w:right="40"/>
        <w:spacing w:after="0" w:line="271" w:lineRule="auto"/>
        <w:rPr>
          <w:sz w:val="20"/>
          <w:szCs w:val="20"/>
          <w:color w:val="auto"/>
        </w:rPr>
      </w:pPr>
      <w:r>
        <w:rPr>
          <w:rFonts w:ascii="Arial" w:cs="Arial" w:eastAsia="Arial" w:hAnsi="Arial"/>
          <w:sz w:val="18"/>
          <w:szCs w:val="18"/>
          <w:b w:val="1"/>
          <w:bCs w:val="1"/>
          <w:color w:val="auto"/>
        </w:rPr>
        <w:t xml:space="preserve">Dhiren Fonseca </w:t>
      </w:r>
      <w:r>
        <w:rPr>
          <w:rFonts w:ascii="Arial" w:cs="Arial" w:eastAsia="Arial" w:hAnsi="Arial"/>
          <w:sz w:val="18"/>
          <w:szCs w:val="18"/>
          <w:color w:val="auto"/>
        </w:rPr>
        <w:t>has served as our Executive Chairman since October 2025. Please see the “Information About Board</w:t>
      </w:r>
      <w:r>
        <w:rPr>
          <w:rFonts w:ascii="Arial" w:cs="Arial" w:eastAsia="Arial" w:hAnsi="Arial"/>
          <w:sz w:val="18"/>
          <w:szCs w:val="18"/>
          <w:b w:val="1"/>
          <w:bCs w:val="1"/>
          <w:color w:val="auto"/>
        </w:rPr>
        <w:t xml:space="preserve"> </w:t>
      </w:r>
      <w:r>
        <w:rPr>
          <w:rFonts w:ascii="Arial" w:cs="Arial" w:eastAsia="Arial" w:hAnsi="Arial"/>
          <w:sz w:val="18"/>
          <w:szCs w:val="18"/>
          <w:color w:val="auto"/>
        </w:rPr>
        <w:t>Nominees and Continuing Directors” section for additional biographical information.</w:t>
      </w:r>
    </w:p>
    <w:p>
      <w:pPr>
        <w:spacing w:after="0" w:line="113" w:lineRule="exact"/>
        <w:rPr>
          <w:sz w:val="20"/>
          <w:szCs w:val="20"/>
          <w:color w:val="auto"/>
        </w:rPr>
      </w:pPr>
    </w:p>
    <w:p>
      <w:pPr>
        <w:ind w:left="20" w:right="80"/>
        <w:spacing w:after="0" w:line="259" w:lineRule="auto"/>
        <w:rPr>
          <w:sz w:val="20"/>
          <w:szCs w:val="20"/>
          <w:color w:val="auto"/>
        </w:rPr>
      </w:pPr>
      <w:r>
        <w:rPr>
          <w:rFonts w:ascii="Arial" w:cs="Arial" w:eastAsia="Arial" w:hAnsi="Arial"/>
          <w:sz w:val="17"/>
          <w:szCs w:val="17"/>
          <w:b w:val="1"/>
          <w:bCs w:val="1"/>
          <w:color w:val="auto"/>
        </w:rPr>
        <w:t xml:space="preserve">Sid Thacker </w:t>
      </w:r>
      <w:r>
        <w:rPr>
          <w:rFonts w:ascii="Arial" w:cs="Arial" w:eastAsia="Arial" w:hAnsi="Arial"/>
          <w:sz w:val="17"/>
          <w:szCs w:val="17"/>
          <w:color w:val="auto"/>
        </w:rPr>
        <w:t>has served as our Chief Financial Officer since May 2023. Prior to that, he served as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Senior Vice President, FP&amp;A from July 2022 to May 2023. Prior to joining RTR, from January 2020 to March 2022, Mr. Thacker served as an Investment Partner at Coalition Investment Partners, an alternative asset manager. From June 2018 to January 2020, Mr. Thacker served as CEO of SAR Capital Advisors, LP, an investment advisory firm, and from August 2011 to December 2017, he served as Founder, CEO and CIO of Signpost Capital Advisors, LP, an investment advisory firm. Mr. Thacker holds a B.A. from Oberlin College and an M.B.A. from Harvard Business School.</w:t>
      </w:r>
    </w:p>
    <w:p>
      <w:pPr>
        <w:spacing w:after="0" w:line="138"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b w:val="1"/>
          <w:bCs w:val="1"/>
          <w:color w:val="auto"/>
        </w:rPr>
        <w:t xml:space="preserve">Drew Rau </w:t>
      </w:r>
      <w:r>
        <w:rPr>
          <w:rFonts w:ascii="Arial" w:cs="Arial" w:eastAsia="Arial" w:hAnsi="Arial"/>
          <w:sz w:val="18"/>
          <w:szCs w:val="18"/>
          <w:color w:val="auto"/>
        </w:rPr>
        <w:t>has served as our Chief Supply Chain Officer since September 2023. Prior to that, he served as our SVP,</w:t>
      </w:r>
      <w:r>
        <w:rPr>
          <w:rFonts w:ascii="Arial" w:cs="Arial" w:eastAsia="Arial" w:hAnsi="Arial"/>
          <w:sz w:val="18"/>
          <w:szCs w:val="18"/>
          <w:b w:val="1"/>
          <w:bCs w:val="1"/>
          <w:color w:val="auto"/>
        </w:rPr>
        <w:t xml:space="preserve"> </w:t>
      </w:r>
      <w:r>
        <w:rPr>
          <w:rFonts w:ascii="Arial" w:cs="Arial" w:eastAsia="Arial" w:hAnsi="Arial"/>
          <w:sz w:val="18"/>
          <w:szCs w:val="18"/>
          <w:color w:val="auto"/>
        </w:rPr>
        <w:t>Supply Chain and Inventory from January 2023 to August 2023, after joining us in November 2021 as VP, Inventory Performance, Capacity Management and Planning, Transportation, and Loss Prevention. Prior to that, Mr. Rau served as VP Global Supply Chain at Overstock.com, an e-commerce marketplace, from November 2020 to November 2021 and as VP of Operations, Agricultural Operations and People Safety at Bowery Farming, an indoor agriculture startup, from February 2019 to November 2020. Mr. Rau also held several roles of increasing seniority at Amazon from November 2014 to February 2019, including Director of Fulfillment where he oversaw the Prime Pantry and Sub Same Day fulfillment network. Mr. Rau holds a B.S. in Business Management and Computer Information Systems from the Metropolitan State University of Denver and an M.B.A. from the University of Denver.</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Cara Schembri </w:t>
      </w:r>
      <w:r>
        <w:rPr>
          <w:rFonts w:ascii="Arial" w:cs="Arial" w:eastAsia="Arial" w:hAnsi="Arial"/>
          <w:sz w:val="18"/>
          <w:szCs w:val="18"/>
          <w:color w:val="auto"/>
        </w:rPr>
        <w:t>has served as our Chief Legal &amp; Administrative Officer since December 2023, after serving as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and Corporate Secretary since December 2019 and also serving as Interim Chief People 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She began her career in private practice at Norton Rose Fulbright LLP and Sidley Austin LLP. Ms. Schembri holds a B.A. in Philosophy from Binghamton University and a J.D. from The George Washington University Law School.</w:t>
      </w:r>
    </w:p>
    <w:p>
      <w:pPr>
        <w:spacing w:after="0" w:line="140" w:lineRule="exact"/>
        <w:rPr>
          <w:sz w:val="20"/>
          <w:szCs w:val="20"/>
          <w:color w:val="auto"/>
        </w:rPr>
      </w:pPr>
    </w:p>
    <w:p>
      <w:pPr>
        <w:ind w:left="20" w:right="200"/>
        <w:spacing w:after="0" w:line="259" w:lineRule="auto"/>
        <w:rPr>
          <w:sz w:val="20"/>
          <w:szCs w:val="20"/>
          <w:color w:val="auto"/>
        </w:rPr>
      </w:pPr>
      <w:r>
        <w:rPr>
          <w:rFonts w:ascii="Arial" w:cs="Arial" w:eastAsia="Arial" w:hAnsi="Arial"/>
          <w:sz w:val="17"/>
          <w:szCs w:val="17"/>
          <w:b w:val="1"/>
          <w:bCs w:val="1"/>
          <w:color w:val="auto"/>
        </w:rPr>
        <w:t xml:space="preserve">Sarah Tam </w:t>
      </w:r>
      <w:r>
        <w:rPr>
          <w:rFonts w:ascii="Arial" w:cs="Arial" w:eastAsia="Arial" w:hAnsi="Arial"/>
          <w:sz w:val="17"/>
          <w:szCs w:val="17"/>
          <w:color w:val="auto"/>
        </w:rPr>
        <w:t>has served as our Chief Merchant Officer since August 2017. Prior to that, she served as our 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Merchandising and Planning from February 2015 to August 2017. Before joining us, Ms. Tam spent</w:t>
      </w:r>
    </w:p>
    <w:p>
      <w:pPr>
        <w:spacing w:after="0" w:line="1" w:lineRule="exact"/>
        <w:rPr>
          <w:sz w:val="20"/>
          <w:szCs w:val="20"/>
          <w:color w:val="auto"/>
        </w:rPr>
      </w:pPr>
    </w:p>
    <w:p>
      <w:pPr>
        <w:ind w:left="20" w:right="20"/>
        <w:spacing w:after="0" w:line="242" w:lineRule="auto"/>
        <w:rPr>
          <w:sz w:val="20"/>
          <w:szCs w:val="20"/>
          <w:color w:val="auto"/>
        </w:rPr>
      </w:pPr>
      <w:r>
        <w:rPr>
          <w:rFonts w:ascii="Arial" w:cs="Arial" w:eastAsia="Arial" w:hAnsi="Arial"/>
          <w:sz w:val="18"/>
          <w:szCs w:val="18"/>
          <w:color w:val="auto"/>
        </w:rPr>
        <w:t>19 years at Saks Fifth Avenue, where she most recently served as VP DMM, heading up Women’s Designer RTW, Bridal &amp; Evening. Ms. Tam oversaw the creation, execution, and merchandising strategy of the Women’s European and American Designer business across e-commerce and stores nationwide. During her career at Saks Fifth</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Paige Thomas </w:t>
      </w:r>
      <w:r>
        <w:rPr>
          <w:rFonts w:ascii="Arial" w:cs="Arial" w:eastAsia="Arial" w:hAnsi="Arial"/>
          <w:sz w:val="18"/>
          <w:szCs w:val="18"/>
          <w:color w:val="auto"/>
        </w:rPr>
        <w:t>has served as our Chief Commercial Officer since June 2026. Before joining us, Ms. Thomas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Chief Merchant &amp; Product Innovation Officer at Signet Jewelers from June 2024 to August 2025. Prior to that, she served as President &amp; CEO of Saks OFF 5th from 2020 to 2023. From 2012 to 2020, Ms. Thomas served in various executive roles at Nordstrom, most recently as Executive Vice President, General Merchandise Manager, Mens and Kids from 2017 to 2020, and Executive Vice President, General Merchandise Manager and Chief Merchant of Nordstrom Rack from 2012 to 2017. Ms. Thomas also held several roles of increasing seniority at Kohl’s Department Stores from 2003 to 2012, including Executive Vice President, General Merchandise Manager, Juniors, Jewelry, Accessories, Cosmetics. Ms. Thomas holds a B.A. in Business from the University of Washington.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Executive Compensation</w:t>
      </w:r>
    </w:p>
    <w:p>
      <w:pPr>
        <w:spacing w:after="0" w:line="212"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fiscal year 2025, which ended on January 31, 2026, our “named executive officers” and their positions were as follows:</w:t>
      </w:r>
    </w:p>
    <w:p>
      <w:pPr>
        <w:spacing w:after="0" w:line="142" w:lineRule="exact"/>
        <w:rPr>
          <w:sz w:val="20"/>
          <w:szCs w:val="20"/>
          <w:color w:val="auto"/>
        </w:rPr>
      </w:pPr>
    </w:p>
    <w:p>
      <w:pPr>
        <w:ind w:left="740" w:hanging="359"/>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Jennifer Y. Hyman, Co-Founder, former Chief Executive Officer and President;</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Sid Thacker, Chief Financial Officer; and</w:t>
      </w:r>
    </w:p>
    <w:p>
      <w:pPr>
        <w:ind w:left="740" w:hanging="359"/>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Sarah Tam, Chief Merchant Officer.</w:t>
      </w:r>
    </w:p>
    <w:p>
      <w:pPr>
        <w:spacing w:after="0" w:line="153" w:lineRule="exact"/>
        <w:rPr>
          <w:sz w:val="20"/>
          <w:szCs w:val="20"/>
          <w:color w:val="auto"/>
        </w:rPr>
      </w:pPr>
    </w:p>
    <w:p>
      <w:pPr>
        <w:ind w:left="20" w:right="180"/>
        <w:spacing w:after="0" w:line="244" w:lineRule="auto"/>
        <w:rPr>
          <w:sz w:val="20"/>
          <w:szCs w:val="20"/>
          <w:color w:val="auto"/>
        </w:rPr>
      </w:pPr>
      <w:r>
        <w:rPr>
          <w:rFonts w:ascii="Arial" w:cs="Arial" w:eastAsia="Arial" w:hAnsi="Arial"/>
          <w:sz w:val="18"/>
          <w:szCs w:val="18"/>
          <w:color w:val="auto"/>
        </w:rPr>
        <w:t>Although Ms. Hyman ceased serving as an executive officer on May 15, 2026, she was, and is currently, a named executive officer as of January 31, 2026, and, as a result, we have included her in this executive compensation disclosure, as required by Item 402(a) of Regulation S-K.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36" w:lineRule="exact"/>
        <w:rPr>
          <w:sz w:val="20"/>
          <w:szCs w:val="20"/>
          <w:color w:val="auto"/>
        </w:rPr>
      </w:pPr>
    </w:p>
    <w:p>
      <w:pPr>
        <w:ind w:left="20" w:right="380"/>
        <w:spacing w:after="0" w:line="271" w:lineRule="auto"/>
        <w:rPr>
          <w:sz w:val="20"/>
          <w:szCs w:val="20"/>
          <w:color w:val="auto"/>
        </w:rPr>
      </w:pPr>
      <w:r>
        <w:rPr>
          <w:rFonts w:ascii="Arial" w:cs="Arial" w:eastAsia="Arial" w:hAnsi="Arial"/>
          <w:sz w:val="18"/>
          <w:szCs w:val="18"/>
          <w:color w:val="auto"/>
        </w:rPr>
        <w:t>On May 18, 2026, Mr. Thacker notified us of his resignation as Chief Financial Officer, effective on or about June 3, 2026.</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Summary Compensation Table</w:t>
      </w:r>
    </w:p>
    <w:p>
      <w:pPr>
        <w:spacing w:after="0" w:line="199"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for the fiscal years ended January 31, 2026 and January 31, 2025.</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00" w:type="dxa"/>
            <w:vAlign w:val="bottom"/>
            <w:shd w:val="clear" w:color="auto" w:fill="FFE8F5"/>
          </w:tcPr>
          <w:p>
            <w:pPr>
              <w:spacing w:after="0"/>
              <w:rPr>
                <w:sz w:val="22"/>
                <w:szCs w:val="22"/>
                <w:color w:val="auto"/>
              </w:rPr>
            </w:pPr>
          </w:p>
        </w:tc>
        <w:tc>
          <w:tcPr>
            <w:tcW w:w="2460" w:type="dxa"/>
            <w:vAlign w:val="bottom"/>
            <w:shd w:val="clear" w:color="auto" w:fill="FFE8F5"/>
          </w:tcPr>
          <w:p>
            <w:pPr>
              <w:spacing w:after="0"/>
              <w:rPr>
                <w:sz w:val="22"/>
                <w:szCs w:val="22"/>
                <w:color w:val="auto"/>
              </w:rPr>
            </w:pPr>
          </w:p>
        </w:tc>
        <w:tc>
          <w:tcPr>
            <w:tcW w:w="680" w:type="dxa"/>
            <w:vAlign w:val="bottom"/>
            <w:shd w:val="clear" w:color="auto" w:fill="FFE8F5"/>
          </w:tcPr>
          <w:p>
            <w:pPr>
              <w:spacing w:after="0"/>
              <w:rPr>
                <w:sz w:val="22"/>
                <w:szCs w:val="22"/>
                <w:color w:val="auto"/>
              </w:rPr>
            </w:pPr>
          </w:p>
        </w:tc>
        <w:tc>
          <w:tcPr>
            <w:tcW w:w="320" w:type="dxa"/>
            <w:vAlign w:val="bottom"/>
            <w:shd w:val="clear" w:color="auto" w:fill="FFE8F5"/>
          </w:tcPr>
          <w:p>
            <w:pPr>
              <w:spacing w:after="0"/>
              <w:rPr>
                <w:sz w:val="22"/>
                <w:szCs w:val="22"/>
                <w:color w:val="auto"/>
              </w:rPr>
            </w:pPr>
          </w:p>
        </w:tc>
        <w:tc>
          <w:tcPr>
            <w:tcW w:w="500" w:type="dxa"/>
            <w:vAlign w:val="bottom"/>
            <w:shd w:val="clear" w:color="auto" w:fill="FFE8F5"/>
          </w:tcPr>
          <w:p>
            <w:pPr>
              <w:spacing w:after="0"/>
              <w:rPr>
                <w:sz w:val="22"/>
                <w:szCs w:val="22"/>
                <w:color w:val="auto"/>
              </w:rPr>
            </w:pPr>
          </w:p>
        </w:tc>
        <w:tc>
          <w:tcPr>
            <w:tcW w:w="900" w:type="dxa"/>
            <w:vAlign w:val="bottom"/>
            <w:shd w:val="clear" w:color="auto" w:fill="FFE8F5"/>
          </w:tcPr>
          <w:p>
            <w:pPr>
              <w:spacing w:after="0"/>
              <w:rPr>
                <w:sz w:val="22"/>
                <w:szCs w:val="22"/>
                <w:color w:val="auto"/>
              </w:rPr>
            </w:pPr>
          </w:p>
        </w:tc>
        <w:tc>
          <w:tcPr>
            <w:tcW w:w="920" w:type="dxa"/>
            <w:vAlign w:val="bottom"/>
            <w:vMerge w:val="restart"/>
            <w:shd w:val="clear" w:color="auto" w:fill="FFE8F5"/>
          </w:tcPr>
          <w:p>
            <w:pPr>
              <w:ind w:left="140"/>
              <w:spacing w:after="0"/>
              <w:rPr>
                <w:sz w:val="20"/>
                <w:szCs w:val="20"/>
                <w:color w:val="auto"/>
              </w:rPr>
            </w:pPr>
            <w:r>
              <w:rPr>
                <w:rFonts w:ascii="Arial" w:cs="Arial" w:eastAsia="Arial" w:hAnsi="Arial"/>
                <w:sz w:val="14"/>
                <w:szCs w:val="14"/>
                <w:b w:val="1"/>
                <w:bCs w:val="1"/>
                <w:color w:val="auto"/>
              </w:rPr>
              <w:t>Stock</w:t>
            </w:r>
          </w:p>
        </w:tc>
        <w:tc>
          <w:tcPr>
            <w:tcW w:w="1320" w:type="dxa"/>
            <w:vAlign w:val="bottom"/>
            <w:shd w:val="clear" w:color="auto" w:fill="FFE8F5"/>
          </w:tcPr>
          <w:p>
            <w:pPr>
              <w:ind w:left="140"/>
              <w:spacing w:after="0"/>
              <w:rPr>
                <w:sz w:val="20"/>
                <w:szCs w:val="20"/>
                <w:color w:val="auto"/>
              </w:rPr>
            </w:pPr>
            <w:r>
              <w:rPr>
                <w:rFonts w:ascii="Arial" w:cs="Arial" w:eastAsia="Arial" w:hAnsi="Arial"/>
                <w:sz w:val="14"/>
                <w:szCs w:val="14"/>
                <w:b w:val="1"/>
                <w:bCs w:val="1"/>
                <w:color w:val="auto"/>
              </w:rPr>
              <w:t>Non-Equity</w:t>
            </w:r>
          </w:p>
        </w:tc>
        <w:tc>
          <w:tcPr>
            <w:tcW w:w="1340" w:type="dxa"/>
            <w:vAlign w:val="bottom"/>
            <w:vMerge w:val="restart"/>
            <w:shd w:val="clear" w:color="auto" w:fill="FFE8F5"/>
          </w:tcPr>
          <w:p>
            <w:pPr>
              <w:ind w:left="140"/>
              <w:spacing w:after="0"/>
              <w:rPr>
                <w:sz w:val="20"/>
                <w:szCs w:val="20"/>
                <w:color w:val="auto"/>
              </w:rPr>
            </w:pPr>
            <w:r>
              <w:rPr>
                <w:rFonts w:ascii="Arial" w:cs="Arial" w:eastAsia="Arial" w:hAnsi="Arial"/>
                <w:sz w:val="14"/>
                <w:szCs w:val="14"/>
                <w:b w:val="1"/>
                <w:bCs w:val="1"/>
                <w:color w:val="auto"/>
              </w:rPr>
              <w:t>All Other</w:t>
            </w:r>
          </w:p>
        </w:tc>
        <w:tc>
          <w:tcPr>
            <w:tcW w:w="960" w:type="dxa"/>
            <w:vAlign w:val="bottom"/>
            <w:shd w:val="clear" w:color="auto" w:fill="FFE8F5"/>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FE8F5"/>
          </w:tcPr>
          <w:p>
            <w:pPr>
              <w:spacing w:after="0"/>
              <w:rPr>
                <w:sz w:val="7"/>
                <w:szCs w:val="7"/>
                <w:color w:val="auto"/>
              </w:rPr>
            </w:pPr>
          </w:p>
        </w:tc>
        <w:tc>
          <w:tcPr>
            <w:tcW w:w="2460" w:type="dxa"/>
            <w:vAlign w:val="bottom"/>
            <w:shd w:val="clear" w:color="auto" w:fill="FFE8F5"/>
          </w:tcPr>
          <w:p>
            <w:pPr>
              <w:spacing w:after="0"/>
              <w:rPr>
                <w:sz w:val="7"/>
                <w:szCs w:val="7"/>
                <w:color w:val="auto"/>
              </w:rPr>
            </w:pPr>
          </w:p>
        </w:tc>
        <w:tc>
          <w:tcPr>
            <w:tcW w:w="680" w:type="dxa"/>
            <w:vAlign w:val="bottom"/>
            <w:vMerge w:val="restart"/>
            <w:shd w:val="clear" w:color="auto" w:fill="FFE8F5"/>
          </w:tcPr>
          <w:p>
            <w:pPr>
              <w:ind w:left="120"/>
              <w:spacing w:after="0" w:line="159" w:lineRule="exact"/>
              <w:rPr>
                <w:sz w:val="20"/>
                <w:szCs w:val="20"/>
                <w:color w:val="auto"/>
              </w:rPr>
            </w:pPr>
            <w:r>
              <w:rPr>
                <w:rFonts w:ascii="Arial" w:cs="Arial" w:eastAsia="Arial" w:hAnsi="Arial"/>
                <w:sz w:val="14"/>
                <w:szCs w:val="14"/>
                <w:b w:val="1"/>
                <w:bCs w:val="1"/>
                <w:color w:val="auto"/>
              </w:rPr>
              <w:t>Fiscal</w:t>
            </w:r>
          </w:p>
        </w:tc>
        <w:tc>
          <w:tcPr>
            <w:tcW w:w="820" w:type="dxa"/>
            <w:vAlign w:val="bottom"/>
            <w:gridSpan w:val="2"/>
            <w:vMerge w:val="restart"/>
            <w:shd w:val="clear" w:color="auto" w:fill="FFE8F5"/>
          </w:tcPr>
          <w:p>
            <w:pPr>
              <w:ind w:left="140"/>
              <w:spacing w:after="0" w:line="159" w:lineRule="exact"/>
              <w:rPr>
                <w:sz w:val="20"/>
                <w:szCs w:val="20"/>
                <w:color w:val="auto"/>
              </w:rPr>
            </w:pPr>
            <w:r>
              <w:rPr>
                <w:rFonts w:ascii="Arial" w:cs="Arial" w:eastAsia="Arial" w:hAnsi="Arial"/>
                <w:sz w:val="14"/>
                <w:szCs w:val="14"/>
                <w:b w:val="1"/>
                <w:bCs w:val="1"/>
                <w:color w:val="auto"/>
              </w:rPr>
              <w:t>Salary</w:t>
            </w:r>
          </w:p>
        </w:tc>
        <w:tc>
          <w:tcPr>
            <w:tcW w:w="900" w:type="dxa"/>
            <w:vAlign w:val="bottom"/>
            <w:vMerge w:val="restart"/>
            <w:shd w:val="clear" w:color="auto" w:fill="FFE8F5"/>
          </w:tcPr>
          <w:p>
            <w:pPr>
              <w:ind w:left="120"/>
              <w:spacing w:after="0" w:line="159" w:lineRule="exact"/>
              <w:rPr>
                <w:sz w:val="20"/>
                <w:szCs w:val="20"/>
                <w:color w:val="auto"/>
              </w:rPr>
            </w:pPr>
            <w:r>
              <w:rPr>
                <w:rFonts w:ascii="Arial" w:cs="Arial" w:eastAsia="Arial" w:hAnsi="Arial"/>
                <w:sz w:val="14"/>
                <w:szCs w:val="14"/>
                <w:b w:val="1"/>
                <w:bCs w:val="1"/>
                <w:color w:val="auto"/>
              </w:rPr>
              <w:t>Bonus</w:t>
            </w:r>
          </w:p>
        </w:tc>
        <w:tc>
          <w:tcPr>
            <w:tcW w:w="920" w:type="dxa"/>
            <w:vAlign w:val="bottom"/>
            <w:vMerge w:val="continue"/>
            <w:shd w:val="clear" w:color="auto" w:fill="FFE8F5"/>
          </w:tcPr>
          <w:p>
            <w:pPr>
              <w:spacing w:after="0"/>
              <w:rPr>
                <w:sz w:val="7"/>
                <w:szCs w:val="7"/>
                <w:color w:val="auto"/>
              </w:rPr>
            </w:pPr>
          </w:p>
        </w:tc>
        <w:tc>
          <w:tcPr>
            <w:tcW w:w="1320" w:type="dxa"/>
            <w:vAlign w:val="bottom"/>
            <w:vMerge w:val="restart"/>
            <w:shd w:val="clear" w:color="auto" w:fill="FFE8F5"/>
          </w:tcPr>
          <w:p>
            <w:pPr>
              <w:ind w:left="140"/>
              <w:spacing w:after="0" w:line="159" w:lineRule="exact"/>
              <w:rPr>
                <w:sz w:val="20"/>
                <w:szCs w:val="20"/>
                <w:color w:val="auto"/>
              </w:rPr>
            </w:pPr>
            <w:r>
              <w:rPr>
                <w:rFonts w:ascii="Arial" w:cs="Arial" w:eastAsia="Arial" w:hAnsi="Arial"/>
                <w:sz w:val="14"/>
                <w:szCs w:val="14"/>
                <w:b w:val="1"/>
                <w:bCs w:val="1"/>
                <w:color w:val="auto"/>
              </w:rPr>
              <w:t>Incentive Plan</w:t>
            </w:r>
          </w:p>
        </w:tc>
        <w:tc>
          <w:tcPr>
            <w:tcW w:w="1340" w:type="dxa"/>
            <w:vAlign w:val="bottom"/>
            <w:vMerge w:val="continue"/>
            <w:shd w:val="clear" w:color="auto" w:fill="FFE8F5"/>
          </w:tcPr>
          <w:p>
            <w:pPr>
              <w:spacing w:after="0"/>
              <w:rPr>
                <w:sz w:val="7"/>
                <w:szCs w:val="7"/>
                <w:color w:val="auto"/>
              </w:rPr>
            </w:pPr>
          </w:p>
        </w:tc>
        <w:tc>
          <w:tcPr>
            <w:tcW w:w="960" w:type="dxa"/>
            <w:vAlign w:val="bottom"/>
            <w:vMerge w:val="restart"/>
            <w:shd w:val="clear" w:color="auto" w:fill="FFE8F5"/>
          </w:tcPr>
          <w:p>
            <w:pPr>
              <w:ind w:left="12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8"/>
        </w:trPr>
        <w:tc>
          <w:tcPr>
            <w:tcW w:w="100" w:type="dxa"/>
            <w:vAlign w:val="bottom"/>
            <w:shd w:val="clear" w:color="auto" w:fill="FFE8F5"/>
          </w:tcPr>
          <w:p>
            <w:pPr>
              <w:spacing w:after="0"/>
              <w:rPr>
                <w:sz w:val="6"/>
                <w:szCs w:val="6"/>
                <w:color w:val="auto"/>
              </w:rPr>
            </w:pPr>
          </w:p>
        </w:tc>
        <w:tc>
          <w:tcPr>
            <w:tcW w:w="2460" w:type="dxa"/>
            <w:vAlign w:val="bottom"/>
            <w:vMerge w:val="restart"/>
            <w:shd w:val="clear" w:color="auto" w:fill="FFE8F5"/>
          </w:tcPr>
          <w:p>
            <w:pPr>
              <w:ind w:left="40"/>
              <w:spacing w:after="0" w:line="159" w:lineRule="exact"/>
              <w:rPr>
                <w:sz w:val="20"/>
                <w:szCs w:val="20"/>
                <w:color w:val="auto"/>
              </w:rPr>
            </w:pPr>
            <w:r>
              <w:rPr>
                <w:rFonts w:ascii="Arial" w:cs="Arial" w:eastAsia="Arial" w:hAnsi="Arial"/>
                <w:sz w:val="14"/>
                <w:szCs w:val="14"/>
                <w:b w:val="1"/>
                <w:bCs w:val="1"/>
                <w:color w:val="auto"/>
              </w:rPr>
              <w:t>Name and Principal Position</w:t>
            </w:r>
          </w:p>
        </w:tc>
        <w:tc>
          <w:tcPr>
            <w:tcW w:w="680" w:type="dxa"/>
            <w:vAlign w:val="bottom"/>
            <w:vMerge w:val="continue"/>
            <w:shd w:val="clear" w:color="auto" w:fill="FFE8F5"/>
          </w:tcPr>
          <w:p>
            <w:pPr>
              <w:spacing w:after="0"/>
              <w:rPr>
                <w:sz w:val="6"/>
                <w:szCs w:val="6"/>
                <w:color w:val="auto"/>
              </w:rPr>
            </w:pPr>
          </w:p>
        </w:tc>
        <w:tc>
          <w:tcPr>
            <w:tcW w:w="820" w:type="dxa"/>
            <w:vAlign w:val="bottom"/>
            <w:gridSpan w:val="2"/>
            <w:vMerge w:val="continue"/>
            <w:shd w:val="clear" w:color="auto" w:fill="FFE8F5"/>
          </w:tcPr>
          <w:p>
            <w:pPr>
              <w:spacing w:after="0"/>
              <w:rPr>
                <w:sz w:val="6"/>
                <w:szCs w:val="6"/>
                <w:color w:val="auto"/>
              </w:rPr>
            </w:pPr>
          </w:p>
        </w:tc>
        <w:tc>
          <w:tcPr>
            <w:tcW w:w="900" w:type="dxa"/>
            <w:vAlign w:val="bottom"/>
            <w:vMerge w:val="continue"/>
            <w:shd w:val="clear" w:color="auto" w:fill="FFE8F5"/>
          </w:tcPr>
          <w:p>
            <w:pPr>
              <w:spacing w:after="0"/>
              <w:rPr>
                <w:sz w:val="6"/>
                <w:szCs w:val="6"/>
                <w:color w:val="auto"/>
              </w:rPr>
            </w:pPr>
          </w:p>
        </w:tc>
        <w:tc>
          <w:tcPr>
            <w:tcW w:w="920" w:type="dxa"/>
            <w:vAlign w:val="bottom"/>
            <w:vMerge w:val="restart"/>
            <w:shd w:val="clear" w:color="auto" w:fill="FFE8F5"/>
          </w:tcPr>
          <w:p>
            <w:pPr>
              <w:ind w:left="140"/>
              <w:spacing w:after="0" w:line="159" w:lineRule="exact"/>
              <w:rPr>
                <w:sz w:val="20"/>
                <w:szCs w:val="20"/>
                <w:color w:val="auto"/>
              </w:rPr>
            </w:pPr>
            <w:r>
              <w:rPr>
                <w:rFonts w:ascii="Arial" w:cs="Arial" w:eastAsia="Arial" w:hAnsi="Arial"/>
                <w:sz w:val="14"/>
                <w:szCs w:val="14"/>
                <w:b w:val="1"/>
                <w:bCs w:val="1"/>
                <w:color w:val="auto"/>
              </w:rPr>
              <w:t>Awards</w:t>
            </w:r>
          </w:p>
        </w:tc>
        <w:tc>
          <w:tcPr>
            <w:tcW w:w="1320" w:type="dxa"/>
            <w:vAlign w:val="bottom"/>
            <w:vMerge w:val="continue"/>
            <w:shd w:val="clear" w:color="auto" w:fill="FFE8F5"/>
          </w:tcPr>
          <w:p>
            <w:pPr>
              <w:spacing w:after="0"/>
              <w:rPr>
                <w:sz w:val="6"/>
                <w:szCs w:val="6"/>
                <w:color w:val="auto"/>
              </w:rPr>
            </w:pPr>
          </w:p>
        </w:tc>
        <w:tc>
          <w:tcPr>
            <w:tcW w:w="1340" w:type="dxa"/>
            <w:vAlign w:val="bottom"/>
            <w:vMerge w:val="restart"/>
            <w:shd w:val="clear" w:color="auto" w:fill="FFE8F5"/>
          </w:tcPr>
          <w:p>
            <w:pPr>
              <w:ind w:left="140"/>
              <w:spacing w:after="0" w:line="159" w:lineRule="exact"/>
              <w:rPr>
                <w:sz w:val="20"/>
                <w:szCs w:val="20"/>
                <w:color w:val="auto"/>
              </w:rPr>
            </w:pPr>
            <w:r>
              <w:rPr>
                <w:rFonts w:ascii="Arial" w:cs="Arial" w:eastAsia="Arial" w:hAnsi="Arial"/>
                <w:sz w:val="14"/>
                <w:szCs w:val="14"/>
                <w:b w:val="1"/>
                <w:bCs w:val="1"/>
                <w:color w:val="auto"/>
              </w:rPr>
              <w:t>Compensation</w:t>
            </w:r>
          </w:p>
        </w:tc>
        <w:tc>
          <w:tcPr>
            <w:tcW w:w="960" w:type="dxa"/>
            <w:vAlign w:val="bottom"/>
            <w:vMerge w:val="continue"/>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FE8F5"/>
          </w:tcPr>
          <w:p>
            <w:pPr>
              <w:spacing w:after="0"/>
              <w:rPr>
                <w:sz w:val="7"/>
                <w:szCs w:val="7"/>
                <w:color w:val="auto"/>
              </w:rPr>
            </w:pPr>
          </w:p>
        </w:tc>
        <w:tc>
          <w:tcPr>
            <w:tcW w:w="2460" w:type="dxa"/>
            <w:vAlign w:val="bottom"/>
            <w:vMerge w:val="continue"/>
            <w:shd w:val="clear" w:color="auto" w:fill="FFE8F5"/>
          </w:tcPr>
          <w:p>
            <w:pPr>
              <w:spacing w:after="0"/>
              <w:rPr>
                <w:sz w:val="7"/>
                <w:szCs w:val="7"/>
                <w:color w:val="auto"/>
              </w:rPr>
            </w:pPr>
          </w:p>
        </w:tc>
        <w:tc>
          <w:tcPr>
            <w:tcW w:w="680" w:type="dxa"/>
            <w:vAlign w:val="bottom"/>
            <w:vMerge w:val="restart"/>
            <w:shd w:val="clear" w:color="auto" w:fill="FFE8F5"/>
          </w:tcPr>
          <w:p>
            <w:pPr>
              <w:ind w:left="120"/>
              <w:spacing w:after="0"/>
              <w:rPr>
                <w:sz w:val="20"/>
                <w:szCs w:val="20"/>
                <w:color w:val="auto"/>
              </w:rPr>
            </w:pPr>
            <w:r>
              <w:rPr>
                <w:rFonts w:ascii="Arial" w:cs="Arial" w:eastAsia="Arial" w:hAnsi="Arial"/>
                <w:sz w:val="14"/>
                <w:szCs w:val="14"/>
                <w:b w:val="1"/>
                <w:bCs w:val="1"/>
                <w:color w:val="auto"/>
              </w:rPr>
              <w:t>Year</w:t>
            </w:r>
          </w:p>
        </w:tc>
        <w:tc>
          <w:tcPr>
            <w:tcW w:w="320" w:type="dxa"/>
            <w:vAlign w:val="bottom"/>
            <w:vMerge w:val="restart"/>
            <w:shd w:val="clear" w:color="auto" w:fill="FFE8F5"/>
          </w:tcPr>
          <w:p>
            <w:pPr>
              <w:ind w:left="140"/>
              <w:spacing w:after="0"/>
              <w:rPr>
                <w:sz w:val="20"/>
                <w:szCs w:val="20"/>
                <w:color w:val="auto"/>
              </w:rPr>
            </w:pPr>
            <w:r>
              <w:rPr>
                <w:rFonts w:ascii="Arial" w:cs="Arial" w:eastAsia="Arial" w:hAnsi="Arial"/>
                <w:sz w:val="14"/>
                <w:szCs w:val="14"/>
                <w:b w:val="1"/>
                <w:bCs w:val="1"/>
                <w:color w:val="auto"/>
                <w:w w:val="93"/>
              </w:rPr>
              <w:t>($)</w:t>
            </w:r>
          </w:p>
        </w:tc>
        <w:tc>
          <w:tcPr>
            <w:tcW w:w="500" w:type="dxa"/>
            <w:vAlign w:val="bottom"/>
            <w:vMerge w:val="restart"/>
            <w:shd w:val="clear" w:color="auto" w:fill="FFE8F5"/>
          </w:tcPr>
          <w:p>
            <w:pPr>
              <w:jc w:val="right"/>
              <w:ind w:right="300"/>
              <w:spacing w:after="0"/>
              <w:rPr>
                <w:sz w:val="20"/>
                <w:szCs w:val="20"/>
                <w:color w:val="auto"/>
              </w:rPr>
            </w:pPr>
            <w:r>
              <w:rPr>
                <w:rFonts w:ascii="Arial" w:cs="Arial" w:eastAsia="Arial" w:hAnsi="Arial"/>
                <w:sz w:val="12"/>
                <w:szCs w:val="12"/>
                <w:b w:val="1"/>
                <w:bCs w:val="1"/>
                <w:color w:val="auto"/>
                <w:w w:val="81"/>
              </w:rPr>
              <w:t>(1)</w:t>
            </w:r>
          </w:p>
        </w:tc>
        <w:tc>
          <w:tcPr>
            <w:tcW w:w="900" w:type="dxa"/>
            <w:vAlign w:val="bottom"/>
            <w:vMerge w:val="restart"/>
            <w:shd w:val="clear" w:color="auto" w:fill="FFE8F5"/>
          </w:tcPr>
          <w:p>
            <w:pPr>
              <w:ind w:left="120"/>
              <w:spacing w:after="0"/>
              <w:rPr>
                <w:sz w:val="20"/>
                <w:szCs w:val="20"/>
                <w:color w:val="auto"/>
              </w:rPr>
            </w:pPr>
            <w:r>
              <w:rPr>
                <w:rFonts w:ascii="Arial" w:cs="Arial" w:eastAsia="Arial" w:hAnsi="Arial"/>
                <w:sz w:val="14"/>
                <w:szCs w:val="14"/>
                <w:b w:val="1"/>
                <w:bCs w:val="1"/>
                <w:color w:val="auto"/>
              </w:rPr>
              <w:t>($)</w:t>
            </w:r>
          </w:p>
        </w:tc>
        <w:tc>
          <w:tcPr>
            <w:tcW w:w="920" w:type="dxa"/>
            <w:vAlign w:val="bottom"/>
            <w:vMerge w:val="continue"/>
            <w:shd w:val="clear" w:color="auto" w:fill="FFE8F5"/>
          </w:tcPr>
          <w:p>
            <w:pPr>
              <w:spacing w:after="0"/>
              <w:rPr>
                <w:sz w:val="7"/>
                <w:szCs w:val="7"/>
                <w:color w:val="auto"/>
              </w:rPr>
            </w:pPr>
          </w:p>
        </w:tc>
        <w:tc>
          <w:tcPr>
            <w:tcW w:w="1320" w:type="dxa"/>
            <w:vAlign w:val="bottom"/>
            <w:vMerge w:val="restart"/>
            <w:shd w:val="clear" w:color="auto" w:fill="FFE8F5"/>
          </w:tcPr>
          <w:p>
            <w:pPr>
              <w:ind w:left="140"/>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vMerge w:val="continue"/>
            <w:shd w:val="clear" w:color="auto" w:fill="FFE8F5"/>
          </w:tcPr>
          <w:p>
            <w:pPr>
              <w:spacing w:after="0"/>
              <w:rPr>
                <w:sz w:val="7"/>
                <w:szCs w:val="7"/>
                <w:color w:val="auto"/>
              </w:rPr>
            </w:pPr>
          </w:p>
        </w:tc>
        <w:tc>
          <w:tcPr>
            <w:tcW w:w="960" w:type="dxa"/>
            <w:vAlign w:val="bottom"/>
            <w:vMerge w:val="restart"/>
            <w:shd w:val="clear" w:color="auto" w:fill="FFE8F5"/>
          </w:tcPr>
          <w:p>
            <w:pPr>
              <w:ind w:lef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100" w:type="dxa"/>
            <w:vAlign w:val="bottom"/>
            <w:shd w:val="clear" w:color="auto" w:fill="FFE8F5"/>
          </w:tcPr>
          <w:p>
            <w:pPr>
              <w:spacing w:after="0"/>
              <w:rPr>
                <w:sz w:val="7"/>
                <w:szCs w:val="7"/>
                <w:color w:val="auto"/>
              </w:rPr>
            </w:pPr>
          </w:p>
        </w:tc>
        <w:tc>
          <w:tcPr>
            <w:tcW w:w="2460" w:type="dxa"/>
            <w:vAlign w:val="bottom"/>
            <w:shd w:val="clear" w:color="auto" w:fill="FFE8F5"/>
          </w:tcPr>
          <w:p>
            <w:pPr>
              <w:spacing w:after="0"/>
              <w:rPr>
                <w:sz w:val="7"/>
                <w:szCs w:val="7"/>
                <w:color w:val="auto"/>
              </w:rPr>
            </w:pPr>
          </w:p>
        </w:tc>
        <w:tc>
          <w:tcPr>
            <w:tcW w:w="680" w:type="dxa"/>
            <w:vAlign w:val="bottom"/>
            <w:vMerge w:val="continue"/>
            <w:shd w:val="clear" w:color="auto" w:fill="FFE8F5"/>
          </w:tcPr>
          <w:p>
            <w:pPr>
              <w:spacing w:after="0"/>
              <w:rPr>
                <w:sz w:val="7"/>
                <w:szCs w:val="7"/>
                <w:color w:val="auto"/>
              </w:rPr>
            </w:pPr>
          </w:p>
        </w:tc>
        <w:tc>
          <w:tcPr>
            <w:tcW w:w="320" w:type="dxa"/>
            <w:vAlign w:val="bottom"/>
            <w:vMerge w:val="continue"/>
            <w:shd w:val="clear" w:color="auto" w:fill="FFE8F5"/>
          </w:tcPr>
          <w:p>
            <w:pPr>
              <w:spacing w:after="0"/>
              <w:rPr>
                <w:sz w:val="7"/>
                <w:szCs w:val="7"/>
                <w:color w:val="auto"/>
              </w:rPr>
            </w:pPr>
          </w:p>
        </w:tc>
        <w:tc>
          <w:tcPr>
            <w:tcW w:w="500" w:type="dxa"/>
            <w:vAlign w:val="bottom"/>
            <w:vMerge w:val="continue"/>
            <w:shd w:val="clear" w:color="auto" w:fill="FFE8F5"/>
          </w:tcPr>
          <w:p>
            <w:pPr>
              <w:spacing w:after="0"/>
              <w:rPr>
                <w:sz w:val="7"/>
                <w:szCs w:val="7"/>
                <w:color w:val="auto"/>
              </w:rPr>
            </w:pPr>
          </w:p>
        </w:tc>
        <w:tc>
          <w:tcPr>
            <w:tcW w:w="900" w:type="dxa"/>
            <w:vAlign w:val="bottom"/>
            <w:vMerge w:val="continue"/>
            <w:shd w:val="clear" w:color="auto" w:fill="FFE8F5"/>
          </w:tcPr>
          <w:p>
            <w:pPr>
              <w:spacing w:after="0"/>
              <w:rPr>
                <w:sz w:val="7"/>
                <w:szCs w:val="7"/>
                <w:color w:val="auto"/>
              </w:rPr>
            </w:pPr>
          </w:p>
        </w:tc>
        <w:tc>
          <w:tcPr>
            <w:tcW w:w="920" w:type="dxa"/>
            <w:vAlign w:val="bottom"/>
            <w:vMerge w:val="restart"/>
            <w:shd w:val="clear" w:color="auto" w:fill="FFE8F5"/>
          </w:tcPr>
          <w:p>
            <w:pPr>
              <w:ind w:left="14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(2)(3)</w:t>
            </w:r>
          </w:p>
        </w:tc>
        <w:tc>
          <w:tcPr>
            <w:tcW w:w="1320" w:type="dxa"/>
            <w:vAlign w:val="bottom"/>
            <w:vMerge w:val="continue"/>
            <w:shd w:val="clear" w:color="auto" w:fill="FFE8F5"/>
          </w:tcPr>
          <w:p>
            <w:pPr>
              <w:spacing w:after="0"/>
              <w:rPr>
                <w:sz w:val="7"/>
                <w:szCs w:val="7"/>
                <w:color w:val="auto"/>
              </w:rPr>
            </w:pPr>
          </w:p>
        </w:tc>
        <w:tc>
          <w:tcPr>
            <w:tcW w:w="1340" w:type="dxa"/>
            <w:vAlign w:val="bottom"/>
            <w:vMerge w:val="restart"/>
            <w:shd w:val="clear" w:color="auto" w:fill="FFE8F5"/>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(5)</w:t>
            </w:r>
          </w:p>
        </w:tc>
        <w:tc>
          <w:tcPr>
            <w:tcW w:w="960" w:type="dxa"/>
            <w:vAlign w:val="bottom"/>
            <w:vMerge w:val="continue"/>
            <w:shd w:val="clear" w:color="auto" w:fill="FFE8F5"/>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100" w:type="dxa"/>
            <w:vAlign w:val="bottom"/>
            <w:tcBorders>
              <w:bottom w:val="single" w:sz="8" w:color="auto"/>
            </w:tcBorders>
            <w:shd w:val="clear" w:color="auto" w:fill="FFE8F5"/>
          </w:tcPr>
          <w:p>
            <w:pPr>
              <w:spacing w:after="0"/>
              <w:rPr>
                <w:sz w:val="24"/>
                <w:szCs w:val="24"/>
                <w:color w:val="auto"/>
              </w:rPr>
            </w:pPr>
          </w:p>
        </w:tc>
        <w:tc>
          <w:tcPr>
            <w:tcW w:w="2460" w:type="dxa"/>
            <w:vAlign w:val="bottom"/>
            <w:tcBorders>
              <w:bottom w:val="single" w:sz="8" w:color="auto"/>
            </w:tcBorders>
            <w:shd w:val="clear" w:color="auto" w:fill="FFE8F5"/>
          </w:tcPr>
          <w:p>
            <w:pPr>
              <w:spacing w:after="0"/>
              <w:rPr>
                <w:sz w:val="24"/>
                <w:szCs w:val="24"/>
                <w:color w:val="auto"/>
              </w:rPr>
            </w:pPr>
          </w:p>
        </w:tc>
        <w:tc>
          <w:tcPr>
            <w:tcW w:w="680" w:type="dxa"/>
            <w:vAlign w:val="bottom"/>
            <w:tcBorders>
              <w:bottom w:val="single" w:sz="8" w:color="auto"/>
            </w:tcBorders>
            <w:shd w:val="clear" w:color="auto" w:fill="FFE8F5"/>
          </w:tcPr>
          <w:p>
            <w:pPr>
              <w:spacing w:after="0"/>
              <w:rPr>
                <w:sz w:val="24"/>
                <w:szCs w:val="24"/>
                <w:color w:val="auto"/>
              </w:rPr>
            </w:pPr>
          </w:p>
        </w:tc>
        <w:tc>
          <w:tcPr>
            <w:tcW w:w="320" w:type="dxa"/>
            <w:vAlign w:val="bottom"/>
            <w:tcBorders>
              <w:bottom w:val="single" w:sz="8" w:color="auto"/>
            </w:tcBorders>
            <w:vMerge w:val="continue"/>
            <w:shd w:val="clear" w:color="auto" w:fill="FFE8F5"/>
          </w:tcPr>
          <w:p>
            <w:pPr>
              <w:spacing w:after="0"/>
              <w:rPr>
                <w:sz w:val="24"/>
                <w:szCs w:val="24"/>
                <w:color w:val="auto"/>
              </w:rPr>
            </w:pPr>
          </w:p>
        </w:tc>
        <w:tc>
          <w:tcPr>
            <w:tcW w:w="500" w:type="dxa"/>
            <w:vAlign w:val="bottom"/>
            <w:tcBorders>
              <w:bottom w:val="single" w:sz="8" w:color="auto"/>
            </w:tcBorders>
            <w:shd w:val="clear" w:color="auto" w:fill="FFE8F5"/>
          </w:tcPr>
          <w:p>
            <w:pPr>
              <w:spacing w:after="0"/>
              <w:rPr>
                <w:sz w:val="24"/>
                <w:szCs w:val="24"/>
                <w:color w:val="auto"/>
              </w:rPr>
            </w:pPr>
          </w:p>
        </w:tc>
        <w:tc>
          <w:tcPr>
            <w:tcW w:w="900" w:type="dxa"/>
            <w:vAlign w:val="bottom"/>
            <w:tcBorders>
              <w:bottom w:val="single" w:sz="8" w:color="auto"/>
            </w:tcBorders>
            <w:shd w:val="clear" w:color="auto" w:fill="FFE8F5"/>
          </w:tcPr>
          <w:p>
            <w:pPr>
              <w:spacing w:after="0"/>
              <w:rPr>
                <w:sz w:val="24"/>
                <w:szCs w:val="24"/>
                <w:color w:val="auto"/>
              </w:rPr>
            </w:pPr>
          </w:p>
        </w:tc>
        <w:tc>
          <w:tcPr>
            <w:tcW w:w="920" w:type="dxa"/>
            <w:vAlign w:val="bottom"/>
            <w:tcBorders>
              <w:bottom w:val="single" w:sz="8" w:color="auto"/>
            </w:tcBorders>
            <w:vMerge w:val="continue"/>
            <w:shd w:val="clear" w:color="auto" w:fill="FFE8F5"/>
          </w:tcPr>
          <w:p>
            <w:pPr>
              <w:spacing w:after="0"/>
              <w:rPr>
                <w:sz w:val="24"/>
                <w:szCs w:val="24"/>
                <w:color w:val="auto"/>
              </w:rPr>
            </w:pPr>
          </w:p>
        </w:tc>
        <w:tc>
          <w:tcPr>
            <w:tcW w:w="1320" w:type="dxa"/>
            <w:vAlign w:val="bottom"/>
            <w:tcBorders>
              <w:bottom w:val="single" w:sz="8" w:color="auto"/>
            </w:tcBorders>
            <w:shd w:val="clear" w:color="auto" w:fill="FFE8F5"/>
          </w:tcPr>
          <w:p>
            <w:pPr>
              <w:ind w:left="140"/>
              <w:spacing w:after="0" w:line="296"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(4)</w:t>
            </w:r>
          </w:p>
        </w:tc>
        <w:tc>
          <w:tcPr>
            <w:tcW w:w="1340" w:type="dxa"/>
            <w:vAlign w:val="bottom"/>
            <w:tcBorders>
              <w:bottom w:val="single" w:sz="8" w:color="auto"/>
            </w:tcBorders>
            <w:vMerge w:val="continue"/>
            <w:shd w:val="clear" w:color="auto" w:fill="FFE8F5"/>
          </w:tcPr>
          <w:p>
            <w:pPr>
              <w:spacing w:after="0"/>
              <w:rPr>
                <w:sz w:val="24"/>
                <w:szCs w:val="24"/>
                <w:color w:val="auto"/>
              </w:rPr>
            </w:pPr>
          </w:p>
        </w:tc>
        <w:tc>
          <w:tcPr>
            <w:tcW w:w="960" w:type="dxa"/>
            <w:vAlign w:val="bottom"/>
            <w:tcBorders>
              <w:bottom w:val="single" w:sz="8" w:color="auto"/>
            </w:tcBorders>
            <w:shd w:val="clear" w:color="auto" w:fill="FFE8F5"/>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2460" w:type="dxa"/>
            <w:vAlign w:val="bottom"/>
          </w:tcPr>
          <w:p>
            <w:pPr>
              <w:ind w:left="40"/>
              <w:spacing w:after="0"/>
              <w:rPr>
                <w:sz w:val="20"/>
                <w:szCs w:val="20"/>
                <w:color w:val="auto"/>
              </w:rPr>
            </w:pPr>
            <w:r>
              <w:rPr>
                <w:rFonts w:ascii="Arial" w:cs="Arial" w:eastAsia="Arial" w:hAnsi="Arial"/>
                <w:sz w:val="14"/>
                <w:szCs w:val="14"/>
                <w:b w:val="1"/>
                <w:bCs w:val="1"/>
                <w:color w:val="auto"/>
              </w:rPr>
              <w:t>Jennifer Hyman</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2025</w:t>
            </w:r>
          </w:p>
        </w:tc>
        <w:tc>
          <w:tcPr>
            <w:tcW w:w="820" w:type="dxa"/>
            <w:vAlign w:val="bottom"/>
            <w:gridSpan w:val="2"/>
          </w:tcPr>
          <w:p>
            <w:pPr>
              <w:ind w:left="160"/>
              <w:spacing w:after="0"/>
              <w:rPr>
                <w:sz w:val="20"/>
                <w:szCs w:val="20"/>
                <w:color w:val="auto"/>
              </w:rPr>
            </w:pPr>
            <w:r>
              <w:rPr>
                <w:rFonts w:ascii="Arial" w:cs="Arial" w:eastAsia="Arial" w:hAnsi="Arial"/>
                <w:sz w:val="14"/>
                <w:szCs w:val="14"/>
                <w:color w:val="auto"/>
              </w:rPr>
              <w:t>750,000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8,465,261</w:t>
            </w: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3,330,688</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30,418</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12,576,367</w:t>
            </w: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2460" w:type="dxa"/>
            <w:vAlign w:val="bottom"/>
            <w:vMerge w:val="restart"/>
          </w:tcPr>
          <w:p>
            <w:pPr>
              <w:ind w:left="220"/>
              <w:spacing w:after="0"/>
              <w:rPr>
                <w:sz w:val="20"/>
                <w:szCs w:val="20"/>
                <w:color w:val="auto"/>
              </w:rPr>
            </w:pPr>
            <w:r>
              <w:rPr>
                <w:rFonts w:ascii="Arial" w:cs="Arial" w:eastAsia="Arial" w:hAnsi="Arial"/>
                <w:sz w:val="14"/>
                <w:szCs w:val="14"/>
                <w:color w:val="auto"/>
              </w:rPr>
              <w:t>Co-founder, Former Chief</w:t>
            </w:r>
          </w:p>
        </w:tc>
        <w:tc>
          <w:tcPr>
            <w:tcW w:w="6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460" w:type="dxa"/>
            <w:vAlign w:val="bottom"/>
          </w:tcPr>
          <w:p>
            <w:pPr>
              <w:ind w:left="220"/>
              <w:spacing w:after="0"/>
              <w:rPr>
                <w:sz w:val="20"/>
                <w:szCs w:val="20"/>
                <w:color w:val="auto"/>
              </w:rPr>
            </w:pPr>
            <w:r>
              <w:rPr>
                <w:rFonts w:ascii="Arial" w:cs="Arial" w:eastAsia="Arial" w:hAnsi="Arial"/>
                <w:sz w:val="14"/>
                <w:szCs w:val="14"/>
                <w:color w:val="auto"/>
              </w:rPr>
              <w:t>Executive Officer and President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2024</w:t>
            </w:r>
          </w:p>
        </w:tc>
        <w:tc>
          <w:tcPr>
            <w:tcW w:w="820" w:type="dxa"/>
            <w:vAlign w:val="bottom"/>
            <w:gridSpan w:val="2"/>
          </w:tcPr>
          <w:p>
            <w:pPr>
              <w:ind w:left="160"/>
              <w:spacing w:after="0"/>
              <w:rPr>
                <w:sz w:val="20"/>
                <w:szCs w:val="20"/>
                <w:color w:val="auto"/>
              </w:rPr>
            </w:pPr>
            <w:r>
              <w:rPr>
                <w:rFonts w:ascii="Arial" w:cs="Arial" w:eastAsia="Arial" w:hAnsi="Arial"/>
                <w:sz w:val="14"/>
                <w:szCs w:val="14"/>
                <w:color w:val="auto"/>
              </w:rPr>
              <w:t>650,000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1,172,500</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334,800</w:t>
            </w: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266,752</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40,710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2,464,762</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Sid Thacker</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2025</w:t>
            </w:r>
          </w:p>
        </w:tc>
        <w:tc>
          <w:tcPr>
            <w:tcW w:w="820" w:type="dxa"/>
            <w:vAlign w:val="bottom"/>
            <w:gridSpan w:val="2"/>
          </w:tcPr>
          <w:p>
            <w:pPr>
              <w:ind w:left="160"/>
              <w:spacing w:after="0"/>
              <w:rPr>
                <w:sz w:val="20"/>
                <w:szCs w:val="20"/>
                <w:color w:val="auto"/>
              </w:rPr>
            </w:pPr>
            <w:r>
              <w:rPr>
                <w:rFonts w:ascii="Arial" w:cs="Arial" w:eastAsia="Arial" w:hAnsi="Arial"/>
                <w:sz w:val="14"/>
                <w:szCs w:val="14"/>
                <w:color w:val="auto"/>
              </w:rPr>
              <w:t>550,000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1,693,047</w:t>
            </w: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858,227</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14,600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3,115,874</w:t>
            </w:r>
          </w:p>
        </w:tc>
        <w:tc>
          <w:tcPr>
            <w:tcW w:w="0" w:type="dxa"/>
            <w:vAlign w:val="bottom"/>
          </w:tcPr>
          <w:p>
            <w:pPr>
              <w:spacing w:after="0"/>
              <w:rPr>
                <w:sz w:val="1"/>
                <w:szCs w:val="1"/>
                <w:color w:val="auto"/>
              </w:rPr>
            </w:pPr>
          </w:p>
        </w:tc>
      </w:tr>
      <w:tr>
        <w:trPr>
          <w:trHeight w:val="76"/>
        </w:trPr>
        <w:tc>
          <w:tcPr>
            <w:tcW w:w="100" w:type="dxa"/>
            <w:vAlign w:val="bottom"/>
          </w:tcPr>
          <w:p>
            <w:pPr>
              <w:spacing w:after="0"/>
              <w:rPr>
                <w:sz w:val="6"/>
                <w:szCs w:val="6"/>
                <w:color w:val="auto"/>
              </w:rPr>
            </w:pPr>
          </w:p>
        </w:tc>
        <w:tc>
          <w:tcPr>
            <w:tcW w:w="2460" w:type="dxa"/>
            <w:vAlign w:val="bottom"/>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2460" w:type="dxa"/>
            <w:vAlign w:val="bottom"/>
          </w:tcPr>
          <w:p>
            <w:pPr>
              <w:ind w:left="220"/>
              <w:spacing w:after="0"/>
              <w:rPr>
                <w:sz w:val="20"/>
                <w:szCs w:val="20"/>
                <w:color w:val="auto"/>
              </w:rPr>
            </w:pPr>
            <w:r>
              <w:rPr>
                <w:rFonts w:ascii="Arial" w:cs="Arial" w:eastAsia="Arial" w:hAnsi="Arial"/>
                <w:sz w:val="14"/>
                <w:szCs w:val="14"/>
                <w:color w:val="auto"/>
              </w:rPr>
              <w:t>Chief Financial Officer​</w:t>
            </w: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2024</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auto"/>
              </w:rPr>
              <w:t>475,000</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481,562</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167,396</w:t>
            </w:r>
          </w:p>
        </w:tc>
        <w:tc>
          <w:tcPr>
            <w:tcW w:w="1320" w:type="dxa"/>
            <w:vAlign w:val="bottom"/>
            <w:vMerge w:val="restart"/>
          </w:tcPr>
          <w:p>
            <w:pPr>
              <w:jc w:val="right"/>
              <w:ind w:right="49"/>
              <w:spacing w:after="0"/>
              <w:rPr>
                <w:sz w:val="20"/>
                <w:szCs w:val="20"/>
                <w:color w:val="auto"/>
              </w:rPr>
            </w:pPr>
            <w:r>
              <w:rPr>
                <w:rFonts w:ascii="Arial" w:cs="Arial" w:eastAsia="Arial" w:hAnsi="Arial"/>
                <w:sz w:val="14"/>
                <w:szCs w:val="14"/>
                <w:color w:val="auto"/>
              </w:rPr>
              <w:t>83,822</w:t>
            </w: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14,400</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1,222,180</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Sarah Tam</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2025</w:t>
            </w:r>
          </w:p>
        </w:tc>
        <w:tc>
          <w:tcPr>
            <w:tcW w:w="820" w:type="dxa"/>
            <w:vAlign w:val="bottom"/>
            <w:gridSpan w:val="2"/>
          </w:tcPr>
          <w:p>
            <w:pPr>
              <w:ind w:left="160"/>
              <w:spacing w:after="0"/>
              <w:rPr>
                <w:sz w:val="20"/>
                <w:szCs w:val="20"/>
                <w:color w:val="auto"/>
              </w:rPr>
            </w:pPr>
            <w:r>
              <w:rPr>
                <w:rFonts w:ascii="Arial" w:cs="Arial" w:eastAsia="Arial" w:hAnsi="Arial"/>
                <w:sz w:val="14"/>
                <w:szCs w:val="14"/>
                <w:color w:val="auto"/>
              </w:rPr>
              <w:t>500,000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1,693,047</w:t>
            </w: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789,508</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14,600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2,997,155</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2460" w:type="dxa"/>
            <w:vAlign w:val="bottom"/>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2460" w:type="dxa"/>
            <w:vAlign w:val="bottom"/>
          </w:tcPr>
          <w:p>
            <w:pPr>
              <w:ind w:left="220"/>
              <w:spacing w:after="0"/>
              <w:rPr>
                <w:sz w:val="20"/>
                <w:szCs w:val="20"/>
                <w:color w:val="auto"/>
              </w:rPr>
            </w:pPr>
            <w:r>
              <w:rPr>
                <w:rFonts w:ascii="Arial" w:cs="Arial" w:eastAsia="Arial" w:hAnsi="Arial"/>
                <w:sz w:val="14"/>
                <w:szCs w:val="14"/>
                <w:color w:val="auto"/>
              </w:rPr>
              <w:t>Chief Merchant Officer</w:t>
            </w: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2024</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auto"/>
              </w:rPr>
              <w:t>500,000</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405,625</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120,897</w:t>
            </w:r>
          </w:p>
        </w:tc>
        <w:tc>
          <w:tcPr>
            <w:tcW w:w="1320" w:type="dxa"/>
            <w:vAlign w:val="bottom"/>
            <w:vMerge w:val="restart"/>
          </w:tcPr>
          <w:p>
            <w:pPr>
              <w:jc w:val="right"/>
              <w:ind w:right="49"/>
              <w:spacing w:after="0"/>
              <w:rPr>
                <w:sz w:val="20"/>
                <w:szCs w:val="20"/>
                <w:color w:val="auto"/>
              </w:rPr>
            </w:pPr>
            <w:r>
              <w:rPr>
                <w:rFonts w:ascii="Arial" w:cs="Arial" w:eastAsia="Arial" w:hAnsi="Arial"/>
                <w:sz w:val="14"/>
                <w:szCs w:val="14"/>
                <w:color w:val="auto"/>
              </w:rPr>
              <w:t>79,439</w:t>
            </w: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14,806</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1,120,767</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hanging="359"/>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reflect the actual base salaries paid to each named executive officer. For additional information, see “Base Salaries” below.</w:t>
      </w:r>
    </w:p>
    <w:p>
      <w:pPr>
        <w:spacing w:after="0" w:line="55" w:lineRule="exact"/>
        <w:rPr>
          <w:rFonts w:ascii="Arial" w:cs="Arial" w:eastAsia="Arial" w:hAnsi="Arial"/>
          <w:sz w:val="14"/>
          <w:szCs w:val="14"/>
          <w:color w:val="auto"/>
        </w:rPr>
      </w:pPr>
    </w:p>
    <w:p>
      <w:pPr>
        <w:ind w:left="380" w:right="160" w:hanging="359"/>
        <w:spacing w:after="0" w:line="256"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units, or RSUs, granted and/or modified during fiscal years 2025 and 2024 to each of our named executive officers, computed in accordance with ASC Topic 718, rather than the amounts paid to or realized by the named individual. The valuation assumptions used in the calculation of such amounts are set forth in Note 14—Share-based Compensation Plans in our 2025 Annual Report.</w:t>
      </w:r>
    </w:p>
    <w:p>
      <w:pPr>
        <w:spacing w:after="0" w:line="15" w:lineRule="exact"/>
        <w:rPr>
          <w:rFonts w:ascii="Arial" w:cs="Arial" w:eastAsia="Arial" w:hAnsi="Arial"/>
          <w:sz w:val="14"/>
          <w:szCs w:val="14"/>
          <w:color w:val="auto"/>
        </w:rPr>
      </w:pPr>
    </w:p>
    <w:p>
      <w:pPr>
        <w:ind w:left="380" w:right="60" w:hanging="359"/>
        <w:spacing w:after="0" w:line="256"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column does not reflect the FY 2025 PSUs. For purposes of FASB ASC 718, the FY 2025 PSUs were not considered granted from an accounting perspective on December 16, 2025, because the performance conditions applicable to the FY 2025 PSUs had not been determined as of the date of this Proxy Statement. The FY 2025 PSUs will be reflected in the Summary Compensation Table for the fiscal year in which the Company recognizes accounts for the award in accordance with FASB ASC 718.</w:t>
      </w:r>
    </w:p>
    <w:p>
      <w:pPr>
        <w:spacing w:after="0" w:line="15" w:lineRule="exact"/>
        <w:rPr>
          <w:rFonts w:ascii="Arial" w:cs="Arial" w:eastAsia="Arial" w:hAnsi="Arial"/>
          <w:sz w:val="14"/>
          <w:szCs w:val="14"/>
          <w:color w:val="auto"/>
        </w:rPr>
      </w:pPr>
    </w:p>
    <w:p>
      <w:pPr>
        <w:ind w:left="380" w:right="380" w:hanging="359"/>
        <w:spacing w:after="0" w:line="281"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reflect (i) payments pursuant to the 2025 Bonus Program, (ii) the 2025 Retention Bonus Program and (iii) the Closing Installment under the Amended Transaction Bonus Plan. For additional information, see “Cash Incentive Compensation” below.</w:t>
      </w:r>
    </w:p>
    <w:p>
      <w:pPr>
        <w:spacing w:after="0" w:line="1" w:lineRule="exact"/>
        <w:rPr>
          <w:rFonts w:ascii="Arial" w:cs="Arial" w:eastAsia="Arial" w:hAnsi="Arial"/>
          <w:sz w:val="14"/>
          <w:szCs w:val="14"/>
          <w:color w:val="auto"/>
        </w:rPr>
      </w:pPr>
    </w:p>
    <w:p>
      <w:pPr>
        <w:ind w:left="380" w:right="40" w:hanging="359"/>
        <w:spacing w:after="0" w:line="252"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fiscal year 2025, the amount for Ms. Hyman reflects: $10,818 for a free Rent the Runway monthly subscription and Reserve rentals; $14,000 in matching contributions made by us to her 401(k) plan account; $5,000 meal stipend; and $600 in long-term disability insurance premiums paid by us. For fiscal year 2025, the amount for Mr. Thacker reflects $14,000 in matching contributions made by us to his 401(k) plan account and $600 in long-term disability insurance premiums paid by us. For fiscal year 2025, the amount for Ms. Tam reflects $14,000 in matching contributions made by us to her 401(k) plan account; and $600 in long-term disability insurance premiums paid by us.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Elements of Our Executive Compensation Program</w:t>
      </w:r>
    </w:p>
    <w:p>
      <w:pPr>
        <w:spacing w:after="0" w:line="171"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For the fiscal year ended January 31, 2026, the compensation for our named executive officers generally consisted of a base salary, annual cash retention and incentive bonuses, and long-term equity incentive compensation in the form of RSUs and PSUs. These elements (and the amounts of compensation and benefits under each element) were selected because we believe they are necessary to help us attract and retain executive talent which is fundamental to our success.</w:t>
      </w:r>
    </w:p>
    <w:p>
      <w:pPr>
        <w:spacing w:after="0" w:line="136" w:lineRule="exact"/>
        <w:rPr>
          <w:sz w:val="20"/>
          <w:szCs w:val="20"/>
          <w:color w:val="auto"/>
        </w:rPr>
      </w:pPr>
    </w:p>
    <w:p>
      <w:pPr>
        <w:ind w:left="20" w:right="640"/>
        <w:spacing w:after="0" w:line="271" w:lineRule="auto"/>
        <w:rPr>
          <w:sz w:val="20"/>
          <w:szCs w:val="20"/>
          <w:color w:val="auto"/>
        </w:rPr>
      </w:pPr>
      <w:r>
        <w:rPr>
          <w:rFonts w:ascii="Arial" w:cs="Arial" w:eastAsia="Arial" w:hAnsi="Arial"/>
          <w:sz w:val="18"/>
          <w:szCs w:val="18"/>
          <w:color w:val="auto"/>
        </w:rPr>
        <w:t>Below is a more detailed summary of our executive compensation program as it relates to our named executive officers.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Base Salaries</w:t>
      </w:r>
    </w:p>
    <w:p>
      <w:pPr>
        <w:spacing w:after="0" w:line="183"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Ms. Hyman’s base salary was $750,000 (which was increased from $650,000 on February 25, 2025), Mr. Thacker’s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base salary is $550,000 (which was increased from $475,000 on February 21, 2025), and Ms. Tam’s base salary is</w:t>
      </w:r>
    </w:p>
    <w:p>
      <w:pPr>
        <w:ind w:left="20"/>
        <w:spacing w:after="0"/>
        <w:rPr>
          <w:sz w:val="20"/>
          <w:szCs w:val="20"/>
          <w:color w:val="auto"/>
        </w:rPr>
      </w:pPr>
      <w:r>
        <w:rPr>
          <w:rFonts w:ascii="Arial" w:cs="Arial" w:eastAsia="Arial" w:hAnsi="Arial"/>
          <w:sz w:val="17"/>
          <w:szCs w:val="17"/>
          <w:color w:val="auto"/>
        </w:rPr>
        <w:t>$500,000. The actual salaries paid to each named executive officer during the applicable fiscal years are set forth in the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“Summary Compensation Table” above, in the column titled “Salary.”</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Cash Incentive Compensation</w:t>
      </w:r>
    </w:p>
    <w:p>
      <w:pPr>
        <w:spacing w:after="0" w:line="169" w:lineRule="exact"/>
        <w:rPr>
          <w:sz w:val="20"/>
          <w:szCs w:val="20"/>
          <w:color w:val="auto"/>
        </w:rPr>
      </w:pPr>
    </w:p>
    <w:p>
      <w:pPr>
        <w:ind w:left="20" w:right="20"/>
        <w:spacing w:after="0" w:line="261" w:lineRule="auto"/>
        <w:rPr>
          <w:sz w:val="20"/>
          <w:szCs w:val="20"/>
          <w:color w:val="auto"/>
        </w:rPr>
      </w:pPr>
      <w:r>
        <w:rPr>
          <w:rFonts w:ascii="Arial" w:cs="Arial" w:eastAsia="Arial" w:hAnsi="Arial"/>
          <w:sz w:val="17"/>
          <w:szCs w:val="17"/>
          <w:i w:val="1"/>
          <w:iCs w:val="1"/>
          <w:color w:val="auto"/>
        </w:rPr>
        <w:t xml:space="preserve">2025 Bonus Program. </w:t>
      </w:r>
      <w:r>
        <w:rPr>
          <w:rFonts w:ascii="Arial" w:cs="Arial" w:eastAsia="Arial" w:hAnsi="Arial"/>
          <w:sz w:val="17"/>
          <w:szCs w:val="17"/>
          <w:color w:val="auto"/>
        </w:rPr>
        <w:t>Under our fiscal year 2025 bonus program, our Compensation Committee determined that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our named executive officers would be eligible to receive a cash performance bonus with the following payment opportunities: Ms. Hyman had a target opportunity of 100% of her base salary and a maximum opportunity of 175% of her base salary; Mr. Thacker had a target opportunity of 43% of his base salary and a maximum opportunity of 175% of target; and Ms. Tam had a target opportunity of 35% of her base salary and a maximum opportunity of 175% of target.</w:t>
      </w:r>
    </w:p>
    <w:p>
      <w:pPr>
        <w:spacing w:after="0" w:line="139"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For 2025, bonus targets for all named executive officers were based 100% upon the satisfaction of company-wide ending active subscribers and Adjusted EBITDA goals. Adjusted EBITDA is a non-GAAP measure. See Annex A for a reconciliation to the most comparable GAAP measure. The actual earned bonus payouts were 40.6% of target and the actual bonus amounts earned by each named executive officer for fiscal year 2025 are included in the “Summary Compensation Table” above, in the column titled “Non-Equity Incentive Plan Compensation.”</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2025 Retention Bonus Program. </w:t>
      </w:r>
      <w:r>
        <w:rPr>
          <w:rFonts w:ascii="Arial" w:cs="Arial" w:eastAsia="Arial" w:hAnsi="Arial"/>
          <w:sz w:val="18"/>
          <w:szCs w:val="18"/>
          <w:color w:val="auto"/>
        </w:rPr>
        <w:t>In February 2025, the Compensation Committee approved a cash retention bonus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program (the “Retention Bonus Program”) for fiscal year 2025 (the “Retention Period”) for its executive officers and</w:t>
      </w:r>
    </w:p>
    <w:p>
      <w:pPr>
        <w:ind w:left="20"/>
        <w:spacing w:after="0" w:line="234" w:lineRule="auto"/>
        <w:rPr>
          <w:sz w:val="20"/>
          <w:szCs w:val="20"/>
          <w:color w:val="auto"/>
        </w:rPr>
      </w:pPr>
      <w:r>
        <w:rPr>
          <w:rFonts w:ascii="Arial" w:cs="Arial" w:eastAsia="Arial" w:hAnsi="Arial"/>
          <w:sz w:val="18"/>
          <w:szCs w:val="18"/>
          <w:color w:val="auto"/>
        </w:rPr>
        <w:t>other eligible participants, including the named executive officers. The Retention Bonus Program provides for quarterly</w:t>
      </w:r>
    </w:p>
    <w:p>
      <w:pPr>
        <w:ind w:left="20"/>
        <w:spacing w:after="0" w:line="235" w:lineRule="auto"/>
        <w:rPr>
          <w:sz w:val="20"/>
          <w:szCs w:val="20"/>
          <w:color w:val="auto"/>
        </w:rPr>
      </w:pPr>
      <w:r>
        <w:rPr>
          <w:rFonts w:ascii="Arial" w:cs="Arial" w:eastAsia="Arial" w:hAnsi="Arial"/>
          <w:sz w:val="18"/>
          <w:szCs w:val="18"/>
          <w:color w:val="auto"/>
        </w:rPr>
        <w:t>cash payments based (i) 50% on pre-determined Company performance metrics established by the Compensation</w:t>
      </w:r>
    </w:p>
    <w:p>
      <w:pPr>
        <w:ind w:left="20"/>
        <w:spacing w:after="0" w:line="235" w:lineRule="auto"/>
        <w:rPr>
          <w:sz w:val="20"/>
          <w:szCs w:val="20"/>
          <w:color w:val="auto"/>
        </w:rPr>
      </w:pPr>
      <w:r>
        <w:rPr>
          <w:rFonts w:ascii="Arial" w:cs="Arial" w:eastAsia="Arial" w:hAnsi="Arial"/>
          <w:sz w:val="18"/>
          <w:szCs w:val="18"/>
          <w:color w:val="auto"/>
        </w:rPr>
        <w:t>Committee relating to growth in the Company’s active subscribers, which component may be earned (subject to</w:t>
      </w:r>
    </w:p>
    <w:p>
      <w:pPr>
        <w:ind w:left="20"/>
        <w:spacing w:after="0" w:line="235" w:lineRule="auto"/>
        <w:rPr>
          <w:sz w:val="20"/>
          <w:szCs w:val="20"/>
          <w:color w:val="auto"/>
        </w:rPr>
      </w:pPr>
      <w:r>
        <w:rPr>
          <w:rFonts w:ascii="Arial" w:cs="Arial" w:eastAsia="Arial" w:hAnsi="Arial"/>
          <w:sz w:val="18"/>
          <w:szCs w:val="18"/>
          <w:color w:val="auto"/>
        </w:rPr>
        <w:t>achievement of a threshold level of performance) between 75% to 100% of the target level based on Company</w:t>
      </w:r>
    </w:p>
    <w:p>
      <w:pPr>
        <w:ind w:left="20"/>
        <w:spacing w:after="0" w:line="235" w:lineRule="auto"/>
        <w:rPr>
          <w:sz w:val="20"/>
          <w:szCs w:val="20"/>
          <w:color w:val="auto"/>
        </w:rPr>
      </w:pPr>
      <w:r>
        <w:rPr>
          <w:rFonts w:ascii="Arial" w:cs="Arial" w:eastAsia="Arial" w:hAnsi="Arial"/>
          <w:sz w:val="18"/>
          <w:szCs w:val="18"/>
          <w:color w:val="auto"/>
        </w:rPr>
        <w:t>performance in respect of each fiscal quarter, and (ii) 50% on the participant’s continued service through the end of</w:t>
      </w:r>
    </w:p>
    <w:p>
      <w:pPr>
        <w:ind w:left="20"/>
        <w:spacing w:after="0" w:line="234" w:lineRule="auto"/>
        <w:rPr>
          <w:sz w:val="20"/>
          <w:szCs w:val="20"/>
          <w:color w:val="auto"/>
        </w:rPr>
      </w:pPr>
      <w:r>
        <w:rPr>
          <w:rFonts w:ascii="Arial" w:cs="Arial" w:eastAsia="Arial" w:hAnsi="Arial"/>
          <w:sz w:val="18"/>
          <w:szCs w:val="18"/>
          <w:color w:val="auto"/>
        </w:rPr>
        <w:t>each applicable fiscal quarter (collectively, the “Retention Bonus”). Ms. Hyman’s target Retention Bonus was</w:t>
      </w:r>
    </w:p>
    <w:p>
      <w:pPr>
        <w:ind w:left="20"/>
        <w:spacing w:after="0" w:line="235" w:lineRule="auto"/>
        <w:rPr>
          <w:sz w:val="20"/>
          <w:szCs w:val="20"/>
          <w:color w:val="auto"/>
        </w:rPr>
      </w:pPr>
      <w:r>
        <w:rPr>
          <w:rFonts w:ascii="Arial" w:cs="Arial" w:eastAsia="Arial" w:hAnsi="Arial"/>
          <w:sz w:val="18"/>
          <w:szCs w:val="18"/>
          <w:color w:val="auto"/>
        </w:rPr>
        <w:t>$1,500,000, Mr. Thacker’s target Retention Bonus was $420,000 and Ms. Tam’s target Retention Bonus was $420,000.</w:t>
      </w:r>
    </w:p>
    <w:p>
      <w:pPr>
        <w:ind w:left="20"/>
        <w:spacing w:after="0" w:line="235" w:lineRule="auto"/>
        <w:rPr>
          <w:sz w:val="20"/>
          <w:szCs w:val="20"/>
          <w:color w:val="auto"/>
        </w:rPr>
      </w:pPr>
      <w:r>
        <w:rPr>
          <w:rFonts w:ascii="Arial" w:cs="Arial" w:eastAsia="Arial" w:hAnsi="Arial"/>
          <w:sz w:val="18"/>
          <w:szCs w:val="18"/>
          <w:color w:val="auto"/>
        </w:rPr>
        <w:t>The Retention Bonuses earned by each named executive officer are included in the “Summary Compensation Table”</w:t>
      </w:r>
    </w:p>
    <w:p>
      <w:pPr>
        <w:ind w:left="20"/>
        <w:spacing w:after="0"/>
        <w:rPr>
          <w:sz w:val="20"/>
          <w:szCs w:val="20"/>
          <w:color w:val="auto"/>
        </w:rPr>
      </w:pPr>
      <w:r>
        <w:rPr>
          <w:rFonts w:ascii="Arial" w:cs="Arial" w:eastAsia="Arial" w:hAnsi="Arial"/>
          <w:sz w:val="18"/>
          <w:szCs w:val="18"/>
          <w:color w:val="auto"/>
        </w:rPr>
        <w:t>above as a portion of the amounts set forth under the column titled “Non-Equity Incentive Compensation.”</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Transaction Bonus Plan. </w:t>
      </w:r>
      <w:r>
        <w:rPr>
          <w:rFonts w:ascii="Arial" w:cs="Arial" w:eastAsia="Arial" w:hAnsi="Arial"/>
          <w:sz w:val="18"/>
          <w:szCs w:val="18"/>
          <w:color w:val="auto"/>
        </w:rPr>
        <w:t>In 2024, the Board of Directors adopted the Rent the Runway, Inc. Transaction Bonus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Bonus Plan”), upon the recommendation of the Compensation Committee. Under the Transaction Bonus Plan, certain key employees of the Company who are designated as participants, including our named executive officers, were eligible to receive a base transaction bonus (the “Base Transaction Bonus”) and a free cash flow bonus (the “Free Cash Flow Bonus”) to provide additional performance incentives based on cash flow performance of the Company and to encourage the realization of a transaction (as such term is defined in the Transaction Bonus Plan). Under the Transaction Bonus Plan, Participants were eligible to be paid a Base Transaction Bonus in an amount equal to the product of (i) $12,500,000 (the “Base Transaction Bonus Pool”), and</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20" w:right="60" w:firstLine="1"/>
        <w:spacing w:after="0" w:line="239" w:lineRule="auto"/>
        <w:tabs>
          <w:tab w:leader="none" w:pos="2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participant’s applicable allocated percentage of the Base Transaction Bonus Pool. Participants were eligible to be paid a Free Cash Flow Bonus in an amount equal to the product of (x) 50% of the Company’s free cash flow for the most recent twelve calendar months ended immediately preceding the closing date of a transaction up to a maximum amount of $12,500,000 (the “Free Cash Flow Bonus Pool”), and (y) such participant’s applicable allocated percentage of the Free Cash Flow Bonus Pool. Payment of the transaction bonuses under the Transaction Bonus Plan are subject to the participant’s continued employment with RTR through the date on which RTR enters into a binding agreement to consummate a transaction (the “Transaction Agreement Date”), except that if Ms. Hyman’s employment with RTR was terminated by RTR without cause, by Ms. Hyman for good reason or due to Ms. Hyman’s death or disability prior to the Transaction Agreement Date, Ms. Hyman would eligible to receive a prorated Base Transaction Bonus and Free Cash Flow Bonus in accordance with the Transaction Bonus Plan.</w:t>
      </w:r>
    </w:p>
    <w:p>
      <w:pPr>
        <w:spacing w:after="0" w:line="139" w:lineRule="exact"/>
        <w:rPr>
          <w:sz w:val="20"/>
          <w:szCs w:val="20"/>
          <w:color w:val="auto"/>
        </w:rPr>
      </w:pPr>
    </w:p>
    <w:p>
      <w:pPr>
        <w:ind w:left="20" w:right="100"/>
        <w:spacing w:after="0" w:line="244" w:lineRule="auto"/>
        <w:rPr>
          <w:sz w:val="20"/>
          <w:szCs w:val="20"/>
          <w:color w:val="auto"/>
        </w:rPr>
      </w:pPr>
      <w:r>
        <w:rPr>
          <w:rFonts w:ascii="Arial" w:cs="Arial" w:eastAsia="Arial" w:hAnsi="Arial"/>
          <w:sz w:val="18"/>
          <w:szCs w:val="18"/>
          <w:color w:val="auto"/>
        </w:rPr>
        <w:t>Originally, under the Transaction Bonus Plan, upon the occurrence of a qualifying transaction, Ms. Hyman was eligible to receive an amount in cash equal to 50.8% of each of the Base Transaction Bonus Pool and the Free Flow Transaction Bonus Pool; Mr. Thacker was eligible to receive an amount in cash equal to 11.5% of each of the Base Transaction Bonus Pool and the Free Flow Transaction Bonus Pool; and Ms. Tam was eligible to receive an amount in cash equal to 10.1% of each of the Base Transaction Bonus Pool and the Free Flow Transaction Bonus Pool.</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connection with the Recapitalization Transactions, on August 20, 2025, the Compensation Committee approved 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amendment to the Amended Transaction Bonus Plan (the “Amended Transaction Bonus Plan”). Under the Amended</w:t>
      </w:r>
    </w:p>
    <w:p>
      <w:pPr>
        <w:ind w:left="20"/>
        <w:spacing w:after="0" w:line="234" w:lineRule="auto"/>
        <w:rPr>
          <w:sz w:val="20"/>
          <w:szCs w:val="20"/>
          <w:color w:val="auto"/>
        </w:rPr>
      </w:pPr>
      <w:r>
        <w:rPr>
          <w:rFonts w:ascii="Arial" w:cs="Arial" w:eastAsia="Arial" w:hAnsi="Arial"/>
          <w:sz w:val="18"/>
          <w:szCs w:val="18"/>
          <w:color w:val="auto"/>
        </w:rPr>
        <w:t>Transaction Bonus Plan, our named executive officers ceased to be eligible for the Free Cash Flow Bonus and their</w:t>
      </w:r>
    </w:p>
    <w:p>
      <w:pPr>
        <w:ind w:left="20"/>
        <w:spacing w:after="0" w:line="235" w:lineRule="auto"/>
        <w:rPr>
          <w:sz w:val="20"/>
          <w:szCs w:val="20"/>
          <w:color w:val="auto"/>
        </w:rPr>
      </w:pPr>
      <w:r>
        <w:rPr>
          <w:rFonts w:ascii="Arial" w:cs="Arial" w:eastAsia="Arial" w:hAnsi="Arial"/>
          <w:sz w:val="18"/>
          <w:szCs w:val="18"/>
          <w:color w:val="auto"/>
        </w:rPr>
        <w:t>Base Transaction Bonus would instead be paid on the following schedule, rather than paid in full upon the closing of</w:t>
      </w:r>
    </w:p>
    <w:p>
      <w:pPr>
        <w:ind w:left="20"/>
        <w:spacing w:after="0" w:line="235" w:lineRule="auto"/>
        <w:rPr>
          <w:sz w:val="20"/>
          <w:szCs w:val="20"/>
          <w:color w:val="auto"/>
        </w:rPr>
      </w:pPr>
      <w:r>
        <w:rPr>
          <w:rFonts w:ascii="Arial" w:cs="Arial" w:eastAsia="Arial" w:hAnsi="Arial"/>
          <w:sz w:val="18"/>
          <w:szCs w:val="18"/>
          <w:color w:val="auto"/>
        </w:rPr>
        <w:t>the Recapitalization Transactions (the “Closing”): the Base Transaction Bonus was paid 25% at the Closing (the</w:t>
      </w:r>
    </w:p>
    <w:p>
      <w:pPr>
        <w:ind w:left="20"/>
        <w:spacing w:after="0"/>
        <w:rPr>
          <w:sz w:val="20"/>
          <w:szCs w:val="20"/>
          <w:color w:val="auto"/>
        </w:rPr>
      </w:pPr>
      <w:r>
        <w:rPr>
          <w:rFonts w:ascii="Arial" w:cs="Arial" w:eastAsia="Arial" w:hAnsi="Arial"/>
          <w:sz w:val="17"/>
          <w:szCs w:val="17"/>
          <w:color w:val="auto"/>
        </w:rPr>
        <w:t>“Closing Installment”), 6.25% on the 18-month, 24-month, 30-month and 36-month anniversaries of the closing (each, a</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“Semi-Annual Installment”), with the final 50% becoming payable on the earlier of January 31, 2030, and the date of a</w:t>
      </w:r>
    </w:p>
    <w:p>
      <w:pPr>
        <w:ind w:left="20"/>
        <w:spacing w:after="0" w:line="234" w:lineRule="auto"/>
        <w:rPr>
          <w:sz w:val="20"/>
          <w:szCs w:val="20"/>
          <w:color w:val="auto"/>
        </w:rPr>
      </w:pPr>
      <w:r>
        <w:rPr>
          <w:rFonts w:ascii="Arial" w:cs="Arial" w:eastAsia="Arial" w:hAnsi="Arial"/>
          <w:sz w:val="18"/>
          <w:szCs w:val="18"/>
          <w:color w:val="auto"/>
        </w:rPr>
        <w:t>change in control (which does not include the Recapitalization Transactions), in the case of the final 50%, based on the</w:t>
      </w:r>
    </w:p>
    <w:p>
      <w:pPr>
        <w:ind w:left="20"/>
        <w:spacing w:after="0" w:line="235" w:lineRule="auto"/>
        <w:rPr>
          <w:sz w:val="20"/>
          <w:szCs w:val="20"/>
          <w:color w:val="auto"/>
        </w:rPr>
      </w:pPr>
      <w:r>
        <w:rPr>
          <w:rFonts w:ascii="Arial" w:cs="Arial" w:eastAsia="Arial" w:hAnsi="Arial"/>
          <w:sz w:val="18"/>
          <w:szCs w:val="18"/>
          <w:color w:val="auto"/>
        </w:rPr>
        <w:t>satisfaction of financial or stock price-based performance measures (as applicable), provided that the named executive</w:t>
      </w:r>
    </w:p>
    <w:p>
      <w:pPr>
        <w:ind w:left="20"/>
        <w:spacing w:after="0" w:line="235" w:lineRule="auto"/>
        <w:rPr>
          <w:sz w:val="20"/>
          <w:szCs w:val="20"/>
          <w:color w:val="auto"/>
        </w:rPr>
      </w:pPr>
      <w:r>
        <w:rPr>
          <w:rFonts w:ascii="Arial" w:cs="Arial" w:eastAsia="Arial" w:hAnsi="Arial"/>
          <w:sz w:val="18"/>
          <w:szCs w:val="18"/>
          <w:color w:val="auto"/>
        </w:rPr>
        <w:t>officer remains employed through the date each Base Transaction Bonus installment is paid. The Closing Installment</w:t>
      </w:r>
    </w:p>
    <w:p>
      <w:pPr>
        <w:ind w:left="20"/>
        <w:spacing w:after="0" w:line="235" w:lineRule="auto"/>
        <w:rPr>
          <w:sz w:val="20"/>
          <w:szCs w:val="20"/>
          <w:color w:val="auto"/>
        </w:rPr>
      </w:pPr>
      <w:r>
        <w:rPr>
          <w:rFonts w:ascii="Arial" w:cs="Arial" w:eastAsia="Arial" w:hAnsi="Arial"/>
          <w:sz w:val="18"/>
          <w:szCs w:val="18"/>
          <w:color w:val="auto"/>
        </w:rPr>
        <w:t>and each Semi-Annual Installment are subject to repayment to the Company, net of taxes paid with respect thereto, if</w:t>
      </w:r>
    </w:p>
    <w:p>
      <w:pPr>
        <w:ind w:left="20"/>
        <w:spacing w:after="0" w:line="235" w:lineRule="auto"/>
        <w:rPr>
          <w:sz w:val="20"/>
          <w:szCs w:val="20"/>
          <w:color w:val="auto"/>
        </w:rPr>
      </w:pPr>
      <w:r>
        <w:rPr>
          <w:rFonts w:ascii="Arial" w:cs="Arial" w:eastAsia="Arial" w:hAnsi="Arial"/>
          <w:sz w:val="18"/>
          <w:szCs w:val="18"/>
          <w:color w:val="auto"/>
        </w:rPr>
        <w:t>the named executive officer terminates their employment prior to the applicable vesting date other than due to a “good</w:t>
      </w:r>
    </w:p>
    <w:p>
      <w:pPr>
        <w:ind w:left="20"/>
        <w:spacing w:after="0" w:line="234" w:lineRule="auto"/>
        <w:rPr>
          <w:sz w:val="20"/>
          <w:szCs w:val="20"/>
          <w:color w:val="auto"/>
        </w:rPr>
      </w:pPr>
      <w:r>
        <w:rPr>
          <w:rFonts w:ascii="Arial" w:cs="Arial" w:eastAsia="Arial" w:hAnsi="Arial"/>
          <w:sz w:val="18"/>
          <w:szCs w:val="18"/>
          <w:color w:val="auto"/>
        </w:rPr>
        <w:t>leaver termination” (as defined in the Amended Transaction Bonus Plan). The Closing Installment will vest 25% on</w:t>
      </w:r>
    </w:p>
    <w:p>
      <w:pPr>
        <w:ind w:left="20"/>
        <w:spacing w:after="0" w:line="235" w:lineRule="auto"/>
        <w:rPr>
          <w:sz w:val="20"/>
          <w:szCs w:val="20"/>
          <w:color w:val="auto"/>
        </w:rPr>
      </w:pPr>
      <w:r>
        <w:rPr>
          <w:rFonts w:ascii="Arial" w:cs="Arial" w:eastAsia="Arial" w:hAnsi="Arial"/>
          <w:sz w:val="18"/>
          <w:szCs w:val="18"/>
          <w:color w:val="auto"/>
        </w:rPr>
        <w:t>each of the first four anniversaries of the Closing, the first Semi-Annual Installment will vest 33% on each of the</w:t>
      </w:r>
    </w:p>
    <w:p>
      <w:pPr>
        <w:ind w:left="20"/>
        <w:spacing w:after="0" w:line="235" w:lineRule="auto"/>
        <w:rPr>
          <w:sz w:val="20"/>
          <w:szCs w:val="20"/>
          <w:color w:val="auto"/>
        </w:rPr>
      </w:pPr>
      <w:r>
        <w:rPr>
          <w:rFonts w:ascii="Arial" w:cs="Arial" w:eastAsia="Arial" w:hAnsi="Arial"/>
          <w:sz w:val="18"/>
          <w:szCs w:val="18"/>
          <w:color w:val="auto"/>
        </w:rPr>
        <w:t>second, third and fourth anniversary of the Closing, the second and third Semi-Annual Installments will each vest 50%</w:t>
      </w:r>
    </w:p>
    <w:p>
      <w:pPr>
        <w:ind w:left="20"/>
        <w:spacing w:after="0" w:line="235" w:lineRule="auto"/>
        <w:rPr>
          <w:sz w:val="20"/>
          <w:szCs w:val="20"/>
          <w:color w:val="auto"/>
        </w:rPr>
      </w:pPr>
      <w:r>
        <w:rPr>
          <w:rFonts w:ascii="Arial" w:cs="Arial" w:eastAsia="Arial" w:hAnsi="Arial"/>
          <w:sz w:val="18"/>
          <w:szCs w:val="18"/>
          <w:color w:val="auto"/>
        </w:rPr>
        <w:t>on each of the third and fourth anniversary of the Closing, and the fourth Semi-Annual Installment will fully vest on the</w:t>
      </w:r>
    </w:p>
    <w:p>
      <w:pPr>
        <w:ind w:left="20"/>
        <w:spacing w:after="0" w:line="235" w:lineRule="auto"/>
        <w:rPr>
          <w:sz w:val="20"/>
          <w:szCs w:val="20"/>
          <w:color w:val="auto"/>
        </w:rPr>
      </w:pPr>
      <w:r>
        <w:rPr>
          <w:rFonts w:ascii="Arial" w:cs="Arial" w:eastAsia="Arial" w:hAnsi="Arial"/>
          <w:sz w:val="18"/>
          <w:szCs w:val="18"/>
          <w:color w:val="auto"/>
        </w:rPr>
        <w:t>fourth anniversary of the Closing. As of January 31, 2026, the aggregate Base Transaction Bonus payable to the</w:t>
      </w:r>
    </w:p>
    <w:p>
      <w:pPr>
        <w:ind w:left="20"/>
        <w:spacing w:after="0" w:line="234" w:lineRule="auto"/>
        <w:rPr>
          <w:sz w:val="20"/>
          <w:szCs w:val="20"/>
          <w:color w:val="auto"/>
        </w:rPr>
      </w:pPr>
      <w:r>
        <w:rPr>
          <w:rFonts w:ascii="Arial" w:cs="Arial" w:eastAsia="Arial" w:hAnsi="Arial"/>
          <w:sz w:val="18"/>
          <w:szCs w:val="18"/>
          <w:color w:val="auto"/>
        </w:rPr>
        <w:t>named executive officers pursuant to the Amended Transaction Bonus Plan was as follows: for Ms. Hyman,</w:t>
      </w:r>
    </w:p>
    <w:p>
      <w:pPr>
        <w:ind w:left="20"/>
        <w:spacing w:after="0" w:line="235" w:lineRule="auto"/>
        <w:rPr>
          <w:sz w:val="20"/>
          <w:szCs w:val="20"/>
          <w:color w:val="auto"/>
        </w:rPr>
      </w:pPr>
      <w:r>
        <w:rPr>
          <w:rFonts w:ascii="Arial" w:cs="Arial" w:eastAsia="Arial" w:hAnsi="Arial"/>
          <w:sz w:val="18"/>
          <w:szCs w:val="18"/>
          <w:color w:val="auto"/>
        </w:rPr>
        <w:t>$6,350,000; For Mr. Thacker, $1,437,500; and For Ms. Tam, $1,262,500. The Base Transaction Bonuses earned by</w:t>
      </w:r>
    </w:p>
    <w:p>
      <w:pPr>
        <w:ind w:left="20"/>
        <w:spacing w:after="0" w:line="235" w:lineRule="auto"/>
        <w:rPr>
          <w:sz w:val="20"/>
          <w:szCs w:val="20"/>
          <w:color w:val="auto"/>
        </w:rPr>
      </w:pPr>
      <w:r>
        <w:rPr>
          <w:rFonts w:ascii="Arial" w:cs="Arial" w:eastAsia="Arial" w:hAnsi="Arial"/>
          <w:sz w:val="18"/>
          <w:szCs w:val="18"/>
          <w:color w:val="auto"/>
        </w:rPr>
        <w:t>each named executive officer in fiscal year 2025 (i.e., the Closing Installment) are included in the “Summary</w:t>
      </w:r>
    </w:p>
    <w:p>
      <w:pPr>
        <w:ind w:left="20"/>
        <w:spacing w:after="0" w:line="235" w:lineRule="auto"/>
        <w:rPr>
          <w:sz w:val="20"/>
          <w:szCs w:val="20"/>
          <w:color w:val="auto"/>
        </w:rPr>
      </w:pPr>
      <w:r>
        <w:rPr>
          <w:rFonts w:ascii="Arial" w:cs="Arial" w:eastAsia="Arial" w:hAnsi="Arial"/>
          <w:sz w:val="18"/>
          <w:szCs w:val="18"/>
          <w:color w:val="auto"/>
        </w:rPr>
        <w:t>Compensation Table” above as a portion of the amounts set forth under the column title “Non-Equity Incentive Plan</w:t>
      </w:r>
    </w:p>
    <w:p>
      <w:pPr>
        <w:ind w:left="20"/>
        <w:spacing w:after="0"/>
        <w:rPr>
          <w:sz w:val="20"/>
          <w:szCs w:val="20"/>
          <w:color w:val="auto"/>
        </w:rPr>
      </w:pPr>
      <w:r>
        <w:rPr>
          <w:rFonts w:ascii="Arial" w:cs="Arial" w:eastAsia="Arial" w:hAnsi="Arial"/>
          <w:sz w:val="18"/>
          <w:szCs w:val="18"/>
          <w:color w:val="auto"/>
        </w:rPr>
        <w:t>Compensation.”</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Long-term Equity Incentive Compensation.</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fiscal year 2025, equity compensation was provided to our named executive officers in the form of RSUs and PSUs.</w:t>
      </w:r>
    </w:p>
    <w:p>
      <w:pPr>
        <w:spacing w:after="0" w:line="171" w:lineRule="exact"/>
        <w:rPr>
          <w:sz w:val="20"/>
          <w:szCs w:val="20"/>
          <w:color w:val="auto"/>
        </w:rPr>
      </w:pPr>
    </w:p>
    <w:p>
      <w:pPr>
        <w:ind w:left="20" w:right="20"/>
        <w:spacing w:after="0" w:line="259" w:lineRule="auto"/>
        <w:rPr>
          <w:sz w:val="20"/>
          <w:szCs w:val="20"/>
          <w:color w:val="auto"/>
        </w:rPr>
      </w:pPr>
      <w:r>
        <w:rPr>
          <w:rFonts w:ascii="Arial" w:cs="Arial" w:eastAsia="Arial" w:hAnsi="Arial"/>
          <w:sz w:val="17"/>
          <w:szCs w:val="17"/>
          <w:color w:val="auto"/>
        </w:rPr>
        <w:t>The grant date fair value of the RSUs granted to our named executive officers on December 16, 2025 is reflected in the “Stock Awards” column of the Summary Compensation Table. The RSUs vest 25% on the one-year anniversary of the</w:t>
      </w:r>
    </w:p>
    <w:p>
      <w:pPr>
        <w:spacing w:after="0" w:line="1" w:lineRule="exact"/>
        <w:rPr>
          <w:sz w:val="20"/>
          <w:szCs w:val="20"/>
          <w:color w:val="auto"/>
        </w:rPr>
      </w:pPr>
    </w:p>
    <w:p>
      <w:pPr>
        <w:ind w:left="20" w:right="380"/>
        <w:spacing w:after="0" w:line="205" w:lineRule="auto"/>
        <w:rPr>
          <w:sz w:val="20"/>
          <w:szCs w:val="20"/>
          <w:color w:val="auto"/>
        </w:rPr>
      </w:pPr>
      <w:r>
        <w:rPr>
          <w:rFonts w:ascii="Arial" w:cs="Arial" w:eastAsia="Arial" w:hAnsi="Arial"/>
          <w:sz w:val="18"/>
          <w:szCs w:val="18"/>
          <w:color w:val="auto"/>
        </w:rPr>
        <w:t>grant date, with the remaining 75% of the RSUs vesting in 1/16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increments on a quarterly basis for the next three years, subject to continued service through the applicable vesting dates.</w:t>
      </w:r>
    </w:p>
    <w:p>
      <w:pPr>
        <w:spacing w:after="0" w:line="155"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In addition to the RSUs, on December 16, 2025, we granted our named executive officers the FY 2025 PSUs. The FY 2025 PSUs will generally be subject to three one-year performance periods, commencing with fiscal year 2027, and may be earned at a level ranging from 0% to 200% of the target number of PSUs subject to the award based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240"/>
        <w:spacing w:after="0" w:line="253" w:lineRule="auto"/>
        <w:rPr>
          <w:sz w:val="20"/>
          <w:szCs w:val="20"/>
          <w:color w:val="auto"/>
        </w:rPr>
      </w:pPr>
      <w:r>
        <w:rPr>
          <w:rFonts w:ascii="Arial" w:cs="Arial" w:eastAsia="Arial" w:hAnsi="Arial"/>
          <w:sz w:val="18"/>
          <w:szCs w:val="18"/>
          <w:color w:val="auto"/>
        </w:rPr>
        <w:t xml:space="preserve">upon the attainment of performance metrics and goals to be established by the Board no later than 90 days after the start of the applicable performance period. For additional information, please see the section entitled “New Plan Benefits Under the Amended Plan” on page </w:t>
      </w:r>
      <w:r>
        <w:rPr>
          <w:rFonts w:ascii="Arial" w:cs="Arial" w:eastAsia="Arial" w:hAnsi="Arial"/>
          <w:sz w:val="18"/>
          <w:szCs w:val="18"/>
          <w:u w:val="single" w:color="auto"/>
          <w:color w:val="0000EE"/>
        </w:rPr>
        <w:t>41</w:t>
      </w:r>
      <w:r>
        <w:rPr>
          <w:rFonts w:ascii="Arial" w:cs="Arial" w:eastAsia="Arial" w:hAnsi="Arial"/>
          <w:sz w:val="18"/>
          <w:szCs w:val="18"/>
          <w:color w:val="auto"/>
        </w:rPr>
        <w:t xml:space="preserve"> of this Proxy Statement.</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Because the performance metrics and goals applicable to the FY 2025 PSUs have not been determined as of the date of this Proxy Statement, we have determined that, in accordance with FASB ASC 718, the FY 2025 PSUs have not been granted for accounting purposes. As such, we are not able to disclose the grant date fair value of the PSUs at this time. The grant date fair value of the FY 2025 PSUs will be reflected in the Proxy Statement for the year in which the performance goals and metrics are set by the Board for the applicable performance period. As of January 31, 2026, the target number of shares of Class A common stock eligible to be earned pursuant to the FY 2025 PSU awards granted to our named executive officers in fiscal year 2025 was as follows: for Ms. Hyman, 1,002,993; for Mr. Thacker, 200,598; and for Ms. Tam, 200,598.</w:t>
      </w:r>
    </w:p>
    <w:p>
      <w:pPr>
        <w:spacing w:after="0" w:line="140"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Pursuant to the Recapitalization Transactions, all equity awards held by each of the named executive officers that were granted prior to the closing date that had not vested or, if vested, had not been settled as of immediately prior to the closing date, were forfeited in their entirety as a condition to each named executive officer’s receipt of their FY 2025 PSUs and the RSUs granted to our named executive officers in fiscal year 2025.</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69" w:lineRule="exact"/>
        <w:rPr>
          <w:sz w:val="20"/>
          <w:szCs w:val="20"/>
          <w:color w:val="auto"/>
        </w:rPr>
      </w:pPr>
    </w:p>
    <w:p>
      <w:pPr>
        <w:ind w:left="20" w:right="100"/>
        <w:spacing w:after="0" w:line="242" w:lineRule="auto"/>
        <w:rPr>
          <w:sz w:val="20"/>
          <w:szCs w:val="20"/>
          <w:color w:val="auto"/>
        </w:rPr>
      </w:pPr>
      <w:r>
        <w:rPr>
          <w:rFonts w:ascii="Arial" w:cs="Arial" w:eastAsia="Arial" w:hAnsi="Arial"/>
          <w:sz w:val="18"/>
          <w:szCs w:val="18"/>
          <w:i w:val="1"/>
          <w:iCs w:val="1"/>
          <w:color w:val="auto"/>
        </w:rPr>
        <w:t xml:space="preserve">Retirement Plans. </w:t>
      </w:r>
      <w:r>
        <w:rPr>
          <w:rFonts w:ascii="Arial" w:cs="Arial" w:eastAsia="Arial" w:hAnsi="Arial"/>
          <w:sz w:val="18"/>
          <w:szCs w:val="18"/>
          <w:color w:val="auto"/>
        </w:rPr>
        <w:t>We currently maintain a 401(k) retirement savings plan for our employees, including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who satisfy certain eligibility requirements. The Internal Revenue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38"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i w:val="1"/>
          <w:iCs w:val="1"/>
          <w:color w:val="auto"/>
        </w:rPr>
        <w:t xml:space="preserve">Employee Benefits and Perquisites. </w:t>
      </w:r>
      <w:r>
        <w:rPr>
          <w:rFonts w:ascii="Arial" w:cs="Arial" w:eastAsia="Arial" w:hAnsi="Arial"/>
          <w:sz w:val="18"/>
          <w:szCs w:val="18"/>
          <w:color w:val="auto"/>
        </w:rPr>
        <w:t>All of our full-time employees, including our current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in our health and welfare plans, including:</w:t>
      </w:r>
    </w:p>
    <w:p>
      <w:pPr>
        <w:spacing w:after="0" w:line="127" w:lineRule="exact"/>
        <w:rPr>
          <w:sz w:val="20"/>
          <w:szCs w:val="20"/>
          <w:color w:val="auto"/>
        </w:rPr>
      </w:pPr>
    </w:p>
    <w:p>
      <w:pPr>
        <w:ind w:left="740" w:hanging="359"/>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ind w:left="740" w:hanging="359"/>
        <w:spacing w:after="0" w:line="234"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ind w:left="740" w:hanging="359"/>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life and accidental death &amp; dismemberment insurance.</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We generally do not provide tax gross-ups to our named executive officers.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69" w:lineRule="exact"/>
        <w:rPr>
          <w:sz w:val="20"/>
          <w:szCs w:val="20"/>
          <w:color w:val="auto"/>
        </w:rPr>
      </w:pPr>
    </w:p>
    <w:p>
      <w:pPr>
        <w:ind w:left="20" w:right="160"/>
        <w:spacing w:after="0" w:line="266" w:lineRule="auto"/>
        <w:rPr>
          <w:sz w:val="20"/>
          <w:szCs w:val="20"/>
          <w:color w:val="auto"/>
        </w:rPr>
      </w:pPr>
      <w:r>
        <w:rPr>
          <w:rFonts w:ascii="Arial" w:cs="Arial" w:eastAsia="Arial" w:hAnsi="Arial"/>
          <w:sz w:val="17"/>
          <w:szCs w:val="17"/>
          <w:color w:val="auto"/>
        </w:rPr>
        <w:t>The following table presents information regarding outstanding equity awards held by our named executive officers as of January 31, 2026. Our named executive officers hold equity awards with respect to shares of our Class A common stock in the form of RSUs. All equity awards in the table below vest into shares of our Class A common stock unless otherwise noted. There were no option awards held by the named executive officers as of January 31, 2026.</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378"/>
        </w:trPr>
        <w:tc>
          <w:tcPr>
            <w:tcW w:w="120" w:type="dxa"/>
            <w:vAlign w:val="bottom"/>
            <w:tcBorders>
              <w:bottom w:val="single" w:sz="8" w:color="FFE8F5"/>
            </w:tcBorders>
            <w:shd w:val="clear" w:color="auto" w:fill="FFE8F5"/>
          </w:tcPr>
          <w:p>
            <w:pPr>
              <w:spacing w:after="0"/>
              <w:rPr>
                <w:sz w:val="24"/>
                <w:szCs w:val="24"/>
                <w:color w:val="auto"/>
              </w:rPr>
            </w:pPr>
          </w:p>
        </w:tc>
        <w:tc>
          <w:tcPr>
            <w:tcW w:w="1280" w:type="dxa"/>
            <w:vAlign w:val="bottom"/>
            <w:tcBorders>
              <w:bottom w:val="single" w:sz="8" w:color="FFE8F5"/>
            </w:tcBorders>
            <w:shd w:val="clear" w:color="auto" w:fill="FFE8F5"/>
          </w:tcPr>
          <w:p>
            <w:pPr>
              <w:ind w:left="40"/>
              <w:spacing w:after="0"/>
              <w:rPr>
                <w:sz w:val="20"/>
                <w:szCs w:val="20"/>
                <w:color w:val="auto"/>
              </w:rPr>
            </w:pPr>
            <w:r>
              <w:rPr>
                <w:rFonts w:ascii="Arial" w:cs="Arial" w:eastAsia="Arial" w:hAnsi="Arial"/>
                <w:sz w:val="14"/>
                <w:szCs w:val="14"/>
                <w:b w:val="1"/>
                <w:bCs w:val="1"/>
                <w:color w:val="auto"/>
              </w:rPr>
              <w:t>​</w:t>
            </w:r>
          </w:p>
        </w:tc>
        <w:tc>
          <w:tcPr>
            <w:tcW w:w="2220" w:type="dxa"/>
            <w:vAlign w:val="bottom"/>
            <w:tcBorders>
              <w:bottom w:val="single" w:sz="8" w:color="FFE8F5"/>
            </w:tcBorders>
            <w:shd w:val="clear" w:color="auto" w:fill="FFE8F5"/>
          </w:tcPr>
          <w:p>
            <w:pPr>
              <w:ind w:left="900"/>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FFE8F5"/>
            </w:tcBorders>
            <w:shd w:val="clear" w:color="auto" w:fill="FFE8F5"/>
          </w:tcPr>
          <w:p>
            <w:pPr>
              <w:spacing w:after="0"/>
              <w:rPr>
                <w:sz w:val="24"/>
                <w:szCs w:val="24"/>
                <w:color w:val="auto"/>
              </w:rPr>
            </w:pPr>
          </w:p>
        </w:tc>
        <w:tc>
          <w:tcPr>
            <w:tcW w:w="2100" w:type="dxa"/>
            <w:vAlign w:val="bottom"/>
            <w:tcBorders>
              <w:bottom w:val="single" w:sz="8" w:color="auto"/>
            </w:tcBorders>
            <w:shd w:val="clear" w:color="auto" w:fill="FFE8F5"/>
          </w:tcPr>
          <w:p>
            <w:pPr>
              <w:ind w:left="1700"/>
              <w:spacing w:after="0"/>
              <w:rPr>
                <w:sz w:val="20"/>
                <w:szCs w:val="20"/>
                <w:color w:val="auto"/>
              </w:rPr>
            </w:pPr>
            <w:r>
              <w:rPr>
                <w:rFonts w:ascii="Arial" w:cs="Arial" w:eastAsia="Arial" w:hAnsi="Arial"/>
                <w:sz w:val="14"/>
                <w:szCs w:val="14"/>
                <w:b w:val="1"/>
                <w:bCs w:val="1"/>
                <w:color w:val="auto"/>
                <w:w w:val="99"/>
              </w:rPr>
              <w:t>Stock​</w:t>
            </w:r>
          </w:p>
        </w:tc>
        <w:tc>
          <w:tcPr>
            <w:tcW w:w="2060" w:type="dxa"/>
            <w:vAlign w:val="bottom"/>
            <w:tcBorders>
              <w:bottom w:val="single" w:sz="8" w:color="auto"/>
            </w:tcBorders>
            <w:shd w:val="clear" w:color="auto" w:fill="FFE8F5"/>
          </w:tcPr>
          <w:p>
            <w:pPr>
              <w:ind w:left="20"/>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27"/>
        </w:trPr>
        <w:tc>
          <w:tcPr>
            <w:tcW w:w="120" w:type="dxa"/>
            <w:vAlign w:val="bottom"/>
            <w:shd w:val="clear" w:color="auto" w:fill="FFE8F5"/>
          </w:tcPr>
          <w:p>
            <w:pPr>
              <w:spacing w:after="0"/>
              <w:rPr>
                <w:sz w:val="19"/>
                <w:szCs w:val="19"/>
                <w:color w:val="auto"/>
              </w:rPr>
            </w:pPr>
          </w:p>
        </w:tc>
        <w:tc>
          <w:tcPr>
            <w:tcW w:w="1280" w:type="dxa"/>
            <w:vAlign w:val="bottom"/>
            <w:shd w:val="clear" w:color="auto" w:fill="FFE8F5"/>
          </w:tcPr>
          <w:p>
            <w:pPr>
              <w:spacing w:after="0"/>
              <w:rPr>
                <w:sz w:val="19"/>
                <w:szCs w:val="19"/>
                <w:color w:val="auto"/>
              </w:rPr>
            </w:pPr>
          </w:p>
        </w:tc>
        <w:tc>
          <w:tcPr>
            <w:tcW w:w="2220" w:type="dxa"/>
            <w:vAlign w:val="bottom"/>
            <w:shd w:val="clear" w:color="auto" w:fill="FFE8F5"/>
          </w:tcPr>
          <w:p>
            <w:pPr>
              <w:spacing w:after="0"/>
              <w:rPr>
                <w:sz w:val="19"/>
                <w:szCs w:val="19"/>
                <w:color w:val="auto"/>
              </w:rPr>
            </w:pPr>
          </w:p>
        </w:tc>
        <w:tc>
          <w:tcPr>
            <w:tcW w:w="1720" w:type="dxa"/>
            <w:vAlign w:val="bottom"/>
            <w:shd w:val="clear" w:color="auto" w:fill="FFE8F5"/>
          </w:tcPr>
          <w:p>
            <w:pPr>
              <w:spacing w:after="0"/>
              <w:rPr>
                <w:sz w:val="19"/>
                <w:szCs w:val="19"/>
                <w:color w:val="auto"/>
              </w:rPr>
            </w:pPr>
          </w:p>
        </w:tc>
        <w:tc>
          <w:tcPr>
            <w:tcW w:w="2100" w:type="dxa"/>
            <w:vAlign w:val="bottom"/>
            <w:shd w:val="clear" w:color="auto" w:fill="FFE8F5"/>
          </w:tcPr>
          <w:p>
            <w:pPr>
              <w:ind w:left="440"/>
              <w:spacing w:after="0"/>
              <w:rPr>
                <w:sz w:val="20"/>
                <w:szCs w:val="20"/>
                <w:color w:val="auto"/>
              </w:rPr>
            </w:pPr>
            <w:r>
              <w:rPr>
                <w:rFonts w:ascii="Arial" w:cs="Arial" w:eastAsia="Arial" w:hAnsi="Arial"/>
                <w:sz w:val="14"/>
                <w:szCs w:val="14"/>
                <w:b w:val="1"/>
                <w:bCs w:val="1"/>
                <w:color w:val="auto"/>
              </w:rPr>
              <w:t>Number of Shares</w:t>
            </w:r>
          </w:p>
        </w:tc>
        <w:tc>
          <w:tcPr>
            <w:tcW w:w="2060" w:type="dxa"/>
            <w:vAlign w:val="bottom"/>
            <w:shd w:val="clear" w:color="auto" w:fill="FFE8F5"/>
          </w:tcPr>
          <w:p>
            <w:pPr>
              <w:ind w:left="520"/>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62"/>
        </w:trPr>
        <w:tc>
          <w:tcPr>
            <w:tcW w:w="120" w:type="dxa"/>
            <w:vAlign w:val="bottom"/>
            <w:shd w:val="clear" w:color="auto" w:fill="FFE8F5"/>
          </w:tcPr>
          <w:p>
            <w:pPr>
              <w:spacing w:after="0"/>
              <w:rPr>
                <w:sz w:val="14"/>
                <w:szCs w:val="14"/>
                <w:color w:val="auto"/>
              </w:rPr>
            </w:pPr>
          </w:p>
        </w:tc>
        <w:tc>
          <w:tcPr>
            <w:tcW w:w="1280" w:type="dxa"/>
            <w:vAlign w:val="bottom"/>
            <w:vMerge w:val="restart"/>
            <w:shd w:val="clear" w:color="auto" w:fill="FFE8F5"/>
          </w:tcPr>
          <w:p>
            <w:pPr>
              <w:ind w:left="40"/>
              <w:spacing w:after="0"/>
              <w:rPr>
                <w:sz w:val="20"/>
                <w:szCs w:val="20"/>
                <w:color w:val="auto"/>
              </w:rPr>
            </w:pPr>
            <w:r>
              <w:rPr>
                <w:rFonts w:ascii="Arial" w:cs="Arial" w:eastAsia="Arial" w:hAnsi="Arial"/>
                <w:sz w:val="14"/>
                <w:szCs w:val="14"/>
                <w:b w:val="1"/>
                <w:bCs w:val="1"/>
                <w:color w:val="auto"/>
              </w:rPr>
              <w:t>Name</w:t>
            </w:r>
          </w:p>
        </w:tc>
        <w:tc>
          <w:tcPr>
            <w:tcW w:w="2220" w:type="dxa"/>
            <w:vAlign w:val="bottom"/>
            <w:vMerge w:val="restart"/>
            <w:shd w:val="clear" w:color="auto" w:fill="FFE8F5"/>
          </w:tcPr>
          <w:p>
            <w:pPr>
              <w:ind w:left="900"/>
              <w:spacing w:after="0"/>
              <w:rPr>
                <w:sz w:val="20"/>
                <w:szCs w:val="20"/>
                <w:color w:val="auto"/>
              </w:rPr>
            </w:pPr>
            <w:r>
              <w:rPr>
                <w:rFonts w:ascii="Arial" w:cs="Arial" w:eastAsia="Arial" w:hAnsi="Arial"/>
                <w:sz w:val="14"/>
                <w:szCs w:val="14"/>
                <w:b w:val="1"/>
                <w:bCs w:val="1"/>
                <w:color w:val="auto"/>
              </w:rPr>
              <w:t>Grant Date</w:t>
            </w:r>
          </w:p>
        </w:tc>
        <w:tc>
          <w:tcPr>
            <w:tcW w:w="1720" w:type="dxa"/>
            <w:vAlign w:val="bottom"/>
            <w:vMerge w:val="restart"/>
            <w:shd w:val="clear" w:color="auto" w:fill="FFE8F5"/>
          </w:tcPr>
          <w:p>
            <w:pPr>
              <w:ind w:left="440"/>
              <w:spacing w:after="0"/>
              <w:rPr>
                <w:sz w:val="20"/>
                <w:szCs w:val="20"/>
                <w:color w:val="auto"/>
              </w:rPr>
            </w:pPr>
            <w:r>
              <w:rPr>
                <w:rFonts w:ascii="Arial" w:cs="Arial" w:eastAsia="Arial" w:hAnsi="Arial"/>
                <w:sz w:val="14"/>
                <w:szCs w:val="14"/>
                <w:b w:val="1"/>
                <w:bCs w:val="1"/>
                <w:color w:val="auto"/>
              </w:rPr>
              <w:t>Award Type</w:t>
            </w:r>
          </w:p>
        </w:tc>
        <w:tc>
          <w:tcPr>
            <w:tcW w:w="2100" w:type="dxa"/>
            <w:vAlign w:val="bottom"/>
            <w:shd w:val="clear" w:color="auto" w:fill="FFE8F5"/>
          </w:tcPr>
          <w:p>
            <w:pPr>
              <w:ind w:left="440"/>
              <w:spacing w:after="0"/>
              <w:rPr>
                <w:sz w:val="20"/>
                <w:szCs w:val="20"/>
                <w:color w:val="auto"/>
              </w:rPr>
            </w:pPr>
            <w:r>
              <w:rPr>
                <w:rFonts w:ascii="Arial" w:cs="Arial" w:eastAsia="Arial" w:hAnsi="Arial"/>
                <w:sz w:val="14"/>
                <w:szCs w:val="14"/>
                <w:b w:val="1"/>
                <w:bCs w:val="1"/>
                <w:color w:val="auto"/>
              </w:rPr>
              <w:t>or Units of Stock</w:t>
            </w:r>
          </w:p>
        </w:tc>
        <w:tc>
          <w:tcPr>
            <w:tcW w:w="2060" w:type="dxa"/>
            <w:vAlign w:val="bottom"/>
            <w:shd w:val="clear" w:color="auto" w:fill="FFE8F5"/>
          </w:tcPr>
          <w:p>
            <w:pPr>
              <w:ind w:left="520"/>
              <w:spacing w:after="0"/>
              <w:rPr>
                <w:sz w:val="20"/>
                <w:szCs w:val="20"/>
                <w:color w:val="auto"/>
              </w:rPr>
            </w:pPr>
            <w:r>
              <w:rPr>
                <w:rFonts w:ascii="Arial" w:cs="Arial" w:eastAsia="Arial" w:hAnsi="Arial"/>
                <w:sz w:val="14"/>
                <w:szCs w:val="14"/>
                <w:b w:val="1"/>
                <w:bCs w:val="1"/>
                <w:color w:val="auto"/>
              </w:rPr>
              <w:t>Shares or Units of</w:t>
            </w:r>
          </w:p>
        </w:tc>
        <w:tc>
          <w:tcPr>
            <w:tcW w:w="0" w:type="dxa"/>
            <w:vAlign w:val="bottom"/>
          </w:tcPr>
          <w:p>
            <w:pPr>
              <w:spacing w:after="0"/>
              <w:rPr>
                <w:sz w:val="1"/>
                <w:szCs w:val="1"/>
                <w:color w:val="auto"/>
              </w:rPr>
            </w:pPr>
          </w:p>
        </w:tc>
      </w:tr>
      <w:tr>
        <w:trPr>
          <w:trHeight w:val="129"/>
        </w:trPr>
        <w:tc>
          <w:tcPr>
            <w:tcW w:w="120" w:type="dxa"/>
            <w:vAlign w:val="bottom"/>
            <w:shd w:val="clear" w:color="auto" w:fill="FFE8F5"/>
          </w:tcPr>
          <w:p>
            <w:pPr>
              <w:spacing w:after="0"/>
              <w:rPr>
                <w:sz w:val="11"/>
                <w:szCs w:val="11"/>
                <w:color w:val="auto"/>
              </w:rPr>
            </w:pPr>
          </w:p>
        </w:tc>
        <w:tc>
          <w:tcPr>
            <w:tcW w:w="1280" w:type="dxa"/>
            <w:vAlign w:val="bottom"/>
            <w:vMerge w:val="continue"/>
            <w:shd w:val="clear" w:color="auto" w:fill="FFE8F5"/>
          </w:tcPr>
          <w:p>
            <w:pPr>
              <w:spacing w:after="0"/>
              <w:rPr>
                <w:sz w:val="11"/>
                <w:szCs w:val="11"/>
                <w:color w:val="auto"/>
              </w:rPr>
            </w:pPr>
          </w:p>
        </w:tc>
        <w:tc>
          <w:tcPr>
            <w:tcW w:w="2220" w:type="dxa"/>
            <w:vAlign w:val="bottom"/>
            <w:vMerge w:val="continue"/>
            <w:shd w:val="clear" w:color="auto" w:fill="FFE8F5"/>
          </w:tcPr>
          <w:p>
            <w:pPr>
              <w:spacing w:after="0"/>
              <w:rPr>
                <w:sz w:val="11"/>
                <w:szCs w:val="11"/>
                <w:color w:val="auto"/>
              </w:rPr>
            </w:pPr>
          </w:p>
        </w:tc>
        <w:tc>
          <w:tcPr>
            <w:tcW w:w="1720" w:type="dxa"/>
            <w:vAlign w:val="bottom"/>
            <w:vMerge w:val="continue"/>
            <w:shd w:val="clear" w:color="auto" w:fill="FFE8F5"/>
          </w:tcPr>
          <w:p>
            <w:pPr>
              <w:spacing w:after="0"/>
              <w:rPr>
                <w:sz w:val="11"/>
                <w:szCs w:val="11"/>
                <w:color w:val="auto"/>
              </w:rPr>
            </w:pPr>
          </w:p>
        </w:tc>
        <w:tc>
          <w:tcPr>
            <w:tcW w:w="2100" w:type="dxa"/>
            <w:vAlign w:val="bottom"/>
            <w:vMerge w:val="restart"/>
            <w:shd w:val="clear" w:color="auto" w:fill="FFE8F5"/>
          </w:tcPr>
          <w:p>
            <w:pPr>
              <w:ind w:left="440"/>
              <w:spacing w:after="0" w:line="159" w:lineRule="exact"/>
              <w:rPr>
                <w:sz w:val="20"/>
                <w:szCs w:val="20"/>
                <w:color w:val="auto"/>
              </w:rPr>
            </w:pPr>
            <w:r>
              <w:rPr>
                <w:rFonts w:ascii="Arial" w:cs="Arial" w:eastAsia="Arial" w:hAnsi="Arial"/>
                <w:sz w:val="14"/>
                <w:szCs w:val="14"/>
                <w:b w:val="1"/>
                <w:bCs w:val="1"/>
                <w:color w:val="auto"/>
              </w:rPr>
              <w:t>That Have Not</w:t>
            </w:r>
          </w:p>
        </w:tc>
        <w:tc>
          <w:tcPr>
            <w:tcW w:w="2060" w:type="dxa"/>
            <w:vAlign w:val="bottom"/>
            <w:vMerge w:val="restart"/>
            <w:shd w:val="clear" w:color="auto" w:fill="FFE8F5"/>
          </w:tcPr>
          <w:p>
            <w:pPr>
              <w:ind w:left="520"/>
              <w:spacing w:after="0" w:line="159" w:lineRule="exact"/>
              <w:rPr>
                <w:sz w:val="20"/>
                <w:szCs w:val="20"/>
                <w:color w:val="auto"/>
              </w:rPr>
            </w:pPr>
            <w:r>
              <w:rPr>
                <w:rFonts w:ascii="Arial" w:cs="Arial" w:eastAsia="Arial" w:hAnsi="Arial"/>
                <w:sz w:val="14"/>
                <w:szCs w:val="14"/>
                <w:b w:val="1"/>
                <w:bCs w:val="1"/>
                <w:color w:val="auto"/>
              </w:rPr>
              <w:t>Stock That Have Not</w:t>
            </w:r>
          </w:p>
        </w:tc>
        <w:tc>
          <w:tcPr>
            <w:tcW w:w="0" w:type="dxa"/>
            <w:vAlign w:val="bottom"/>
          </w:tcPr>
          <w:p>
            <w:pPr>
              <w:spacing w:after="0"/>
              <w:rPr>
                <w:sz w:val="1"/>
                <w:szCs w:val="1"/>
                <w:color w:val="auto"/>
              </w:rPr>
            </w:pPr>
          </w:p>
        </w:tc>
      </w:tr>
      <w:tr>
        <w:trPr>
          <w:trHeight w:val="30"/>
        </w:trPr>
        <w:tc>
          <w:tcPr>
            <w:tcW w:w="120" w:type="dxa"/>
            <w:vAlign w:val="bottom"/>
            <w:shd w:val="clear" w:color="auto" w:fill="FFE8F5"/>
          </w:tcPr>
          <w:p>
            <w:pPr>
              <w:spacing w:after="0"/>
              <w:rPr>
                <w:sz w:val="2"/>
                <w:szCs w:val="2"/>
                <w:color w:val="auto"/>
              </w:rPr>
            </w:pPr>
          </w:p>
        </w:tc>
        <w:tc>
          <w:tcPr>
            <w:tcW w:w="1280" w:type="dxa"/>
            <w:vAlign w:val="bottom"/>
            <w:shd w:val="clear" w:color="auto" w:fill="FFE8F5"/>
          </w:tcPr>
          <w:p>
            <w:pPr>
              <w:spacing w:after="0"/>
              <w:rPr>
                <w:sz w:val="2"/>
                <w:szCs w:val="2"/>
                <w:color w:val="auto"/>
              </w:rPr>
            </w:pPr>
          </w:p>
        </w:tc>
        <w:tc>
          <w:tcPr>
            <w:tcW w:w="2220" w:type="dxa"/>
            <w:vAlign w:val="bottom"/>
            <w:shd w:val="clear" w:color="auto" w:fill="FFE8F5"/>
          </w:tcPr>
          <w:p>
            <w:pPr>
              <w:spacing w:after="0"/>
              <w:rPr>
                <w:sz w:val="2"/>
                <w:szCs w:val="2"/>
                <w:color w:val="auto"/>
              </w:rPr>
            </w:pPr>
          </w:p>
        </w:tc>
        <w:tc>
          <w:tcPr>
            <w:tcW w:w="1720" w:type="dxa"/>
            <w:vAlign w:val="bottom"/>
            <w:shd w:val="clear" w:color="auto" w:fill="FFE8F5"/>
          </w:tcPr>
          <w:p>
            <w:pPr>
              <w:spacing w:after="0"/>
              <w:rPr>
                <w:sz w:val="2"/>
                <w:szCs w:val="2"/>
                <w:color w:val="auto"/>
              </w:rPr>
            </w:pPr>
          </w:p>
        </w:tc>
        <w:tc>
          <w:tcPr>
            <w:tcW w:w="2100" w:type="dxa"/>
            <w:vAlign w:val="bottom"/>
            <w:vMerge w:val="continue"/>
            <w:shd w:val="clear" w:color="auto" w:fill="FFE8F5"/>
          </w:tcPr>
          <w:p>
            <w:pPr>
              <w:spacing w:after="0"/>
              <w:rPr>
                <w:sz w:val="2"/>
                <w:szCs w:val="2"/>
                <w:color w:val="auto"/>
              </w:rPr>
            </w:pPr>
          </w:p>
        </w:tc>
        <w:tc>
          <w:tcPr>
            <w:tcW w:w="2060" w:type="dxa"/>
            <w:vAlign w:val="bottom"/>
            <w:vMerge w:val="continue"/>
            <w:shd w:val="clear" w:color="auto" w:fill="FFE8F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120" w:type="dxa"/>
            <w:vAlign w:val="bottom"/>
            <w:tcBorders>
              <w:bottom w:val="single" w:sz="8" w:color="auto"/>
            </w:tcBorders>
            <w:shd w:val="clear" w:color="auto" w:fill="FFE8F5"/>
          </w:tcPr>
          <w:p>
            <w:pPr>
              <w:spacing w:after="0"/>
              <w:rPr>
                <w:sz w:val="24"/>
                <w:szCs w:val="24"/>
                <w:color w:val="auto"/>
              </w:rPr>
            </w:pPr>
          </w:p>
        </w:tc>
        <w:tc>
          <w:tcPr>
            <w:tcW w:w="1280" w:type="dxa"/>
            <w:vAlign w:val="bottom"/>
            <w:tcBorders>
              <w:bottom w:val="single" w:sz="8" w:color="auto"/>
            </w:tcBorders>
            <w:shd w:val="clear" w:color="auto" w:fill="FFE8F5"/>
          </w:tcPr>
          <w:p>
            <w:pPr>
              <w:spacing w:after="0"/>
              <w:rPr>
                <w:sz w:val="24"/>
                <w:szCs w:val="24"/>
                <w:color w:val="auto"/>
              </w:rPr>
            </w:pPr>
          </w:p>
        </w:tc>
        <w:tc>
          <w:tcPr>
            <w:tcW w:w="2220" w:type="dxa"/>
            <w:vAlign w:val="bottom"/>
            <w:tcBorders>
              <w:bottom w:val="single" w:sz="8" w:color="auto"/>
            </w:tcBorders>
            <w:shd w:val="clear" w:color="auto" w:fill="FFE8F5"/>
          </w:tcPr>
          <w:p>
            <w:pPr>
              <w:spacing w:after="0"/>
              <w:rPr>
                <w:sz w:val="24"/>
                <w:szCs w:val="24"/>
                <w:color w:val="auto"/>
              </w:rPr>
            </w:pPr>
          </w:p>
        </w:tc>
        <w:tc>
          <w:tcPr>
            <w:tcW w:w="1720" w:type="dxa"/>
            <w:vAlign w:val="bottom"/>
            <w:tcBorders>
              <w:bottom w:val="single" w:sz="8" w:color="auto"/>
            </w:tcBorders>
            <w:shd w:val="clear" w:color="auto" w:fill="FFE8F5"/>
          </w:tcPr>
          <w:p>
            <w:pPr>
              <w:spacing w:after="0"/>
              <w:rPr>
                <w:sz w:val="24"/>
                <w:szCs w:val="24"/>
                <w:color w:val="auto"/>
              </w:rPr>
            </w:pPr>
          </w:p>
        </w:tc>
        <w:tc>
          <w:tcPr>
            <w:tcW w:w="2100" w:type="dxa"/>
            <w:vAlign w:val="bottom"/>
            <w:tcBorders>
              <w:bottom w:val="single" w:sz="8" w:color="auto"/>
            </w:tcBorders>
            <w:shd w:val="clear" w:color="auto" w:fill="FFE8F5"/>
          </w:tcPr>
          <w:p>
            <w:pPr>
              <w:ind w:left="440"/>
              <w:spacing w:after="0"/>
              <w:rPr>
                <w:sz w:val="20"/>
                <w:szCs w:val="20"/>
                <w:color w:val="auto"/>
              </w:rPr>
            </w:pPr>
            <w:r>
              <w:rPr>
                <w:rFonts w:ascii="Arial" w:cs="Arial" w:eastAsia="Arial" w:hAnsi="Arial"/>
                <w:sz w:val="14"/>
                <w:szCs w:val="14"/>
                <w:b w:val="1"/>
                <w:bCs w:val="1"/>
                <w:color w:val="auto"/>
              </w:rPr>
              <w:t>Vested (#)</w:t>
            </w:r>
          </w:p>
        </w:tc>
        <w:tc>
          <w:tcPr>
            <w:tcW w:w="2060" w:type="dxa"/>
            <w:vAlign w:val="bottom"/>
            <w:tcBorders>
              <w:bottom w:val="single" w:sz="8" w:color="auto"/>
            </w:tcBorders>
            <w:shd w:val="clear" w:color="auto" w:fill="FFE8F5"/>
          </w:tcPr>
          <w:p>
            <w:pPr>
              <w:ind w:left="520"/>
              <w:spacing w:after="0"/>
              <w:rPr>
                <w:sz w:val="20"/>
                <w:szCs w:val="20"/>
                <w:color w:val="auto"/>
              </w:rPr>
            </w:pPr>
            <w:r>
              <w:rPr>
                <w:rFonts w:ascii="Arial" w:cs="Arial" w:eastAsia="Arial" w:hAnsi="Arial"/>
                <w:sz w:val="14"/>
                <w:szCs w:val="14"/>
                <w:b w:val="1"/>
                <w:bCs w:val="1"/>
                <w:color w:val="auto"/>
              </w:rPr>
              <w:t>Vested ($)</w:t>
            </w:r>
            <w:r>
              <w:rPr>
                <w:rFonts w:ascii="Arial" w:cs="Arial" w:eastAsia="Arial" w:hAnsi="Arial"/>
                <w:sz w:val="23"/>
                <w:szCs w:val="23"/>
                <w:b w:val="1"/>
                <w:bCs w:val="1"/>
                <w:color w:val="auto"/>
                <w:vertAlign w:val="superscript"/>
              </w:rPr>
              <w:t>(2)(3)</w:t>
            </w:r>
          </w:p>
        </w:tc>
        <w:tc>
          <w:tcPr>
            <w:tcW w:w="0" w:type="dxa"/>
            <w:vAlign w:val="bottom"/>
          </w:tcPr>
          <w:p>
            <w:pPr>
              <w:spacing w:after="0"/>
              <w:rPr>
                <w:sz w:val="1"/>
                <w:szCs w:val="1"/>
                <w:color w:val="auto"/>
              </w:rPr>
            </w:pPr>
          </w:p>
        </w:tc>
      </w:tr>
      <w:tr>
        <w:trPr>
          <w:trHeight w:val="344"/>
        </w:trPr>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Jennifer Y. Hyman</w:t>
            </w:r>
          </w:p>
        </w:tc>
        <w:tc>
          <w:tcPr>
            <w:tcW w:w="222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12/16/2025</w:t>
            </w:r>
            <w:r>
              <w:rPr>
                <w:rFonts w:ascii="Arial" w:cs="Arial" w:eastAsia="Arial" w:hAnsi="Arial"/>
                <w:sz w:val="23"/>
                <w:szCs w:val="23"/>
                <w:color w:val="auto"/>
                <w:vertAlign w:val="superscript"/>
              </w:rPr>
              <w:t>(2)</w:t>
            </w:r>
          </w:p>
        </w:tc>
        <w:tc>
          <w:tcPr>
            <w:tcW w:w="17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RSU</w:t>
            </w:r>
          </w:p>
        </w:tc>
        <w:tc>
          <w:tcPr>
            <w:tcW w:w="2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1,002,993</w:t>
            </w:r>
          </w:p>
        </w:tc>
        <w:tc>
          <w:tcPr>
            <w:tcW w:w="20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7,081,131</w:t>
            </w:r>
          </w:p>
        </w:tc>
        <w:tc>
          <w:tcPr>
            <w:tcW w:w="0" w:type="dxa"/>
            <w:vAlign w:val="bottom"/>
          </w:tcPr>
          <w:p>
            <w:pPr>
              <w:spacing w:after="0"/>
              <w:rPr>
                <w:sz w:val="1"/>
                <w:szCs w:val="1"/>
                <w:color w:val="auto"/>
              </w:rPr>
            </w:pPr>
          </w:p>
        </w:tc>
      </w:tr>
      <w:tr>
        <w:trPr>
          <w:trHeight w:val="345"/>
        </w:trPr>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Sid Thacker</w:t>
            </w:r>
          </w:p>
        </w:tc>
        <w:tc>
          <w:tcPr>
            <w:tcW w:w="222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12/16/2025</w:t>
            </w:r>
            <w:r>
              <w:rPr>
                <w:rFonts w:ascii="Arial" w:cs="Arial" w:eastAsia="Arial" w:hAnsi="Arial"/>
                <w:sz w:val="23"/>
                <w:szCs w:val="23"/>
                <w:color w:val="auto"/>
                <w:vertAlign w:val="superscript"/>
              </w:rPr>
              <w:t>(2)</w:t>
            </w:r>
          </w:p>
        </w:tc>
        <w:tc>
          <w:tcPr>
            <w:tcW w:w="17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RSU</w:t>
            </w:r>
          </w:p>
        </w:tc>
        <w:tc>
          <w:tcPr>
            <w:tcW w:w="2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200,598</w:t>
            </w:r>
          </w:p>
        </w:tc>
        <w:tc>
          <w:tcPr>
            <w:tcW w:w="20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1,416,222</w:t>
            </w:r>
          </w:p>
        </w:tc>
        <w:tc>
          <w:tcPr>
            <w:tcW w:w="0" w:type="dxa"/>
            <w:vAlign w:val="bottom"/>
          </w:tcPr>
          <w:p>
            <w:pPr>
              <w:spacing w:after="0"/>
              <w:rPr>
                <w:sz w:val="1"/>
                <w:szCs w:val="1"/>
                <w:color w:val="auto"/>
              </w:rPr>
            </w:pPr>
          </w:p>
        </w:tc>
      </w:tr>
      <w:tr>
        <w:trPr>
          <w:trHeight w:val="318"/>
        </w:trPr>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Sarah Tam</w:t>
            </w:r>
          </w:p>
        </w:tc>
        <w:tc>
          <w:tcPr>
            <w:tcW w:w="222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12/16/2025</w:t>
            </w:r>
            <w:r>
              <w:rPr>
                <w:rFonts w:ascii="Arial" w:cs="Arial" w:eastAsia="Arial" w:hAnsi="Arial"/>
                <w:sz w:val="23"/>
                <w:szCs w:val="23"/>
                <w:color w:val="auto"/>
                <w:vertAlign w:val="superscript"/>
              </w:rPr>
              <w:t>(2)</w:t>
            </w:r>
          </w:p>
        </w:tc>
        <w:tc>
          <w:tcPr>
            <w:tcW w:w="17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RSU</w:t>
            </w:r>
          </w:p>
        </w:tc>
        <w:tc>
          <w:tcPr>
            <w:tcW w:w="2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200,598</w:t>
            </w:r>
          </w:p>
        </w:tc>
        <w:tc>
          <w:tcPr>
            <w:tcW w:w="20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1,416,222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140" w:hanging="359"/>
        <w:spacing w:after="0" w:line="281"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are calculated by multiplying the number of shares shown in the table by $7.06, the closing stock price of our Class A common stock on January 30, 2026, which was the last trading day of fiscal year 2025.</w:t>
      </w:r>
    </w:p>
    <w:p>
      <w:pPr>
        <w:spacing w:after="0" w:line="1" w:lineRule="exact"/>
        <w:rPr>
          <w:rFonts w:ascii="Arial" w:cs="Arial" w:eastAsia="Arial" w:hAnsi="Arial"/>
          <w:sz w:val="14"/>
          <w:szCs w:val="14"/>
          <w:color w:val="auto"/>
        </w:rPr>
      </w:pPr>
    </w:p>
    <w:p>
      <w:pPr>
        <w:ind w:left="380" w:right="960" w:hanging="359"/>
        <w:spacing w:after="0" w:line="281"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RSUs that vest 25% on the one-year anniversary of the grant date, with the remaining 75% of the RSUs vesting in 1/16th increments on a quarterly basis for the next three years, subject to continued service through the applicable vesting dates.</w:t>
      </w:r>
    </w:p>
    <w:p>
      <w:pPr>
        <w:spacing w:after="0" w:line="1" w:lineRule="exact"/>
        <w:rPr>
          <w:rFonts w:ascii="Arial" w:cs="Arial" w:eastAsia="Arial" w:hAnsi="Arial"/>
          <w:sz w:val="14"/>
          <w:szCs w:val="14"/>
          <w:color w:val="auto"/>
        </w:rPr>
      </w:pPr>
    </w:p>
    <w:p>
      <w:pPr>
        <w:ind w:left="380" w:hanging="359"/>
        <w:spacing w:after="0" w:line="249"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In accordance with FASB ASC 718, the FY 2025 PSUs were not considered granted from an accounting perspective as of the date of this Proxy Statement. As noted above under the section of this Proxy Statement entitled “Equity Incentive Compensation”, the FY 2025 PSUs will be reflected in the “Outstanding Equity Awards at Fiscal-Year End” table for the year in which the performance metrics and goals are determined by the Board. The PSUs are subject to time-based and performance-based vesting requirements, and generally will fully vest on January 31, 2030 (subject to continued employment through the vesting date) with respect to any PSUs that become earned PSUs during each applicable Performance Period as further discussed in the section entitled “New Plan Benefits Under the Amended Plan” on page </w:t>
      </w:r>
      <w:r>
        <w:rPr>
          <w:rFonts w:ascii="Arial" w:cs="Arial" w:eastAsia="Arial" w:hAnsi="Arial"/>
          <w:sz w:val="14"/>
          <w:szCs w:val="14"/>
          <w:u w:val="single" w:color="auto"/>
          <w:color w:val="0000EE"/>
        </w:rPr>
        <w:t>41</w:t>
      </w:r>
      <w:r>
        <w:rPr>
          <w:rFonts w:ascii="Arial" w:cs="Arial" w:eastAsia="Arial" w:hAnsi="Arial"/>
          <w:sz w:val="14"/>
          <w:szCs w:val="14"/>
          <w:color w:val="auto"/>
        </w:rPr>
        <w:t xml:space="preserve"> of this Proxy Statement.</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85" w:lineRule="exact"/>
        <w:rPr>
          <w:sz w:val="20"/>
          <w:szCs w:val="20"/>
          <w:color w:val="auto"/>
        </w:rPr>
      </w:pPr>
    </w:p>
    <w:p>
      <w:pPr>
        <w:ind w:left="20" w:right="40"/>
        <w:spacing w:after="0" w:line="271" w:lineRule="auto"/>
        <w:rPr>
          <w:sz w:val="20"/>
          <w:szCs w:val="20"/>
          <w:color w:val="auto"/>
        </w:rPr>
      </w:pPr>
      <w:r>
        <w:rPr>
          <w:rFonts w:ascii="Arial" w:cs="Arial" w:eastAsia="Arial" w:hAnsi="Arial"/>
          <w:sz w:val="18"/>
          <w:szCs w:val="18"/>
          <w:color w:val="auto"/>
        </w:rPr>
        <w:t>Below are written descriptions of our employment arrangements with each of our named executive officers. Each of our named executive officers’ employment is “at will” and may be terminated at any time.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Jennifer Y. Hyman</w:t>
      </w:r>
    </w:p>
    <w:p>
      <w:pPr>
        <w:spacing w:after="0" w:line="169" w:lineRule="exact"/>
        <w:rPr>
          <w:sz w:val="20"/>
          <w:szCs w:val="20"/>
          <w:color w:val="auto"/>
        </w:rPr>
      </w:pPr>
    </w:p>
    <w:p>
      <w:pPr>
        <w:ind w:left="20" w:right="320"/>
        <w:spacing w:after="0" w:line="242" w:lineRule="auto"/>
        <w:rPr>
          <w:sz w:val="20"/>
          <w:szCs w:val="20"/>
          <w:color w:val="auto"/>
        </w:rPr>
      </w:pPr>
      <w:r>
        <w:rPr>
          <w:rFonts w:ascii="Arial" w:cs="Arial" w:eastAsia="Arial" w:hAnsi="Arial"/>
          <w:sz w:val="18"/>
          <w:szCs w:val="18"/>
          <w:color w:val="auto"/>
        </w:rPr>
        <w:t>In connection with the Recapitalization Transactions, we entered into an amended employment agreement with Ms. Hyman amending the terms of her prior employment agreement (as amended, “the CEO Employment Agreement”), pursuant to which Ms. Hyman served as our Co-Founder, Chief Executive Officer and President, the material terms of which are described in this section. The CEO Employment Agreement provided for an initial term ending on January 31, 2030, with successive one-year automatic extensions of the term, provided that neither party provides prior written notice of non-extension of the term.</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Pursuant to the CEO Employment Agreement, Ms. Hyman was entitled to an annual base salary ($ 750,000), was eligible for an annual performance-based cash bonus with a target bonus opportunity (100% of her annual base salary), was eligible to participate in the Company’s retirement and health and welfare plans, and was eligible for reimbursement of certain travel and business expenses. In addition, pursuant to the CEO Employment Agreement, Ms. Hyman was eligible to receive security consulting benefits, including an assessment of Ms. Hyman’s personal security considerations in connection with her position with us and data security consulting benefits and equipment with respect to Ms. Hyman’s use of electronic RTR equipment at Ms. Hyman’s home and while traveling.</w:t>
      </w:r>
    </w:p>
    <w:p>
      <w:pPr>
        <w:spacing w:after="0" w:line="144" w:lineRule="exact"/>
        <w:rPr>
          <w:sz w:val="20"/>
          <w:szCs w:val="20"/>
          <w:color w:val="auto"/>
        </w:rPr>
      </w:pPr>
    </w:p>
    <w:p>
      <w:pPr>
        <w:ind w:left="20" w:right="240"/>
        <w:spacing w:after="0" w:line="242" w:lineRule="auto"/>
        <w:rPr>
          <w:sz w:val="20"/>
          <w:szCs w:val="20"/>
          <w:color w:val="auto"/>
        </w:rPr>
      </w:pPr>
      <w:r>
        <w:rPr>
          <w:rFonts w:ascii="Arial" w:cs="Arial" w:eastAsia="Arial" w:hAnsi="Arial"/>
          <w:sz w:val="18"/>
          <w:szCs w:val="18"/>
          <w:color w:val="auto"/>
        </w:rPr>
        <w:t>Pursuant to the CEO Employment Agreement, if Ms. Hyman’s employment was terminated by the Company without “cause” (as defined in the CEO Employment Agreement) or by Ms. Hyman for “good reason” (as defined in the CEO Employment Agreement), then she would have been eligible for (i) a cash severance payment equal to 1.0 times her annual base salary and target annual bonus (increased to 1.5 times if such employment termination occurs prior to October 28, 2026 or within the 24 month period following a CIC), payable in accordance with the terms of the CEO Employment Agreement; (ii) continued group health coverage for a period</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260"/>
        <w:spacing w:after="0" w:line="253" w:lineRule="auto"/>
        <w:rPr>
          <w:sz w:val="20"/>
          <w:szCs w:val="20"/>
          <w:color w:val="auto"/>
        </w:rPr>
      </w:pPr>
      <w:r>
        <w:rPr>
          <w:rFonts w:ascii="Arial" w:cs="Arial" w:eastAsia="Arial" w:hAnsi="Arial"/>
          <w:sz w:val="18"/>
          <w:szCs w:val="18"/>
          <w:color w:val="auto"/>
        </w:rPr>
        <w:t>of up to 18 months following termination; and (iii) vesting of all paid amounts under the Amended Transaction Bonus Plan which, as of her employment termination date, are subject to clawback restrictions (with any unpaid amounts being forfeited). The CEO Employment Agreement also provided for a Section 280G “best net” cutback.</w:t>
      </w:r>
    </w:p>
    <w:p>
      <w:pPr>
        <w:spacing w:after="0" w:line="128" w:lineRule="exact"/>
        <w:rPr>
          <w:sz w:val="20"/>
          <w:szCs w:val="20"/>
          <w:color w:val="auto"/>
        </w:rPr>
      </w:pPr>
    </w:p>
    <w:p>
      <w:pPr>
        <w:ind w:left="20" w:right="80"/>
        <w:spacing w:after="0" w:line="242" w:lineRule="auto"/>
        <w:rPr>
          <w:sz w:val="20"/>
          <w:szCs w:val="20"/>
          <w:color w:val="auto"/>
        </w:rPr>
      </w:pPr>
      <w:r>
        <w:rPr>
          <w:rFonts w:ascii="Arial" w:cs="Arial" w:eastAsia="Arial" w:hAnsi="Arial"/>
          <w:sz w:val="18"/>
          <w:szCs w:val="18"/>
          <w:color w:val="auto"/>
        </w:rPr>
        <w:t>On May 12, 2026, Ms. Hyman resigned as Chief Executive Officer and President of the Company, effective as of May 15, 2026. In connection with her resignation, we entered into a separation, advisor and release agreement pursuant to which Ms. Hyman is eligible to receive certain severance payments and benefits, subject to her execution of a release of claims and compliance with restrictive covenants. For a summary of Ms. Hyman’s resignation and the separation, advisor and release agreement, please see the Company’s Current Report on Form 8-K filed with the SEC on May 13, 2026.</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Sid Thacker</w:t>
      </w:r>
    </w:p>
    <w:p>
      <w:pPr>
        <w:spacing w:after="0" w:line="169" w:lineRule="exact"/>
        <w:rPr>
          <w:sz w:val="20"/>
          <w:szCs w:val="20"/>
          <w:color w:val="auto"/>
        </w:rPr>
      </w:pPr>
    </w:p>
    <w:p>
      <w:pPr>
        <w:ind w:left="20" w:right="80"/>
        <w:spacing w:after="0" w:line="266" w:lineRule="auto"/>
        <w:rPr>
          <w:sz w:val="20"/>
          <w:szCs w:val="20"/>
          <w:color w:val="auto"/>
        </w:rPr>
      </w:pPr>
      <w:r>
        <w:rPr>
          <w:rFonts w:ascii="Arial" w:cs="Arial" w:eastAsia="Arial" w:hAnsi="Arial"/>
          <w:sz w:val="17"/>
          <w:szCs w:val="17"/>
          <w:color w:val="auto"/>
        </w:rPr>
        <w:t>We are party to an offer letter with Mr. Thacker pursuant to which Mr. Thacker serves as our Chief Financial Officer (as amended, the “Thacker Offer Letter”). The Thacker Offer Letter provides for an annual base salary (which is currently $550,000), an annual performance-based cash bonus with a target bonus opportunity (which is currently 43% of his annual base salary), and eligibility to participate in the Executive Severance Plan on terms described below.</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Sarah Tam</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are party to an offer letter with Ms. Tam pursuant to which Ms. Tam serves as our Chief Merchant Officer (as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amended, the “Tam Offer Letter”). The Tam Offer Letter provides for an annual base salary (which is currently</w:t>
      </w:r>
    </w:p>
    <w:p>
      <w:pPr>
        <w:ind w:left="20"/>
        <w:spacing w:after="0" w:line="234" w:lineRule="auto"/>
        <w:rPr>
          <w:sz w:val="20"/>
          <w:szCs w:val="20"/>
          <w:color w:val="auto"/>
        </w:rPr>
      </w:pPr>
      <w:r>
        <w:rPr>
          <w:rFonts w:ascii="Arial" w:cs="Arial" w:eastAsia="Arial" w:hAnsi="Arial"/>
          <w:sz w:val="18"/>
          <w:szCs w:val="18"/>
          <w:color w:val="auto"/>
        </w:rPr>
        <w:t>$500,000), an annual performance-based cash bonus with a target bonus opportunity (which is currently 35% of 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annual base salary), and eligibility to participate in the Executive Severance Plan on terms described below.</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Severance Plan</w:t>
      </w:r>
    </w:p>
    <w:p>
      <w:pPr>
        <w:spacing w:after="0" w:line="171"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We have adopted an Executive Severance Plan, or the Severance Plan, pursuant to which senior employees (including our named executive officers other than Ms. Hyman) are eligible to participate. Ms. Hyman did not participate in the Severance Plan. The Severance Plan provides for the payment of certain severance and other benefits to participants in the event of a qualifying termination of employment with us, subject to the execution and nonrevocation of a release of claims and compliance with any applicable restrictive covenants.</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Termination of Employment not in Connection with a Change in Control</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Sid Thacker</w:t>
      </w:r>
    </w:p>
    <w:p>
      <w:pPr>
        <w:spacing w:after="0" w:line="183"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color w:val="auto"/>
        </w:rPr>
        <w:t>Under the Severance Plan, in the event of a termination of Mr. Thacker’s employment by us without “cause” or by him for “good reason” (each, as defined in the Severance Plan), he will be eligible to receive the following benefits:</w:t>
      </w:r>
    </w:p>
    <w:p>
      <w:pPr>
        <w:spacing w:after="0" w:line="113" w:lineRule="exact"/>
        <w:rPr>
          <w:sz w:val="20"/>
          <w:szCs w:val="20"/>
          <w:color w:val="auto"/>
        </w:rPr>
      </w:pPr>
    </w:p>
    <w:p>
      <w:pPr>
        <w:ind w:left="740" w:right="80" w:hanging="359"/>
        <w:spacing w:after="0" w:line="245"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cash payment equal to 0.5x Mr. Thacker’s then-current base salary because he has been employed with us for less than five years;</w:t>
      </w:r>
    </w:p>
    <w:p>
      <w:pPr>
        <w:ind w:left="740" w:right="140" w:hanging="359"/>
        <w:spacing w:after="0" w:line="234"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lump-sum cash payment equal to the cash bonus with respect to the fiscal year in which Mr. Thacker’s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and</w:t>
      </w:r>
    </w:p>
    <w:p>
      <w:pPr>
        <w:spacing w:after="0" w:line="2" w:lineRule="exact"/>
        <w:rPr>
          <w:rFonts w:ascii="Arial" w:cs="Arial" w:eastAsia="Arial" w:hAnsi="Arial"/>
          <w:sz w:val="18"/>
          <w:szCs w:val="18"/>
          <w:color w:val="auto"/>
        </w:rPr>
      </w:pPr>
    </w:p>
    <w:p>
      <w:pPr>
        <w:ind w:left="740" w:hanging="359"/>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company-paid COBRA premium payments for up to six months.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Sarah Tam</w:t>
      </w:r>
    </w:p>
    <w:p>
      <w:pPr>
        <w:spacing w:after="0" w:line="169" w:lineRule="exact"/>
        <w:rPr>
          <w:sz w:val="20"/>
          <w:szCs w:val="20"/>
          <w:color w:val="auto"/>
        </w:rPr>
      </w:pPr>
    </w:p>
    <w:p>
      <w:pPr>
        <w:ind w:left="20" w:right="200"/>
        <w:spacing w:after="0" w:line="271" w:lineRule="auto"/>
        <w:rPr>
          <w:sz w:val="20"/>
          <w:szCs w:val="20"/>
          <w:color w:val="auto"/>
        </w:rPr>
      </w:pPr>
      <w:r>
        <w:rPr>
          <w:rFonts w:ascii="Arial" w:cs="Arial" w:eastAsia="Arial" w:hAnsi="Arial"/>
          <w:sz w:val="18"/>
          <w:szCs w:val="18"/>
          <w:color w:val="auto"/>
        </w:rPr>
        <w:t>Under the Severance Plan, in the event of a termination of Ms. Tam’s employment by us without “cause” or by her for “good reason” (each as defined in the Severance Plan), she will be eligible to receive the following benefits:</w:t>
      </w:r>
    </w:p>
    <w:p>
      <w:pPr>
        <w:spacing w:after="0" w:line="127" w:lineRule="exact"/>
        <w:rPr>
          <w:sz w:val="20"/>
          <w:szCs w:val="20"/>
          <w:color w:val="auto"/>
        </w:rPr>
      </w:pPr>
    </w:p>
    <w:p>
      <w:pPr>
        <w:ind w:left="740" w:right="20" w:hanging="359"/>
        <w:spacing w:after="0" w:line="271"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cash payment equal to 1.0x Ms. Tam’s then-current base salary because she has been employed with us for more than five years;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740" w:right="140" w:hanging="359"/>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lump-sum cash payment equal to the cash bonus with respect to the fiscal year in which Ms. Tam’s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and</w:t>
      </w:r>
    </w:p>
    <w:p>
      <w:pPr>
        <w:ind w:left="740" w:hanging="359"/>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company-paid COBRA premium payments for up to 12 months.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Termination of Employment in Connection with a Change in Control</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the event of a termination of Mr. Thacker or Ms. Tam’s employment by us without “cause” or by Mr. Thacker or</w:t>
      </w:r>
    </w:p>
    <w:p>
      <w:pPr>
        <w:spacing w:after="0" w:line="14" w:lineRule="exact"/>
        <w:rPr>
          <w:sz w:val="20"/>
          <w:szCs w:val="20"/>
          <w:color w:val="auto"/>
        </w:rPr>
      </w:pPr>
    </w:p>
    <w:p>
      <w:pPr>
        <w:ind w:left="20"/>
        <w:spacing w:after="0" w:line="250" w:lineRule="auto"/>
        <w:rPr>
          <w:sz w:val="20"/>
          <w:szCs w:val="20"/>
          <w:color w:val="auto"/>
        </w:rPr>
      </w:pPr>
      <w:r>
        <w:rPr>
          <w:rFonts w:ascii="Arial" w:cs="Arial" w:eastAsia="Arial" w:hAnsi="Arial"/>
          <w:sz w:val="18"/>
          <w:szCs w:val="18"/>
          <w:color w:val="auto"/>
        </w:rPr>
        <w:t>Ms. Tam for “good reason” during the period beginning three months before and ending on the 12-month anniversary of a “change in control” (as defined in the Severance Plan), each will be eligible to receive the following benefits:</w:t>
      </w:r>
    </w:p>
    <w:p>
      <w:pPr>
        <w:spacing w:after="0" w:line="131" w:lineRule="exact"/>
        <w:rPr>
          <w:sz w:val="20"/>
          <w:szCs w:val="20"/>
          <w:color w:val="auto"/>
        </w:rPr>
      </w:pPr>
    </w:p>
    <w:p>
      <w:pPr>
        <w:ind w:left="740" w:hanging="359"/>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 sum cash payment equal to 1.0x of their then-current annual base salary;</w:t>
      </w:r>
    </w:p>
    <w:p>
      <w:pPr>
        <w:spacing w:after="0" w:line="13" w:lineRule="exact"/>
        <w:rPr>
          <w:rFonts w:ascii="Arial" w:cs="Arial" w:eastAsia="Arial" w:hAnsi="Arial"/>
          <w:sz w:val="18"/>
          <w:szCs w:val="18"/>
          <w:color w:val="auto"/>
        </w:rPr>
      </w:pPr>
    </w:p>
    <w:p>
      <w:pPr>
        <w:ind w:left="740" w:right="100" w:hanging="359"/>
        <w:spacing w:after="0" w:line="234"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 sum cash payment equal to 1.0x of the greater of (1) the bonus that they would have earned had they remained employed for the full year in which termination occurs, based on actual achievement and (2) their target annual bonus for the fiscal year in which the date of termination occurs;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company-paid COBRA premium payments for up to 12 months; and</w:t>
      </w:r>
    </w:p>
    <w:p>
      <w:pPr>
        <w:ind w:left="740" w:right="140" w:hanging="359"/>
        <w:spacing w:after="0" w:line="242"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accelerated vesting of all equity awards which vest based solely on continued service with us or the passage of time, with awards that vest based on the achievement of performance objectives or conditions eligible to vest based on the applicable award agreement.</w:t>
      </w:r>
    </w:p>
    <w:p>
      <w:pPr>
        <w:spacing w:after="0" w:line="139" w:lineRule="exact"/>
        <w:rPr>
          <w:sz w:val="20"/>
          <w:szCs w:val="20"/>
          <w:color w:val="auto"/>
        </w:rPr>
      </w:pPr>
    </w:p>
    <w:p>
      <w:pPr>
        <w:jc w:val="both"/>
        <w:ind w:left="20" w:right="60"/>
        <w:spacing w:after="0" w:line="247" w:lineRule="auto"/>
        <w:rPr>
          <w:sz w:val="20"/>
          <w:szCs w:val="20"/>
          <w:color w:val="auto"/>
        </w:rPr>
      </w:pPr>
      <w:r>
        <w:rPr>
          <w:rFonts w:ascii="Arial" w:cs="Arial" w:eastAsia="Arial" w:hAnsi="Arial"/>
          <w:sz w:val="18"/>
          <w:szCs w:val="18"/>
          <w:color w:val="auto"/>
        </w:rPr>
        <w:t>Pursuant to the terms of the PSU award agreement, in the event of a termination of employment by without “cause” or a resignation for “modified good reason” (as defined in the PSU award agreement) on or after February 1, 2027, a pro-rated portion of the target number of PSUs multiplied by the applicable earned PSU percentage for such performance period for during which a termination of employment occurs shall vest.</w:t>
      </w:r>
    </w:p>
    <w:p>
      <w:pPr>
        <w:spacing w:after="0" w:line="147"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Pursuant to the terms of the RSU award agreement, in the event of a termination of employment without “cause” during the 18-month period commencing on either the Closing of the Recapitalization Transactions or the date of a Change in Control that occurs after the Closing of the Recapitalization Transactions, the number of RSUs that would have otherwise vested on the first vesting date following the termination of employment shall vest.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280"/>
        <w:spacing w:after="0" w:line="273" w:lineRule="auto"/>
        <w:rPr>
          <w:sz w:val="20"/>
          <w:szCs w:val="20"/>
          <w:color w:val="auto"/>
        </w:rPr>
      </w:pPr>
      <w:r>
        <w:rPr>
          <w:rFonts w:ascii="Arial" w:cs="Arial" w:eastAsia="Arial" w:hAnsi="Arial"/>
          <w:sz w:val="65"/>
          <w:szCs w:val="65"/>
          <w:b w:val="1"/>
          <w:bCs w:val="1"/>
          <w:color w:val="auto"/>
        </w:rPr>
        <w:t>Equity Compensation Plan Information</w:t>
      </w:r>
    </w:p>
    <w:p>
      <w:pPr>
        <w:spacing w:after="0" w:line="2"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The following table provides information as of January 31, 2026, with respect to the shares of the Company’s common stock that may be issued under the Company’s existing compensation plans.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20" w:type="dxa"/>
            <w:vAlign w:val="bottom"/>
            <w:shd w:val="clear" w:color="auto" w:fill="FFE8F5"/>
          </w:tcPr>
          <w:p>
            <w:pPr>
              <w:spacing w:after="0"/>
              <w:rPr>
                <w:sz w:val="22"/>
                <w:szCs w:val="22"/>
                <w:color w:val="auto"/>
              </w:rPr>
            </w:pPr>
          </w:p>
        </w:tc>
        <w:tc>
          <w:tcPr>
            <w:tcW w:w="4300" w:type="dxa"/>
            <w:vAlign w:val="bottom"/>
            <w:shd w:val="clear" w:color="auto" w:fill="FFE8F5"/>
          </w:tcPr>
          <w:p>
            <w:pPr>
              <w:spacing w:after="0"/>
              <w:rPr>
                <w:sz w:val="22"/>
                <w:szCs w:val="22"/>
                <w:color w:val="auto"/>
              </w:rPr>
            </w:pPr>
          </w:p>
        </w:tc>
        <w:tc>
          <w:tcPr>
            <w:tcW w:w="1760" w:type="dxa"/>
            <w:vAlign w:val="bottom"/>
            <w:shd w:val="clear" w:color="auto" w:fill="FFE8F5"/>
          </w:tcPr>
          <w:p>
            <w:pPr>
              <w:spacing w:after="0"/>
              <w:rPr>
                <w:sz w:val="22"/>
                <w:szCs w:val="22"/>
                <w:color w:val="auto"/>
              </w:rPr>
            </w:pPr>
          </w:p>
        </w:tc>
        <w:tc>
          <w:tcPr>
            <w:tcW w:w="1060" w:type="dxa"/>
            <w:vAlign w:val="bottom"/>
            <w:shd w:val="clear" w:color="auto" w:fill="FFE8F5"/>
          </w:tcPr>
          <w:p>
            <w:pPr>
              <w:spacing w:after="0"/>
              <w:rPr>
                <w:sz w:val="22"/>
                <w:szCs w:val="22"/>
                <w:color w:val="auto"/>
              </w:rPr>
            </w:pPr>
          </w:p>
        </w:tc>
        <w:tc>
          <w:tcPr>
            <w:tcW w:w="780" w:type="dxa"/>
            <w:vAlign w:val="bottom"/>
            <w:shd w:val="clear" w:color="auto" w:fill="FFE8F5"/>
          </w:tcPr>
          <w:p>
            <w:pPr>
              <w:spacing w:after="0"/>
              <w:rPr>
                <w:sz w:val="22"/>
                <w:szCs w:val="22"/>
                <w:color w:val="auto"/>
              </w:rPr>
            </w:pPr>
          </w:p>
        </w:tc>
        <w:tc>
          <w:tcPr>
            <w:tcW w:w="1480" w:type="dxa"/>
            <w:vAlign w:val="bottom"/>
            <w:shd w:val="clear" w:color="auto" w:fill="FFE8F5"/>
          </w:tcPr>
          <w:p>
            <w:pPr>
              <w:ind w:left="3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120" w:type="dxa"/>
            <w:vAlign w:val="bottom"/>
            <w:shd w:val="clear" w:color="auto" w:fill="FFE8F5"/>
          </w:tcPr>
          <w:p>
            <w:pPr>
              <w:spacing w:after="0"/>
              <w:rPr>
                <w:sz w:val="14"/>
                <w:szCs w:val="14"/>
                <w:color w:val="auto"/>
              </w:rPr>
            </w:pPr>
          </w:p>
        </w:tc>
        <w:tc>
          <w:tcPr>
            <w:tcW w:w="4300" w:type="dxa"/>
            <w:vAlign w:val="bottom"/>
            <w:shd w:val="clear" w:color="auto" w:fill="FFE8F5"/>
          </w:tcPr>
          <w:p>
            <w:pPr>
              <w:spacing w:after="0"/>
              <w:rPr>
                <w:sz w:val="14"/>
                <w:szCs w:val="14"/>
                <w:color w:val="auto"/>
              </w:rPr>
            </w:pPr>
          </w:p>
        </w:tc>
        <w:tc>
          <w:tcPr>
            <w:tcW w:w="1760" w:type="dxa"/>
            <w:vAlign w:val="bottom"/>
            <w:vMerge w:val="restart"/>
            <w:shd w:val="clear" w:color="auto" w:fill="FFE8F5"/>
          </w:tcPr>
          <w:p>
            <w:pPr>
              <w:ind w:left="400"/>
              <w:spacing w:after="0"/>
              <w:rPr>
                <w:sz w:val="20"/>
                <w:szCs w:val="20"/>
                <w:color w:val="auto"/>
              </w:rPr>
            </w:pPr>
            <w:r>
              <w:rPr>
                <w:rFonts w:ascii="Arial" w:cs="Arial" w:eastAsia="Arial" w:hAnsi="Arial"/>
                <w:sz w:val="14"/>
                <w:szCs w:val="14"/>
                <w:b w:val="1"/>
                <w:bCs w:val="1"/>
                <w:color w:val="auto"/>
              </w:rPr>
              <w:t>Number of</w:t>
            </w:r>
          </w:p>
        </w:tc>
        <w:tc>
          <w:tcPr>
            <w:tcW w:w="1060" w:type="dxa"/>
            <w:vAlign w:val="bottom"/>
            <w:shd w:val="clear" w:color="auto" w:fill="FFE8F5"/>
          </w:tcPr>
          <w:p>
            <w:pPr>
              <w:spacing w:after="0"/>
              <w:rPr>
                <w:sz w:val="14"/>
                <w:szCs w:val="14"/>
                <w:color w:val="auto"/>
              </w:rPr>
            </w:pPr>
          </w:p>
        </w:tc>
        <w:tc>
          <w:tcPr>
            <w:tcW w:w="780" w:type="dxa"/>
            <w:vAlign w:val="bottom"/>
            <w:shd w:val="clear" w:color="auto" w:fill="FFE8F5"/>
          </w:tcPr>
          <w:p>
            <w:pPr>
              <w:spacing w:after="0"/>
              <w:rPr>
                <w:sz w:val="14"/>
                <w:szCs w:val="14"/>
                <w:color w:val="auto"/>
              </w:rPr>
            </w:pPr>
          </w:p>
        </w:tc>
        <w:tc>
          <w:tcPr>
            <w:tcW w:w="1480" w:type="dxa"/>
            <w:vAlign w:val="bottom"/>
            <w:shd w:val="clear" w:color="auto" w:fill="FFE8F5"/>
          </w:tcPr>
          <w:p>
            <w:pPr>
              <w:ind w:left="30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continue"/>
            <w:shd w:val="clear" w:color="auto" w:fill="FFE8F5"/>
          </w:tcPr>
          <w:p>
            <w:pPr>
              <w:spacing w:after="0"/>
              <w:rPr>
                <w:sz w:val="7"/>
                <w:szCs w:val="7"/>
                <w:color w:val="auto"/>
              </w:rPr>
            </w:pPr>
          </w:p>
        </w:tc>
        <w:tc>
          <w:tcPr>
            <w:tcW w:w="106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Weighted</w:t>
            </w:r>
          </w:p>
        </w:tc>
        <w:tc>
          <w:tcPr>
            <w:tcW w:w="780" w:type="dxa"/>
            <w:vAlign w:val="bottom"/>
            <w:shd w:val="clear" w:color="auto" w:fill="FFE8F5"/>
          </w:tcPr>
          <w:p>
            <w:pPr>
              <w:spacing w:after="0"/>
              <w:rPr>
                <w:sz w:val="7"/>
                <w:szCs w:val="7"/>
                <w:color w:val="auto"/>
              </w:rPr>
            </w:pPr>
          </w:p>
        </w:tc>
        <w:tc>
          <w:tcPr>
            <w:tcW w:w="148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restart"/>
            <w:shd w:val="clear" w:color="auto" w:fill="FFE8F5"/>
          </w:tcPr>
          <w:p>
            <w:pPr>
              <w:ind w:left="400"/>
              <w:spacing w:after="0"/>
              <w:rPr>
                <w:sz w:val="20"/>
                <w:szCs w:val="20"/>
                <w:color w:val="auto"/>
              </w:rPr>
            </w:pPr>
            <w:r>
              <w:rPr>
                <w:rFonts w:ascii="Arial" w:cs="Arial" w:eastAsia="Arial" w:hAnsi="Arial"/>
                <w:sz w:val="14"/>
                <w:szCs w:val="14"/>
                <w:b w:val="1"/>
                <w:bCs w:val="1"/>
                <w:color w:val="auto"/>
              </w:rPr>
              <w:t>Securities</w:t>
            </w:r>
          </w:p>
        </w:tc>
        <w:tc>
          <w:tcPr>
            <w:tcW w:w="1060" w:type="dxa"/>
            <w:vAlign w:val="bottom"/>
            <w:vMerge w:val="continue"/>
            <w:shd w:val="clear" w:color="auto" w:fill="FFE8F5"/>
          </w:tcPr>
          <w:p>
            <w:pPr>
              <w:spacing w:after="0"/>
              <w:rPr>
                <w:sz w:val="7"/>
                <w:szCs w:val="7"/>
                <w:color w:val="auto"/>
              </w:rPr>
            </w:pPr>
          </w:p>
        </w:tc>
        <w:tc>
          <w:tcPr>
            <w:tcW w:w="780" w:type="dxa"/>
            <w:vAlign w:val="bottom"/>
            <w:shd w:val="clear" w:color="auto" w:fill="FFE8F5"/>
          </w:tcPr>
          <w:p>
            <w:pPr>
              <w:spacing w:after="0"/>
              <w:rPr>
                <w:sz w:val="7"/>
                <w:szCs w:val="7"/>
                <w:color w:val="auto"/>
              </w:rPr>
            </w:pPr>
          </w:p>
        </w:tc>
        <w:tc>
          <w:tcPr>
            <w:tcW w:w="1480" w:type="dxa"/>
            <w:vAlign w:val="bottom"/>
            <w:vMerge w:val="continue"/>
            <w:shd w:val="clear" w:color="auto" w:fill="FFE8F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continue"/>
            <w:shd w:val="clear" w:color="auto" w:fill="FFE8F5"/>
          </w:tcPr>
          <w:p>
            <w:pPr>
              <w:spacing w:after="0"/>
              <w:rPr>
                <w:sz w:val="7"/>
                <w:szCs w:val="7"/>
                <w:color w:val="auto"/>
              </w:rPr>
            </w:pPr>
          </w:p>
        </w:tc>
        <w:tc>
          <w:tcPr>
            <w:tcW w:w="1840" w:type="dxa"/>
            <w:vAlign w:val="bottom"/>
            <w:gridSpan w:val="2"/>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Average Exercise</w:t>
            </w:r>
          </w:p>
        </w:tc>
        <w:tc>
          <w:tcPr>
            <w:tcW w:w="148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restart"/>
            <w:shd w:val="clear" w:color="auto" w:fill="FFE8F5"/>
          </w:tcPr>
          <w:p>
            <w:pPr>
              <w:ind w:left="400"/>
              <w:spacing w:after="0"/>
              <w:rPr>
                <w:sz w:val="20"/>
                <w:szCs w:val="20"/>
                <w:color w:val="auto"/>
              </w:rPr>
            </w:pPr>
            <w:r>
              <w:rPr>
                <w:rFonts w:ascii="Arial" w:cs="Arial" w:eastAsia="Arial" w:hAnsi="Arial"/>
                <w:sz w:val="14"/>
                <w:szCs w:val="14"/>
                <w:b w:val="1"/>
                <w:bCs w:val="1"/>
                <w:color w:val="auto"/>
              </w:rPr>
              <w:t>to be Issued</w:t>
            </w:r>
          </w:p>
        </w:tc>
        <w:tc>
          <w:tcPr>
            <w:tcW w:w="1840" w:type="dxa"/>
            <w:vAlign w:val="bottom"/>
            <w:gridSpan w:val="2"/>
            <w:vMerge w:val="continue"/>
            <w:shd w:val="clear" w:color="auto" w:fill="FFE8F5"/>
          </w:tcPr>
          <w:p>
            <w:pPr>
              <w:spacing w:after="0"/>
              <w:rPr>
                <w:sz w:val="7"/>
                <w:szCs w:val="7"/>
                <w:color w:val="auto"/>
              </w:rPr>
            </w:pPr>
          </w:p>
        </w:tc>
        <w:tc>
          <w:tcPr>
            <w:tcW w:w="1480" w:type="dxa"/>
            <w:vAlign w:val="bottom"/>
            <w:vMerge w:val="continue"/>
            <w:shd w:val="clear" w:color="auto" w:fill="FFE8F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vMerge w:val="restart"/>
            <w:shd w:val="clear" w:color="auto" w:fill="FFE8F5"/>
          </w:tcPr>
          <w:p>
            <w:pPr>
              <w:ind w:left="40"/>
              <w:spacing w:after="0"/>
              <w:rPr>
                <w:sz w:val="20"/>
                <w:szCs w:val="20"/>
                <w:color w:val="auto"/>
              </w:rPr>
            </w:pPr>
            <w:r>
              <w:rPr>
                <w:rFonts w:ascii="Arial" w:cs="Arial" w:eastAsia="Arial" w:hAnsi="Arial"/>
                <w:sz w:val="14"/>
                <w:szCs w:val="14"/>
                <w:b w:val="1"/>
                <w:bCs w:val="1"/>
                <w:color w:val="auto"/>
              </w:rPr>
              <w:t>Plan Category</w:t>
            </w:r>
          </w:p>
        </w:tc>
        <w:tc>
          <w:tcPr>
            <w:tcW w:w="1760" w:type="dxa"/>
            <w:vAlign w:val="bottom"/>
            <w:vMerge w:val="continue"/>
            <w:shd w:val="clear" w:color="auto" w:fill="FFE8F5"/>
          </w:tcPr>
          <w:p>
            <w:pPr>
              <w:spacing w:after="0"/>
              <w:rPr>
                <w:sz w:val="7"/>
                <w:szCs w:val="7"/>
                <w:color w:val="auto"/>
              </w:rPr>
            </w:pPr>
          </w:p>
        </w:tc>
        <w:tc>
          <w:tcPr>
            <w:tcW w:w="106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Price of</w:t>
            </w:r>
          </w:p>
        </w:tc>
        <w:tc>
          <w:tcPr>
            <w:tcW w:w="780" w:type="dxa"/>
            <w:vAlign w:val="bottom"/>
            <w:shd w:val="clear" w:color="auto" w:fill="FFE8F5"/>
          </w:tcPr>
          <w:p>
            <w:pPr>
              <w:spacing w:after="0"/>
              <w:rPr>
                <w:sz w:val="7"/>
                <w:szCs w:val="7"/>
                <w:color w:val="auto"/>
              </w:rPr>
            </w:pPr>
          </w:p>
        </w:tc>
        <w:tc>
          <w:tcPr>
            <w:tcW w:w="148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for Future</w:t>
            </w: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vMerge w:val="continue"/>
            <w:shd w:val="clear" w:color="auto" w:fill="FFE8F5"/>
          </w:tcPr>
          <w:p>
            <w:pPr>
              <w:spacing w:after="0"/>
              <w:rPr>
                <w:sz w:val="7"/>
                <w:szCs w:val="7"/>
                <w:color w:val="auto"/>
              </w:rPr>
            </w:pPr>
          </w:p>
        </w:tc>
        <w:tc>
          <w:tcPr>
            <w:tcW w:w="1760" w:type="dxa"/>
            <w:vAlign w:val="bottom"/>
            <w:vMerge w:val="restart"/>
            <w:shd w:val="clear" w:color="auto" w:fill="FFE8F5"/>
          </w:tcPr>
          <w:p>
            <w:pPr>
              <w:ind w:left="400"/>
              <w:spacing w:after="0"/>
              <w:rPr>
                <w:sz w:val="20"/>
                <w:szCs w:val="20"/>
                <w:color w:val="auto"/>
              </w:rPr>
            </w:pPr>
            <w:r>
              <w:rPr>
                <w:rFonts w:ascii="Arial" w:cs="Arial" w:eastAsia="Arial" w:hAnsi="Arial"/>
                <w:sz w:val="14"/>
                <w:szCs w:val="14"/>
                <w:b w:val="1"/>
                <w:bCs w:val="1"/>
                <w:color w:val="auto"/>
              </w:rPr>
              <w:t>Upon Exercise</w:t>
            </w:r>
          </w:p>
        </w:tc>
        <w:tc>
          <w:tcPr>
            <w:tcW w:w="1060" w:type="dxa"/>
            <w:vAlign w:val="bottom"/>
            <w:vMerge w:val="continue"/>
            <w:shd w:val="clear" w:color="auto" w:fill="FFE8F5"/>
          </w:tcPr>
          <w:p>
            <w:pPr>
              <w:spacing w:after="0"/>
              <w:rPr>
                <w:sz w:val="7"/>
                <w:szCs w:val="7"/>
                <w:color w:val="auto"/>
              </w:rPr>
            </w:pPr>
          </w:p>
        </w:tc>
        <w:tc>
          <w:tcPr>
            <w:tcW w:w="780" w:type="dxa"/>
            <w:vAlign w:val="bottom"/>
            <w:shd w:val="clear" w:color="auto" w:fill="FFE8F5"/>
          </w:tcPr>
          <w:p>
            <w:pPr>
              <w:spacing w:after="0"/>
              <w:rPr>
                <w:sz w:val="7"/>
                <w:szCs w:val="7"/>
                <w:color w:val="auto"/>
              </w:rPr>
            </w:pPr>
          </w:p>
        </w:tc>
        <w:tc>
          <w:tcPr>
            <w:tcW w:w="1480" w:type="dxa"/>
            <w:vAlign w:val="bottom"/>
            <w:vMerge w:val="continue"/>
            <w:shd w:val="clear" w:color="auto" w:fill="FFE8F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continue"/>
            <w:shd w:val="clear" w:color="auto" w:fill="FFE8F5"/>
          </w:tcPr>
          <w:p>
            <w:pPr>
              <w:spacing w:after="0"/>
              <w:rPr>
                <w:sz w:val="7"/>
                <w:szCs w:val="7"/>
                <w:color w:val="auto"/>
              </w:rPr>
            </w:pPr>
          </w:p>
        </w:tc>
        <w:tc>
          <w:tcPr>
            <w:tcW w:w="1840" w:type="dxa"/>
            <w:vAlign w:val="bottom"/>
            <w:gridSpan w:val="2"/>
            <w:vMerge w:val="restart"/>
            <w:shd w:val="clear" w:color="auto" w:fill="FFE8F5"/>
          </w:tcPr>
          <w:p>
            <w:pPr>
              <w:ind w:left="300"/>
              <w:spacing w:after="0" w:line="159" w:lineRule="exact"/>
              <w:rPr>
                <w:sz w:val="20"/>
                <w:szCs w:val="20"/>
                <w:color w:val="auto"/>
              </w:rPr>
            </w:pPr>
            <w:r>
              <w:rPr>
                <w:rFonts w:ascii="Arial" w:cs="Arial" w:eastAsia="Arial" w:hAnsi="Arial"/>
                <w:sz w:val="14"/>
                <w:szCs w:val="14"/>
                <w:b w:val="1"/>
                <w:bCs w:val="1"/>
                <w:color w:val="auto"/>
              </w:rPr>
              <w:t>Outstanding</w:t>
            </w:r>
          </w:p>
        </w:tc>
        <w:tc>
          <w:tcPr>
            <w:tcW w:w="1480" w:type="dxa"/>
            <w:vAlign w:val="bottom"/>
            <w:vMerge w:val="restart"/>
            <w:shd w:val="clear" w:color="auto" w:fill="FFE8F5"/>
          </w:tcPr>
          <w:p>
            <w:pPr>
              <w:ind w:left="300"/>
              <w:spacing w:after="0" w:line="159" w:lineRule="exact"/>
              <w:rPr>
                <w:sz w:val="20"/>
                <w:szCs w:val="20"/>
                <w:color w:val="auto"/>
              </w:rPr>
            </w:pPr>
            <w:r>
              <w:rPr>
                <w:rFonts w:ascii="Arial" w:cs="Arial" w:eastAsia="Arial" w:hAnsi="Arial"/>
                <w:sz w:val="14"/>
                <w:szCs w:val="14"/>
                <w:b w:val="1"/>
                <w:bCs w:val="1"/>
                <w:color w:val="auto"/>
              </w:rPr>
              <w:t>Issuance</w:t>
            </w:r>
          </w:p>
        </w:tc>
        <w:tc>
          <w:tcPr>
            <w:tcW w:w="0" w:type="dxa"/>
            <w:vAlign w:val="bottom"/>
          </w:tcPr>
          <w:p>
            <w:pPr>
              <w:spacing w:after="0"/>
              <w:rPr>
                <w:sz w:val="1"/>
                <w:szCs w:val="1"/>
                <w:color w:val="auto"/>
              </w:rPr>
            </w:pPr>
          </w:p>
        </w:tc>
      </w:tr>
      <w:tr>
        <w:trPr>
          <w:trHeight w:val="78"/>
        </w:trPr>
        <w:tc>
          <w:tcPr>
            <w:tcW w:w="120" w:type="dxa"/>
            <w:vAlign w:val="bottom"/>
            <w:shd w:val="clear" w:color="auto" w:fill="FFE8F5"/>
          </w:tcPr>
          <w:p>
            <w:pPr>
              <w:spacing w:after="0"/>
              <w:rPr>
                <w:sz w:val="6"/>
                <w:szCs w:val="6"/>
                <w:color w:val="auto"/>
              </w:rPr>
            </w:pPr>
          </w:p>
        </w:tc>
        <w:tc>
          <w:tcPr>
            <w:tcW w:w="4300" w:type="dxa"/>
            <w:vAlign w:val="bottom"/>
            <w:shd w:val="clear" w:color="auto" w:fill="FFE8F5"/>
          </w:tcPr>
          <w:p>
            <w:pPr>
              <w:spacing w:after="0"/>
              <w:rPr>
                <w:sz w:val="6"/>
                <w:szCs w:val="6"/>
                <w:color w:val="auto"/>
              </w:rPr>
            </w:pPr>
          </w:p>
        </w:tc>
        <w:tc>
          <w:tcPr>
            <w:tcW w:w="1760" w:type="dxa"/>
            <w:vAlign w:val="bottom"/>
            <w:vMerge w:val="restart"/>
            <w:shd w:val="clear" w:color="auto" w:fill="FFE8F5"/>
          </w:tcPr>
          <w:p>
            <w:pPr>
              <w:ind w:left="400"/>
              <w:spacing w:after="0" w:line="159" w:lineRule="exact"/>
              <w:rPr>
                <w:sz w:val="20"/>
                <w:szCs w:val="20"/>
                <w:color w:val="auto"/>
              </w:rPr>
            </w:pPr>
            <w:r>
              <w:rPr>
                <w:rFonts w:ascii="Arial" w:cs="Arial" w:eastAsia="Arial" w:hAnsi="Arial"/>
                <w:sz w:val="14"/>
                <w:szCs w:val="14"/>
                <w:b w:val="1"/>
                <w:bCs w:val="1"/>
                <w:color w:val="auto"/>
              </w:rPr>
              <w:t>of Outstanding</w:t>
            </w:r>
          </w:p>
        </w:tc>
        <w:tc>
          <w:tcPr>
            <w:tcW w:w="1840" w:type="dxa"/>
            <w:vAlign w:val="bottom"/>
            <w:gridSpan w:val="2"/>
            <w:vMerge w:val="continue"/>
            <w:shd w:val="clear" w:color="auto" w:fill="FFE8F5"/>
          </w:tcPr>
          <w:p>
            <w:pPr>
              <w:spacing w:after="0"/>
              <w:rPr>
                <w:sz w:val="6"/>
                <w:szCs w:val="6"/>
                <w:color w:val="auto"/>
              </w:rPr>
            </w:pPr>
          </w:p>
        </w:tc>
        <w:tc>
          <w:tcPr>
            <w:tcW w:w="1480" w:type="dxa"/>
            <w:vAlign w:val="bottom"/>
            <w:vMerge w:val="continue"/>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continue"/>
            <w:shd w:val="clear" w:color="auto" w:fill="FFE8F5"/>
          </w:tcPr>
          <w:p>
            <w:pPr>
              <w:spacing w:after="0"/>
              <w:rPr>
                <w:sz w:val="7"/>
                <w:szCs w:val="7"/>
                <w:color w:val="auto"/>
              </w:rPr>
            </w:pPr>
          </w:p>
        </w:tc>
        <w:tc>
          <w:tcPr>
            <w:tcW w:w="106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Options ($)</w:t>
            </w:r>
          </w:p>
        </w:tc>
        <w:tc>
          <w:tcPr>
            <w:tcW w:w="780" w:type="dxa"/>
            <w:vAlign w:val="bottom"/>
            <w:vMerge w:val="restart"/>
            <w:shd w:val="clear" w:color="auto" w:fill="FFE8F5"/>
          </w:tcPr>
          <w:p>
            <w:pPr>
              <w:jc w:val="right"/>
              <w:ind w:right="572"/>
              <w:spacing w:after="0"/>
              <w:rPr>
                <w:sz w:val="20"/>
                <w:szCs w:val="20"/>
                <w:color w:val="auto"/>
              </w:rPr>
            </w:pPr>
            <w:r>
              <w:rPr>
                <w:rFonts w:ascii="Arial" w:cs="Arial" w:eastAsia="Arial" w:hAnsi="Arial"/>
                <w:sz w:val="12"/>
                <w:szCs w:val="12"/>
                <w:b w:val="1"/>
                <w:bCs w:val="1"/>
                <w:color w:val="auto"/>
                <w:w w:val="81"/>
              </w:rPr>
              <w:t>(2)</w:t>
            </w:r>
          </w:p>
        </w:tc>
        <w:tc>
          <w:tcPr>
            <w:tcW w:w="148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84"/>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restart"/>
            <w:shd w:val="clear" w:color="auto" w:fill="FFE8F5"/>
          </w:tcPr>
          <w:p>
            <w:pPr>
              <w:ind w:left="400"/>
              <w:spacing w:after="0" w:line="243" w:lineRule="exact"/>
              <w:rPr>
                <w:sz w:val="20"/>
                <w:szCs w:val="20"/>
                <w:color w:val="auto"/>
              </w:rPr>
            </w:pPr>
            <w:r>
              <w:rPr>
                <w:rFonts w:ascii="Arial" w:cs="Arial" w:eastAsia="Arial" w:hAnsi="Arial"/>
                <w:sz w:val="14"/>
                <w:szCs w:val="14"/>
                <w:b w:val="1"/>
                <w:bCs w:val="1"/>
                <w:color w:val="auto"/>
              </w:rPr>
              <w:t>Securities</w:t>
            </w:r>
            <w:r>
              <w:rPr>
                <w:rFonts w:ascii="Arial" w:cs="Arial" w:eastAsia="Arial" w:hAnsi="Arial"/>
                <w:sz w:val="23"/>
                <w:szCs w:val="23"/>
                <w:b w:val="1"/>
                <w:bCs w:val="1"/>
                <w:color w:val="auto"/>
                <w:vertAlign w:val="superscript"/>
              </w:rPr>
              <w:t>(1)</w:t>
            </w:r>
          </w:p>
        </w:tc>
        <w:tc>
          <w:tcPr>
            <w:tcW w:w="1060" w:type="dxa"/>
            <w:vAlign w:val="bottom"/>
            <w:vMerge w:val="continue"/>
            <w:shd w:val="clear" w:color="auto" w:fill="FFE8F5"/>
          </w:tcPr>
          <w:p>
            <w:pPr>
              <w:spacing w:after="0"/>
              <w:rPr>
                <w:sz w:val="7"/>
                <w:szCs w:val="7"/>
                <w:color w:val="auto"/>
              </w:rPr>
            </w:pPr>
          </w:p>
        </w:tc>
        <w:tc>
          <w:tcPr>
            <w:tcW w:w="780" w:type="dxa"/>
            <w:vAlign w:val="bottom"/>
            <w:vMerge w:val="continue"/>
            <w:shd w:val="clear" w:color="auto" w:fill="FFE8F5"/>
          </w:tcPr>
          <w:p>
            <w:pPr>
              <w:spacing w:after="0"/>
              <w:rPr>
                <w:sz w:val="7"/>
                <w:szCs w:val="7"/>
                <w:color w:val="auto"/>
              </w:rPr>
            </w:pPr>
          </w:p>
        </w:tc>
        <w:tc>
          <w:tcPr>
            <w:tcW w:w="1480" w:type="dxa"/>
            <w:vAlign w:val="bottom"/>
            <w:vMerge w:val="continue"/>
            <w:shd w:val="clear" w:color="auto" w:fill="FFE8F5"/>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20" w:type="dxa"/>
            <w:vAlign w:val="bottom"/>
            <w:shd w:val="clear" w:color="auto" w:fill="FFE8F5"/>
          </w:tcPr>
          <w:p>
            <w:pPr>
              <w:spacing w:after="0"/>
              <w:rPr>
                <w:sz w:val="13"/>
                <w:szCs w:val="13"/>
                <w:color w:val="auto"/>
              </w:rPr>
            </w:pPr>
          </w:p>
        </w:tc>
        <w:tc>
          <w:tcPr>
            <w:tcW w:w="4300" w:type="dxa"/>
            <w:vAlign w:val="bottom"/>
            <w:shd w:val="clear" w:color="auto" w:fill="FFE8F5"/>
          </w:tcPr>
          <w:p>
            <w:pPr>
              <w:spacing w:after="0"/>
              <w:rPr>
                <w:sz w:val="13"/>
                <w:szCs w:val="13"/>
                <w:color w:val="auto"/>
              </w:rPr>
            </w:pPr>
          </w:p>
        </w:tc>
        <w:tc>
          <w:tcPr>
            <w:tcW w:w="1760" w:type="dxa"/>
            <w:vAlign w:val="bottom"/>
            <w:vMerge w:val="continue"/>
            <w:shd w:val="clear" w:color="auto" w:fill="FFE8F5"/>
          </w:tcPr>
          <w:p>
            <w:pPr>
              <w:spacing w:after="0"/>
              <w:rPr>
                <w:sz w:val="13"/>
                <w:szCs w:val="13"/>
                <w:color w:val="auto"/>
              </w:rPr>
            </w:pPr>
          </w:p>
        </w:tc>
        <w:tc>
          <w:tcPr>
            <w:tcW w:w="1060" w:type="dxa"/>
            <w:vAlign w:val="bottom"/>
            <w:vMerge w:val="continue"/>
            <w:shd w:val="clear" w:color="auto" w:fill="FFE8F5"/>
          </w:tcPr>
          <w:p>
            <w:pPr>
              <w:spacing w:after="0"/>
              <w:rPr>
                <w:sz w:val="13"/>
                <w:szCs w:val="13"/>
                <w:color w:val="auto"/>
              </w:rPr>
            </w:pPr>
          </w:p>
        </w:tc>
        <w:tc>
          <w:tcPr>
            <w:tcW w:w="780" w:type="dxa"/>
            <w:vAlign w:val="bottom"/>
            <w:shd w:val="clear" w:color="auto" w:fill="FFE8F5"/>
          </w:tcPr>
          <w:p>
            <w:pPr>
              <w:spacing w:after="0"/>
              <w:rPr>
                <w:sz w:val="13"/>
                <w:szCs w:val="13"/>
                <w:color w:val="auto"/>
              </w:rPr>
            </w:pPr>
          </w:p>
        </w:tc>
        <w:tc>
          <w:tcPr>
            <w:tcW w:w="1480" w:type="dxa"/>
            <w:vAlign w:val="bottom"/>
            <w:shd w:val="clear" w:color="auto" w:fill="FFE8F5"/>
          </w:tcPr>
          <w:p>
            <w:pPr>
              <w:ind w:left="300"/>
              <w:spacing w:after="0" w:line="159"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96"/>
        </w:trPr>
        <w:tc>
          <w:tcPr>
            <w:tcW w:w="120" w:type="dxa"/>
            <w:vAlign w:val="bottom"/>
            <w:tcBorders>
              <w:bottom w:val="single" w:sz="8" w:color="auto"/>
            </w:tcBorders>
            <w:shd w:val="clear" w:color="auto" w:fill="FFE8F5"/>
          </w:tcPr>
          <w:p>
            <w:pPr>
              <w:spacing w:after="0"/>
              <w:rPr>
                <w:sz w:val="24"/>
                <w:szCs w:val="24"/>
                <w:color w:val="auto"/>
              </w:rPr>
            </w:pPr>
          </w:p>
        </w:tc>
        <w:tc>
          <w:tcPr>
            <w:tcW w:w="4300" w:type="dxa"/>
            <w:vAlign w:val="bottom"/>
            <w:tcBorders>
              <w:bottom w:val="single" w:sz="8" w:color="auto"/>
            </w:tcBorders>
            <w:shd w:val="clear" w:color="auto" w:fill="FFE8F5"/>
          </w:tcPr>
          <w:p>
            <w:pPr>
              <w:spacing w:after="0"/>
              <w:rPr>
                <w:sz w:val="24"/>
                <w:szCs w:val="24"/>
                <w:color w:val="auto"/>
              </w:rPr>
            </w:pPr>
          </w:p>
        </w:tc>
        <w:tc>
          <w:tcPr>
            <w:tcW w:w="1760" w:type="dxa"/>
            <w:vAlign w:val="bottom"/>
            <w:tcBorders>
              <w:bottom w:val="single" w:sz="8" w:color="auto"/>
            </w:tcBorders>
            <w:shd w:val="clear" w:color="auto" w:fill="FFE8F5"/>
          </w:tcPr>
          <w:p>
            <w:pPr>
              <w:spacing w:after="0"/>
              <w:rPr>
                <w:sz w:val="24"/>
                <w:szCs w:val="24"/>
                <w:color w:val="auto"/>
              </w:rPr>
            </w:pPr>
          </w:p>
        </w:tc>
        <w:tc>
          <w:tcPr>
            <w:tcW w:w="1060" w:type="dxa"/>
            <w:vAlign w:val="bottom"/>
            <w:tcBorders>
              <w:bottom w:val="single" w:sz="8" w:color="auto"/>
            </w:tcBorders>
            <w:shd w:val="clear" w:color="auto" w:fill="FFE8F5"/>
          </w:tcPr>
          <w:p>
            <w:pPr>
              <w:spacing w:after="0"/>
              <w:rPr>
                <w:sz w:val="24"/>
                <w:szCs w:val="24"/>
                <w:color w:val="auto"/>
              </w:rPr>
            </w:pPr>
          </w:p>
        </w:tc>
        <w:tc>
          <w:tcPr>
            <w:tcW w:w="780" w:type="dxa"/>
            <w:vAlign w:val="bottom"/>
            <w:tcBorders>
              <w:bottom w:val="single" w:sz="8" w:color="auto"/>
            </w:tcBorders>
            <w:shd w:val="clear" w:color="auto" w:fill="FFE8F5"/>
          </w:tcPr>
          <w:p>
            <w:pPr>
              <w:spacing w:after="0"/>
              <w:rPr>
                <w:sz w:val="24"/>
                <w:szCs w:val="24"/>
                <w:color w:val="auto"/>
              </w:rPr>
            </w:pPr>
          </w:p>
        </w:tc>
        <w:tc>
          <w:tcPr>
            <w:tcW w:w="1480" w:type="dxa"/>
            <w:vAlign w:val="bottom"/>
            <w:tcBorders>
              <w:bottom w:val="single" w:sz="8" w:color="auto"/>
            </w:tcBorders>
            <w:shd w:val="clear" w:color="auto" w:fill="FFE8F5"/>
          </w:tcPr>
          <w:p>
            <w:pPr>
              <w:ind w:left="300"/>
              <w:spacing w:after="0"/>
              <w:rPr>
                <w:sz w:val="20"/>
                <w:szCs w:val="20"/>
                <w:color w:val="auto"/>
              </w:rPr>
            </w:pPr>
            <w:r>
              <w:rPr>
                <w:rFonts w:ascii="Arial" w:cs="Arial" w:eastAsia="Arial" w:hAnsi="Arial"/>
                <w:sz w:val="14"/>
                <w:szCs w:val="14"/>
                <w:b w:val="1"/>
                <w:bCs w:val="1"/>
                <w:color w:val="auto"/>
              </w:rPr>
              <w:t>Plans</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269"/>
        </w:trPr>
        <w:tc>
          <w:tcPr>
            <w:tcW w:w="120" w:type="dxa"/>
            <w:vAlign w:val="bottom"/>
          </w:tcPr>
          <w:p>
            <w:pPr>
              <w:spacing w:after="0"/>
              <w:rPr>
                <w:sz w:val="23"/>
                <w:szCs w:val="23"/>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Equity compensation plans approved by security holders(4)</w:t>
            </w:r>
          </w:p>
        </w:tc>
        <w:tc>
          <w:tcPr>
            <w:tcW w:w="1760" w:type="dxa"/>
            <w:vAlign w:val="bottom"/>
          </w:tcPr>
          <w:p>
            <w:pPr>
              <w:jc w:val="right"/>
              <w:ind w:right="228"/>
              <w:spacing w:after="0"/>
              <w:rPr>
                <w:sz w:val="20"/>
                <w:szCs w:val="20"/>
                <w:color w:val="auto"/>
              </w:rPr>
            </w:pPr>
            <w:r>
              <w:rPr>
                <w:rFonts w:ascii="Arial" w:cs="Arial" w:eastAsia="Arial" w:hAnsi="Arial"/>
                <w:sz w:val="14"/>
                <w:szCs w:val="14"/>
                <w:color w:val="auto"/>
              </w:rPr>
              <w:t>6,768,674</w:t>
            </w:r>
          </w:p>
        </w:tc>
        <w:tc>
          <w:tcPr>
            <w:tcW w:w="1060" w:type="dxa"/>
            <w:vAlign w:val="bottom"/>
          </w:tcPr>
          <w:p>
            <w:pPr>
              <w:spacing w:after="0"/>
              <w:rPr>
                <w:sz w:val="23"/>
                <w:szCs w:val="23"/>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175.64</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3,572,201</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43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Equity compensation plans not approved by security holders</w:t>
            </w:r>
          </w:p>
        </w:tc>
        <w:tc>
          <w:tcPr>
            <w:tcW w:w="17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22"/>
                <w:szCs w:val="22"/>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43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Totals</w:t>
            </w:r>
          </w:p>
        </w:tc>
        <w:tc>
          <w:tcPr>
            <w:tcW w:w="1760" w:type="dxa"/>
            <w:vAlign w:val="bottom"/>
          </w:tcPr>
          <w:p>
            <w:pPr>
              <w:jc w:val="right"/>
              <w:ind w:right="228"/>
              <w:spacing w:after="0"/>
              <w:rPr>
                <w:sz w:val="20"/>
                <w:szCs w:val="20"/>
                <w:color w:val="auto"/>
              </w:rPr>
            </w:pPr>
            <w:r>
              <w:rPr>
                <w:rFonts w:ascii="Arial" w:cs="Arial" w:eastAsia="Arial" w:hAnsi="Arial"/>
                <w:sz w:val="14"/>
                <w:szCs w:val="14"/>
                <w:color w:val="auto"/>
              </w:rPr>
              <w:t>6,768,674</w:t>
            </w: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3,572,201</w:t>
            </w: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43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380" w:right="200" w:hanging="359"/>
        <w:spacing w:after="0" w:line="263"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shares subject to outstanding awards granted, of which 12,089 shares of Class A common stock are subject to outstanding options and 2,343,505 shares of Class A common stock are subject to outstanding RSUs, and 4,413,080 shares of Class A common stock subject to PSUs (assuming maximum level of performance is achieved).</w:t>
      </w:r>
    </w:p>
    <w:p>
      <w:pPr>
        <w:spacing w:after="0" w:line="10" w:lineRule="exact"/>
        <w:rPr>
          <w:rFonts w:ascii="Arial" w:cs="Arial" w:eastAsia="Arial" w:hAnsi="Arial"/>
          <w:sz w:val="14"/>
          <w:szCs w:val="14"/>
          <w:color w:val="auto"/>
        </w:rPr>
      </w:pPr>
    </w:p>
    <w:p>
      <w:pPr>
        <w:ind w:left="380" w:hanging="359"/>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exercise prices of the outstanding options.</w:t>
      </w:r>
    </w:p>
    <w:p>
      <w:pPr>
        <w:spacing w:after="0" w:line="55" w:lineRule="exact"/>
        <w:rPr>
          <w:rFonts w:ascii="Arial" w:cs="Arial" w:eastAsia="Arial" w:hAnsi="Arial"/>
          <w:sz w:val="14"/>
          <w:szCs w:val="14"/>
          <w:color w:val="auto"/>
        </w:rPr>
      </w:pPr>
    </w:p>
    <w:p>
      <w:pPr>
        <w:ind w:left="380" w:right="40" w:hanging="359"/>
        <w:spacing w:after="0" w:line="252"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shares available for future issuance under the Second Amended and Restated 2021 Incentive Award Plan (as amended, the “Amended Plan”) and the 2021 Employee Stock Purchase Plan (the “ESPP”). As of January 31, 2026, 3,528,686 shares of Class A common stock were available for issuance under the Amended Plan, and 43,515 shares of Class A common stock were available for issuance under the ESPP. There was no ESPP purchase period in effect as of January 31, 2026, and as a result there were no rights to purchase shares under the ESPP outstanding as of January 31, 2026.</w:t>
      </w:r>
    </w:p>
    <w:p>
      <w:pPr>
        <w:spacing w:after="0" w:line="19" w:lineRule="exact"/>
        <w:rPr>
          <w:sz w:val="20"/>
          <w:szCs w:val="20"/>
          <w:color w:val="auto"/>
        </w:rPr>
      </w:pPr>
    </w:p>
    <w:p>
      <w:pPr>
        <w:ind w:left="380" w:right="140" w:hanging="359"/>
        <w:spacing w:after="0" w:line="252"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ESPP contains an “evergreen” provision, which allows for an annual increase in the number of shares of Class A common stock available for issuance under the plan on the first day of each year commencing on January 1, 2022 and ending on and including January 1, 2031. The number of shares under the ESPP shall be increased by 1% of the number of shares of Class A common stock issued and outstanding on the immediately preceding December 31, or such lesser number of shares determined by our Board; however, in December 2022, the Board determined that there will be no automatic increase in the number of shares under the ESPP without further action from the Board.</w:t>
      </w:r>
    </w:p>
    <w:p>
      <w:pPr>
        <w:spacing w:after="0" w:line="18" w:lineRule="exact"/>
        <w:rPr>
          <w:rFonts w:ascii="Arial" w:cs="Arial" w:eastAsia="Arial" w:hAnsi="Arial"/>
          <w:sz w:val="14"/>
          <w:szCs w:val="14"/>
          <w:color w:val="auto"/>
        </w:rPr>
      </w:pPr>
    </w:p>
    <w:p>
      <w:pPr>
        <w:ind w:left="380" w:right="500" w:hanging="359"/>
        <w:spacing w:after="0" w:line="281"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No further shares are available for issuance under the Amended and Restated 2021 Incentive Award Plan (the “2021 Plan”), 2019 Stock Incentive Plan (the “2019 Plan”) or the 2009 Stock Incentive Plan (the “2009 Plan”).</w:t>
      </w:r>
    </w:p>
    <w:p>
      <w:pPr>
        <w:spacing w:after="0" w:line="1" w:lineRule="exact"/>
        <w:rPr>
          <w:sz w:val="20"/>
          <w:szCs w:val="20"/>
          <w:color w:val="auto"/>
        </w:rPr>
      </w:pPr>
    </w:p>
    <w:p>
      <w:pPr>
        <w:ind w:left="380" w:hanging="359"/>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the Amended Plan, the ESPP, the 2019 Plan, and the 2009 Plan.</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600"/>
        <w:spacing w:after="0" w:line="277" w:lineRule="auto"/>
        <w:rPr>
          <w:sz w:val="20"/>
          <w:szCs w:val="20"/>
          <w:color w:val="auto"/>
        </w:rPr>
      </w:pPr>
      <w:r>
        <w:rPr>
          <w:rFonts w:ascii="Arial" w:cs="Arial" w:eastAsia="Arial" w:hAnsi="Arial"/>
          <w:sz w:val="64"/>
          <w:szCs w:val="64"/>
          <w:b w:val="1"/>
          <w:bCs w:val="1"/>
          <w:color w:val="auto"/>
        </w:rPr>
        <w:t>Certain Relationships and Related Person Transactions</w:t>
      </w:r>
    </w:p>
    <w:p>
      <w:pPr>
        <w:spacing w:after="0" w:line="3" w:lineRule="exact"/>
        <w:rPr>
          <w:sz w:val="20"/>
          <w:szCs w:val="20"/>
          <w:color w:val="auto"/>
        </w:rPr>
      </w:pPr>
    </w:p>
    <w:p>
      <w:pPr>
        <w:jc w:val="both"/>
        <w:ind w:left="20" w:right="140"/>
        <w:spacing w:after="0" w:line="253"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proxy statement, below we describe transactions since February 1, 2025 and each currently proposed transaction, in which:</w:t>
      </w:r>
    </w:p>
    <w:p>
      <w:pPr>
        <w:spacing w:after="0" w:line="142" w:lineRule="exact"/>
        <w:rPr>
          <w:sz w:val="20"/>
          <w:szCs w:val="20"/>
          <w:color w:val="auto"/>
        </w:rPr>
      </w:pPr>
    </w:p>
    <w:p>
      <w:pPr>
        <w:ind w:left="740" w:hanging="359"/>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ind w:left="740" w:right="60" w:hanging="359"/>
        <w:spacing w:after="0" w:line="242"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39" w:lineRule="exact"/>
        <w:rPr>
          <w:sz w:val="20"/>
          <w:szCs w:val="20"/>
          <w:color w:val="auto"/>
        </w:rPr>
      </w:pPr>
    </w:p>
    <w:p>
      <w:pPr>
        <w:ind w:left="20" w:right="300"/>
        <w:spacing w:after="0" w:line="253" w:lineRule="auto"/>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Credit Agreement</w:t>
      </w:r>
    </w:p>
    <w:p>
      <w:pPr>
        <w:spacing w:after="0" w:line="185"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Upon the closing of the Recapitalization Transactions, Lender exchanged $100 million of existing outstanding indebtedness owing to Lender under our credit agreement, dated as of July 23, 2018 (the “Existing Credit Agreement”), by and among the Company, as borrower, the lenders from time to time party thereto and the agent, on a dollar-for-dollar cashless basis for new term loans under a new credit agreement (the “New Credit Agreement”). Lender contributed the remaining indebtedness owing to Lender under the Existing Credit Agreement to the Company in exchange for 26,175,193 newly issued shares of the Company’s Class A common stock pursuant to the New Credit Agreement The Investor Group also provided an additional $20 million of term loans under the New Credit Agreement, resulting in a total aggregate principal amount of $120 million as of the closing of the Recapitalization Transactions.</w:t>
      </w:r>
    </w:p>
    <w:p>
      <w:pPr>
        <w:spacing w:after="0" w:line="140" w:lineRule="exact"/>
        <w:rPr>
          <w:sz w:val="20"/>
          <w:szCs w:val="20"/>
          <w:color w:val="auto"/>
        </w:rPr>
      </w:pPr>
    </w:p>
    <w:p>
      <w:pPr>
        <w:ind w:left="20" w:right="60"/>
        <w:spacing w:after="0" w:line="242" w:lineRule="auto"/>
        <w:rPr>
          <w:sz w:val="20"/>
          <w:szCs w:val="20"/>
          <w:color w:val="auto"/>
        </w:rPr>
      </w:pPr>
      <w:r>
        <w:rPr>
          <w:rFonts w:ascii="Arial" w:cs="Arial" w:eastAsia="Arial" w:hAnsi="Arial"/>
          <w:sz w:val="18"/>
          <w:szCs w:val="18"/>
          <w:color w:val="auto"/>
        </w:rPr>
        <w:t>Term loans under the New Credit Agreement will mature on October 28, 2029, and will bear interest, at our option, at either (i) a bank reference rate, plus 4.00% or (ii) term SOFR plus 5.00%, in each case per annum. The New Credit Agreement contains various events of default, the occurrence of which could result in the acceleration of obligations under the facility. The New Credit Agreement also modifies the Existing Credit Agreement in certain respects, including by temporarily reducing the minimum liquidity maintenance covenant from $30 million to $15 million during the period from October 28, 2025 until February 20, 2027, which reverts thereafter to $30 million.</w:t>
      </w:r>
    </w:p>
    <w:p>
      <w:pPr>
        <w:spacing w:after="0" w:line="138"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On January 28, 2026, we entered into the first amendment to the New Credit Agreement that removed the minimum liquidity maintenance covenant. On April 1, 2026, we entered into the second amendment to the New Credit Agreement that provides the Company with the ability to capitalize interest in lieu of cash payments until May 3, 2027.</w:t>
      </w:r>
    </w:p>
    <w:p>
      <w:pPr>
        <w:spacing w:after="0" w:line="142" w:lineRule="exact"/>
        <w:rPr>
          <w:sz w:val="20"/>
          <w:szCs w:val="20"/>
          <w:color w:val="auto"/>
        </w:rPr>
      </w:pPr>
    </w:p>
    <w:p>
      <w:pPr>
        <w:ind w:left="20" w:right="220"/>
        <w:spacing w:after="0" w:line="271" w:lineRule="auto"/>
        <w:rPr>
          <w:sz w:val="20"/>
          <w:szCs w:val="20"/>
          <w:color w:val="auto"/>
        </w:rPr>
      </w:pPr>
      <w:r>
        <w:rPr>
          <w:rFonts w:ascii="Arial" w:cs="Arial" w:eastAsia="Arial" w:hAnsi="Arial"/>
          <w:sz w:val="18"/>
          <w:szCs w:val="18"/>
          <w:color w:val="auto"/>
        </w:rPr>
        <w:t>The Investor Group held 85% of the voting power of our outstanding Class A common stock as of April 30, 2026 and, as such, the New Credit Agreement, as amended, constitutes a related-party transaction.</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 Rights Agreement</w:t>
      </w:r>
    </w:p>
    <w:p>
      <w:pPr>
        <w:spacing w:after="0" w:line="171" w:lineRule="exact"/>
        <w:rPr>
          <w:sz w:val="20"/>
          <w:szCs w:val="20"/>
          <w:color w:val="auto"/>
        </w:rPr>
      </w:pPr>
    </w:p>
    <w:p>
      <w:pPr>
        <w:ind w:left="20" w:right="500"/>
        <w:spacing w:after="0" w:line="271" w:lineRule="auto"/>
        <w:rPr>
          <w:sz w:val="20"/>
          <w:szCs w:val="20"/>
          <w:color w:val="auto"/>
        </w:rPr>
      </w:pPr>
      <w:r>
        <w:rPr>
          <w:rFonts w:ascii="Arial" w:cs="Arial" w:eastAsia="Arial" w:hAnsi="Arial"/>
          <w:sz w:val="18"/>
          <w:szCs w:val="18"/>
          <w:color w:val="auto"/>
        </w:rPr>
        <w:t>For a description of our Investor Rights Agreement, see “The Board and Corporate Governance – Investor Rights Agreement” above.</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Transactions</w:t>
      </w:r>
    </w:p>
    <w:p>
      <w:pPr>
        <w:spacing w:after="0" w:line="171"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Our SVP, Customer Experience is a sibling of Jennifer Y. Hyman, our Co-Founder and former Chief Executive Officer and President. On July 1, 2025, this employee received a salary increase to $375,000 from $ 341,000. The employee received a cash incentive bonus payment of $35,257 based upon the achievement of certain company performance metrics in fiscal year 2025. The employee also participated in the fiscal year 2025 special cash retention program, pursuant to the same terms and conditions as other participants, and received $163,530.82 in total payments under the program. In December 2025, the employee received a grant of 106,317 RSUs, and a grant of 106,317 PSUs (assuming target performance) based upon the achievement of certain company metrics, with each grant being on the same terms and conditions as grants to other eligible employees. The employee is also eligible to receive an incentive cash bonus for fiscal year 2026 based upon the achievement of certain company metrics and is a party to an indemnification agreement with the Company on the same terms and conditions as other officers.</w:t>
      </w:r>
    </w:p>
    <w:p>
      <w:pPr>
        <w:spacing w:after="0" w:line="139"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A former member of our marketing team is the child of Daniel Rosensweig, a member of the Board of Directors. This employee joined RTR in February 2025 and resigned on January 16, 2026. The employee’s salary was $ 190,000 during their tenure. The employee has also received a grant of 500 RSUs, and was eligible to receive an incentive cash bonus for fiscal year 2025 based upon the achievement of certain company metrics, however, such bonus eligibility was forfeited upon her resignation.</w:t>
      </w:r>
    </w:p>
    <w:p>
      <w:pPr>
        <w:spacing w:after="0" w:line="149" w:lineRule="exact"/>
        <w:rPr>
          <w:sz w:val="20"/>
          <w:szCs w:val="20"/>
          <w:color w:val="auto"/>
        </w:rPr>
      </w:pPr>
    </w:p>
    <w:p>
      <w:pPr>
        <w:ind w:left="20" w:right="320"/>
        <w:spacing w:after="0" w:line="253" w:lineRule="auto"/>
        <w:rPr>
          <w:sz w:val="20"/>
          <w:szCs w:val="20"/>
          <w:color w:val="auto"/>
        </w:rPr>
      </w:pPr>
      <w:r>
        <w:rPr>
          <w:rFonts w:ascii="Arial" w:cs="Arial" w:eastAsia="Arial" w:hAnsi="Arial"/>
          <w:sz w:val="18"/>
          <w:szCs w:val="18"/>
          <w:color w:val="auto"/>
        </w:rPr>
        <w:t>The compensation described above is based on reference to external market practice of similar positions or internal pay equity when compared to the compensation paid to employees in similar positions that were not related to our executive officers.</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85" w:lineRule="exact"/>
        <w:rPr>
          <w:sz w:val="20"/>
          <w:szCs w:val="20"/>
          <w:color w:val="auto"/>
        </w:rPr>
      </w:pPr>
    </w:p>
    <w:p>
      <w:pPr>
        <w:ind w:left="20" w:right="80"/>
        <w:spacing w:after="0" w:line="238" w:lineRule="auto"/>
        <w:rPr>
          <w:sz w:val="20"/>
          <w:szCs w:val="20"/>
          <w:color w:val="auto"/>
        </w:rPr>
      </w:pPr>
      <w:r>
        <w:rPr>
          <w:rFonts w:ascii="Arial" w:cs="Arial" w:eastAsia="Arial" w:hAnsi="Arial"/>
          <w:sz w:val="18"/>
          <w:szCs w:val="18"/>
          <w:color w:val="auto"/>
        </w:rPr>
        <w:t>Our Audit Committee has the primary responsibility for the review, approval, and oversight of “related person transactions,” as defined under the rules and regulations of the Securities Exchange Act of 1934, as amended. The Audit Committee has adopted a written related person transaction policy (the “Related Person Transaction Policy”), which requires that any related person transaction (as defined in the policy) must be presented to our Audit Committee for review, consideration, and approval. When considering proposed related person transactions, the Audit Committee will take into account the relevant facts and circumstances, including, among other things, the material terms and conditions, the basis for which the individual or entity is a related person, the related person’s interest in the transaction, the approximate dollar value of the transaction, whether the transaction is in the ordinary course, the business purpose for entering into the transaction with a related person versus an unrelated third party, whether the transaction is proposed to be or was entered into on terms no less favorable to RTR than terms that could have been reached with an unrelated third party, and any other material information. The Audit Committee will then approve or disapprove such transaction.</w:t>
      </w:r>
    </w:p>
    <w:p>
      <w:pPr>
        <w:spacing w:after="0" w:line="142" w:lineRule="exact"/>
        <w:rPr>
          <w:sz w:val="20"/>
          <w:szCs w:val="20"/>
          <w:color w:val="auto"/>
        </w:rPr>
      </w:pPr>
    </w:p>
    <w:p>
      <w:pPr>
        <w:ind w:left="20" w:right="400"/>
        <w:spacing w:after="0" w:line="247" w:lineRule="auto"/>
        <w:rPr>
          <w:sz w:val="20"/>
          <w:szCs w:val="20"/>
          <w:color w:val="auto"/>
        </w:rPr>
      </w:pPr>
      <w:r>
        <w:rPr>
          <w:rFonts w:ascii="Arial" w:cs="Arial" w:eastAsia="Arial" w:hAnsi="Arial"/>
          <w:sz w:val="18"/>
          <w:szCs w:val="18"/>
          <w:color w:val="auto"/>
        </w:rPr>
        <w:t>In addition, our Code of Conduct (available on our website at investors.renttherunway.com) provides that directors, executive officers, and employees should avoid conflicts of interest or even the appearance of a conflict of interest. Under the Code of Conduct, a conflict of interest occurs when personal interests, activities, investments, or associations interfere in any way, or even appear to interfere, with our interests as a company.</w:t>
      </w:r>
    </w:p>
    <w:p>
      <w:pPr>
        <w:spacing w:after="0" w:line="133"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We have multiple processes for identifying related person transactions and conflicts of interest. Under our Related Person Transaction Policy, each director, director nominee, and executive officer is responsible for identifying potential related person transactions and conflicts of interest. We also annually distribute a questionnaire to directors and executive officers requesting certain information regarding, among other things, their immediate family members and employment and beneficial ownership interests in Rent the Runway. We then review this information for any related person transactions and conflicts of interest.</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60"/>
        <w:spacing w:after="0" w:line="261" w:lineRule="auto"/>
        <w:rPr>
          <w:sz w:val="20"/>
          <w:szCs w:val="20"/>
          <w:color w:val="auto"/>
        </w:rPr>
      </w:pPr>
      <w:r>
        <w:rPr>
          <w:rFonts w:ascii="Arial" w:cs="Arial" w:eastAsia="Arial" w:hAnsi="Arial"/>
          <w:sz w:val="65"/>
          <w:szCs w:val="65"/>
          <w:b w:val="1"/>
          <w:bCs w:val="1"/>
          <w:color w:val="auto"/>
        </w:rPr>
        <w:t>Security Ownership of Certain Beneficial Owners, Directors, and Management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information with respect to the beneficial ownership of our Class A common stock as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20, 2026, for:</w:t>
      </w:r>
    </w:p>
    <w:p>
      <w:pPr>
        <w:spacing w:after="0" w:line="167" w:lineRule="exact"/>
        <w:rPr>
          <w:sz w:val="20"/>
          <w:szCs w:val="20"/>
          <w:color w:val="auto"/>
        </w:rPr>
      </w:pPr>
    </w:p>
    <w:p>
      <w:pPr>
        <w:ind w:left="740" w:hanging="359"/>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of our current directors;</w:t>
      </w:r>
    </w:p>
    <w:p>
      <w:pPr>
        <w:ind w:left="740" w:hanging="359"/>
        <w:spacing w:after="0" w:line="234"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ind w:left="740" w:hanging="359"/>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3" w:lineRule="exact"/>
        <w:rPr>
          <w:sz w:val="20"/>
          <w:szCs w:val="20"/>
          <w:color w:val="auto"/>
        </w:rPr>
      </w:pPr>
    </w:p>
    <w:p>
      <w:pPr>
        <w:jc w:val="both"/>
        <w:ind w:left="20" w:right="320"/>
        <w:spacing w:after="0" w:line="253"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beneficial ownership includes any shares as to which the individual or entity has sole or shared voting power or investment power.</w:t>
      </w:r>
    </w:p>
    <w:p>
      <w:pPr>
        <w:spacing w:after="0" w:line="128"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Applicable percentage ownership is based on 33,483,382 shares of Class A common stock outstanding on May 20, 2026. In computing the number of shares beneficially owned by an individual or entity and the percentage ownership of that person, shares of Class A common stock subject to options, or other rights held by such person that are currently exercisable or will become exercisable within 60 days of May 20, 2026 and shares of RSUs that are vested or will become vested within 60 days of May 20, 2026, are considered outstanding, although these shares are not considered outstanding for purposes of computing the percentage ownership of any other person.</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Unless otherwise indicated, the address of all listed stockholders is 10 Jay Street, Brooklyn, New York 11201.</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37"/>
        </w:trPr>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040" w:type="dxa"/>
            <w:vAlign w:val="bottom"/>
          </w:tcPr>
          <w:p>
            <w:pPr>
              <w:spacing w:after="0"/>
              <w:rPr>
                <w:sz w:val="24"/>
                <w:szCs w:val="24"/>
                <w:color w:val="auto"/>
              </w:rPr>
            </w:pPr>
          </w:p>
        </w:tc>
        <w:tc>
          <w:tcPr>
            <w:tcW w:w="2580" w:type="dxa"/>
            <w:vAlign w:val="bottom"/>
            <w:gridSpan w:val="2"/>
          </w:tcPr>
          <w:p>
            <w:pPr>
              <w:ind w:left="680"/>
              <w:spacing w:after="0"/>
              <w:rPr>
                <w:sz w:val="20"/>
                <w:szCs w:val="20"/>
                <w:color w:val="auto"/>
              </w:rPr>
            </w:pPr>
            <w:r>
              <w:rPr>
                <w:rFonts w:ascii="Arial" w:cs="Arial" w:eastAsia="Arial" w:hAnsi="Arial"/>
                <w:sz w:val="14"/>
                <w:szCs w:val="14"/>
                <w:b w:val="1"/>
                <w:bCs w:val="1"/>
                <w:color w:val="auto"/>
              </w:rPr>
              <w:t>Shares Beneficially Owned</w:t>
            </w:r>
          </w:p>
        </w:tc>
        <w:tc>
          <w:tcPr>
            <w:tcW w:w="36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5040" w:type="dxa"/>
            <w:vAlign w:val="bottom"/>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r>
      <w:tr>
        <w:trPr>
          <w:trHeight w:val="275"/>
        </w:trPr>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100" w:type="dxa"/>
            <w:vAlign w:val="bottom"/>
          </w:tcPr>
          <w:p>
            <w:pPr>
              <w:jc w:val="right"/>
              <w:ind w:right="168"/>
              <w:spacing w:after="0"/>
              <w:rPr>
                <w:sz w:val="20"/>
                <w:szCs w:val="20"/>
                <w:color w:val="auto"/>
              </w:rPr>
            </w:pPr>
            <w:r>
              <w:rPr>
                <w:rFonts w:ascii="Arial" w:cs="Arial" w:eastAsia="Arial" w:hAnsi="Arial"/>
                <w:sz w:val="14"/>
                <w:szCs w:val="14"/>
                <w:b w:val="1"/>
                <w:bCs w:val="1"/>
                <w:color w:val="auto"/>
              </w:rPr>
              <w:t>Class A</w:t>
            </w: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70"/>
        </w:trPr>
        <w:tc>
          <w:tcPr>
            <w:tcW w:w="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5040" w:type="dxa"/>
            <w:vAlign w:val="bottom"/>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tcPr>
          <w:p>
            <w:pPr>
              <w:spacing w:after="0"/>
              <w:rPr>
                <w:sz w:val="6"/>
                <w:szCs w:val="6"/>
                <w:color w:val="auto"/>
              </w:rPr>
            </w:pPr>
          </w:p>
        </w:tc>
      </w:tr>
      <w:tr>
        <w:trPr>
          <w:trHeight w:val="372"/>
        </w:trPr>
        <w:tc>
          <w:tcPr>
            <w:tcW w:w="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Shares</w:t>
            </w:r>
          </w:p>
        </w:tc>
        <w:tc>
          <w:tcPr>
            <w:tcW w:w="84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28"/>
                <w:szCs w:val="28"/>
                <w:b w:val="1"/>
                <w:bCs w:val="1"/>
                <w:color w:val="auto"/>
                <w:w w:val="89"/>
                <w:vertAlign w:val="subscript"/>
              </w:rPr>
              <w:t>%</w:t>
            </w:r>
            <w:r>
              <w:rPr>
                <w:rFonts w:ascii="Arial" w:cs="Arial" w:eastAsia="Arial" w:hAnsi="Arial"/>
                <w:sz w:val="12"/>
                <w:szCs w:val="12"/>
                <w:b w:val="1"/>
                <w:bCs w:val="1"/>
                <w:color w:val="auto"/>
                <w:w w:val="89"/>
              </w:rPr>
              <w:t>(1)</w:t>
            </w:r>
          </w:p>
        </w:tc>
      </w:tr>
      <w:tr>
        <w:trPr>
          <w:trHeight w:val="275"/>
        </w:trPr>
        <w:tc>
          <w:tcPr>
            <w:tcW w:w="20" w:type="dxa"/>
            <w:vAlign w:val="bottom"/>
          </w:tcPr>
          <w:p>
            <w:pPr>
              <w:spacing w:after="0"/>
              <w:rPr>
                <w:sz w:val="23"/>
                <w:szCs w:val="23"/>
                <w:color w:val="auto"/>
              </w:rPr>
            </w:pPr>
          </w:p>
        </w:tc>
        <w:tc>
          <w:tcPr>
            <w:tcW w:w="6560" w:type="dxa"/>
            <w:vAlign w:val="bottom"/>
            <w:gridSpan w:val="2"/>
            <w:shd w:val="clear" w:color="auto" w:fill="FFE8F5"/>
          </w:tcPr>
          <w:p>
            <w:pPr>
              <w:ind w:left="160"/>
              <w:spacing w:after="0"/>
              <w:rPr>
                <w:sz w:val="20"/>
                <w:szCs w:val="20"/>
                <w:color w:val="auto"/>
              </w:rPr>
            </w:pPr>
            <w:r>
              <w:rPr>
                <w:rFonts w:ascii="Arial" w:cs="Arial" w:eastAsia="Arial" w:hAnsi="Arial"/>
                <w:sz w:val="14"/>
                <w:szCs w:val="14"/>
                <w:b w:val="1"/>
                <w:bCs w:val="1"/>
                <w:color w:val="auto"/>
              </w:rPr>
              <w:t>Named Executive Officers and Directors:</w:t>
            </w:r>
          </w:p>
        </w:tc>
        <w:tc>
          <w:tcPr>
            <w:tcW w:w="2100" w:type="dxa"/>
            <w:vAlign w:val="bottom"/>
            <w:shd w:val="clear" w:color="auto" w:fill="FFE8F5"/>
          </w:tcPr>
          <w:p>
            <w:pPr>
              <w:spacing w:after="0"/>
              <w:rPr>
                <w:sz w:val="23"/>
                <w:szCs w:val="23"/>
                <w:color w:val="auto"/>
              </w:rPr>
            </w:pPr>
          </w:p>
        </w:tc>
        <w:tc>
          <w:tcPr>
            <w:tcW w:w="480" w:type="dxa"/>
            <w:vAlign w:val="bottom"/>
            <w:shd w:val="clear" w:color="auto" w:fill="FFE8F5"/>
          </w:tcPr>
          <w:p>
            <w:pPr>
              <w:spacing w:after="0"/>
              <w:rPr>
                <w:sz w:val="23"/>
                <w:szCs w:val="23"/>
                <w:color w:val="auto"/>
              </w:rPr>
            </w:pPr>
          </w:p>
        </w:tc>
        <w:tc>
          <w:tcPr>
            <w:tcW w:w="360" w:type="dxa"/>
            <w:vAlign w:val="bottom"/>
            <w:shd w:val="clear" w:color="auto" w:fill="FFE8F5"/>
          </w:tcPr>
          <w:p>
            <w:pPr>
              <w:spacing w:after="0"/>
              <w:rPr>
                <w:sz w:val="23"/>
                <w:szCs w:val="23"/>
                <w:color w:val="auto"/>
              </w:rPr>
            </w:pPr>
          </w:p>
        </w:tc>
      </w:tr>
      <w:tr>
        <w:trPr>
          <w:trHeight w:val="70"/>
        </w:trPr>
        <w:tc>
          <w:tcPr>
            <w:tcW w:w="20" w:type="dxa"/>
            <w:vAlign w:val="bottom"/>
          </w:tcPr>
          <w:p>
            <w:pPr>
              <w:spacing w:after="0"/>
              <w:rPr>
                <w:sz w:val="6"/>
                <w:szCs w:val="6"/>
                <w:color w:val="auto"/>
              </w:rPr>
            </w:pPr>
          </w:p>
        </w:tc>
        <w:tc>
          <w:tcPr>
            <w:tcW w:w="1520" w:type="dxa"/>
            <w:vAlign w:val="bottom"/>
            <w:tcBorders>
              <w:bottom w:val="single" w:sz="8" w:color="auto"/>
            </w:tcBorders>
            <w:shd w:val="clear" w:color="auto" w:fill="FFE8F5"/>
          </w:tcPr>
          <w:p>
            <w:pPr>
              <w:spacing w:after="0"/>
              <w:rPr>
                <w:sz w:val="6"/>
                <w:szCs w:val="6"/>
                <w:color w:val="auto"/>
              </w:rPr>
            </w:pPr>
          </w:p>
        </w:tc>
        <w:tc>
          <w:tcPr>
            <w:tcW w:w="5040" w:type="dxa"/>
            <w:vAlign w:val="bottom"/>
            <w:tcBorders>
              <w:bottom w:val="single" w:sz="8" w:color="auto"/>
            </w:tcBorders>
            <w:shd w:val="clear" w:color="auto" w:fill="FFE8F5"/>
          </w:tcPr>
          <w:p>
            <w:pPr>
              <w:spacing w:after="0"/>
              <w:rPr>
                <w:sz w:val="6"/>
                <w:szCs w:val="6"/>
                <w:color w:val="auto"/>
              </w:rPr>
            </w:pPr>
          </w:p>
        </w:tc>
        <w:tc>
          <w:tcPr>
            <w:tcW w:w="2100" w:type="dxa"/>
            <w:vAlign w:val="bottom"/>
            <w:tcBorders>
              <w:bottom w:val="single" w:sz="8" w:color="auto"/>
            </w:tcBorders>
            <w:shd w:val="clear" w:color="auto" w:fill="FFE8F5"/>
          </w:tcPr>
          <w:p>
            <w:pPr>
              <w:spacing w:after="0"/>
              <w:rPr>
                <w:sz w:val="6"/>
                <w:szCs w:val="6"/>
                <w:color w:val="auto"/>
              </w:rPr>
            </w:pPr>
          </w:p>
        </w:tc>
        <w:tc>
          <w:tcPr>
            <w:tcW w:w="480" w:type="dxa"/>
            <w:vAlign w:val="bottom"/>
            <w:tcBorders>
              <w:bottom w:val="single" w:sz="8" w:color="auto"/>
            </w:tcBorders>
            <w:shd w:val="clear" w:color="auto" w:fill="FFE8F5"/>
          </w:tcPr>
          <w:p>
            <w:pPr>
              <w:spacing w:after="0"/>
              <w:rPr>
                <w:sz w:val="6"/>
                <w:szCs w:val="6"/>
                <w:color w:val="auto"/>
              </w:rPr>
            </w:pPr>
          </w:p>
        </w:tc>
        <w:tc>
          <w:tcPr>
            <w:tcW w:w="360" w:type="dxa"/>
            <w:vAlign w:val="bottom"/>
            <w:tcBorders>
              <w:bottom w:val="single" w:sz="8" w:color="auto"/>
            </w:tcBorders>
            <w:shd w:val="clear" w:color="auto" w:fill="FFE8F5"/>
          </w:tcPr>
          <w:p>
            <w:pPr>
              <w:spacing w:after="0"/>
              <w:rPr>
                <w:sz w:val="6"/>
                <w:szCs w:val="6"/>
                <w:color w:val="auto"/>
              </w:rPr>
            </w:pPr>
          </w:p>
        </w:tc>
      </w:tr>
      <w:tr>
        <w:trPr>
          <w:trHeight w:val="358"/>
        </w:trPr>
        <w:tc>
          <w:tcPr>
            <w:tcW w:w="20" w:type="dxa"/>
            <w:vAlign w:val="bottom"/>
          </w:tcPr>
          <w:p>
            <w:pPr>
              <w:spacing w:after="0"/>
              <w:rPr>
                <w:sz w:val="24"/>
                <w:szCs w:val="24"/>
                <w:color w:val="auto"/>
              </w:rPr>
            </w:pPr>
          </w:p>
        </w:tc>
        <w:tc>
          <w:tcPr>
            <w:tcW w:w="6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Jennifer Hyman</w:t>
            </w:r>
            <w:r>
              <w:rPr>
                <w:rFonts w:ascii="Arial" w:cs="Arial" w:eastAsia="Arial" w:hAnsi="Arial"/>
                <w:sz w:val="23"/>
                <w:szCs w:val="23"/>
                <w:color w:val="auto"/>
                <w:vertAlign w:val="superscript"/>
              </w:rPr>
              <w:t>(2)</w:t>
            </w:r>
          </w:p>
        </w:tc>
        <w:tc>
          <w:tcPr>
            <w:tcW w:w="2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250,159</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20" w:type="dxa"/>
            <w:vAlign w:val="bottom"/>
          </w:tcPr>
          <w:p>
            <w:pPr>
              <w:spacing w:after="0"/>
              <w:rPr>
                <w:sz w:val="24"/>
                <w:szCs w:val="24"/>
                <w:color w:val="auto"/>
              </w:rPr>
            </w:pPr>
          </w:p>
        </w:tc>
        <w:tc>
          <w:tcPr>
            <w:tcW w:w="6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Sid Thacker</w:t>
            </w:r>
            <w:r>
              <w:rPr>
                <w:rFonts w:ascii="Arial" w:cs="Arial" w:eastAsia="Arial" w:hAnsi="Arial"/>
                <w:sz w:val="23"/>
                <w:szCs w:val="23"/>
                <w:color w:val="auto"/>
                <w:vertAlign w:val="superscript"/>
              </w:rPr>
              <w:t>(3)</w:t>
            </w:r>
          </w:p>
        </w:tc>
        <w:tc>
          <w:tcPr>
            <w:tcW w:w="2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26,525</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20" w:type="dxa"/>
            <w:vAlign w:val="bottom"/>
          </w:tcPr>
          <w:p>
            <w:pPr>
              <w:spacing w:after="0"/>
              <w:rPr>
                <w:sz w:val="24"/>
                <w:szCs w:val="24"/>
                <w:color w:val="auto"/>
              </w:rPr>
            </w:pPr>
          </w:p>
        </w:tc>
        <w:tc>
          <w:tcPr>
            <w:tcW w:w="6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Sarah Tam</w:t>
            </w:r>
            <w:r>
              <w:rPr>
                <w:rFonts w:ascii="Arial" w:cs="Arial" w:eastAsia="Arial" w:hAnsi="Arial"/>
                <w:sz w:val="23"/>
                <w:szCs w:val="23"/>
                <w:color w:val="auto"/>
                <w:vertAlign w:val="superscript"/>
              </w:rPr>
              <w:t>(4)</w:t>
            </w:r>
          </w:p>
        </w:tc>
        <w:tc>
          <w:tcPr>
            <w:tcW w:w="2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21,755</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20" w:type="dxa"/>
            <w:vAlign w:val="bottom"/>
          </w:tcPr>
          <w:p>
            <w:pPr>
              <w:spacing w:after="0"/>
              <w:rPr>
                <w:sz w:val="24"/>
                <w:szCs w:val="24"/>
                <w:color w:val="auto"/>
              </w:rPr>
            </w:pPr>
          </w:p>
        </w:tc>
        <w:tc>
          <w:tcPr>
            <w:tcW w:w="6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Teri Bariquit</w:t>
            </w:r>
            <w:r>
              <w:rPr>
                <w:rFonts w:ascii="Arial" w:cs="Arial" w:eastAsia="Arial" w:hAnsi="Arial"/>
                <w:sz w:val="23"/>
                <w:szCs w:val="23"/>
                <w:color w:val="auto"/>
                <w:vertAlign w:val="superscript"/>
              </w:rPr>
              <w:t>(5)</w:t>
            </w:r>
          </w:p>
        </w:tc>
        <w:tc>
          <w:tcPr>
            <w:tcW w:w="2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16,759</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20" w:type="dxa"/>
            <w:vAlign w:val="bottom"/>
          </w:tcPr>
          <w:p>
            <w:pPr>
              <w:spacing w:after="0"/>
              <w:rPr>
                <w:sz w:val="24"/>
                <w:szCs w:val="24"/>
                <w:color w:val="auto"/>
              </w:rPr>
            </w:pPr>
          </w:p>
        </w:tc>
        <w:tc>
          <w:tcPr>
            <w:tcW w:w="6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Peter Comisar</w:t>
            </w:r>
            <w:r>
              <w:rPr>
                <w:rFonts w:ascii="Arial" w:cs="Arial" w:eastAsia="Arial" w:hAnsi="Arial"/>
                <w:sz w:val="23"/>
                <w:szCs w:val="23"/>
                <w:color w:val="auto"/>
                <w:vertAlign w:val="superscript"/>
              </w:rPr>
              <w:t>(6)</w:t>
            </w:r>
          </w:p>
        </w:tc>
        <w:tc>
          <w:tcPr>
            <w:tcW w:w="2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55"/>
        </w:trPr>
        <w:tc>
          <w:tcPr>
            <w:tcW w:w="20" w:type="dxa"/>
            <w:vAlign w:val="bottom"/>
          </w:tcPr>
          <w:p>
            <w:pPr>
              <w:spacing w:after="0"/>
              <w:rPr>
                <w:sz w:val="22"/>
                <w:szCs w:val="22"/>
                <w:color w:val="auto"/>
              </w:rPr>
            </w:pPr>
          </w:p>
        </w:tc>
        <w:tc>
          <w:tcPr>
            <w:tcW w:w="6560" w:type="dxa"/>
            <w:vAlign w:val="bottom"/>
            <w:gridSpan w:val="2"/>
          </w:tcPr>
          <w:p>
            <w:pPr>
              <w:ind w:left="160"/>
              <w:spacing w:after="0"/>
              <w:rPr>
                <w:sz w:val="20"/>
                <w:szCs w:val="20"/>
                <w:color w:val="auto"/>
              </w:rPr>
            </w:pPr>
            <w:r>
              <w:rPr>
                <w:rFonts w:ascii="Arial" w:cs="Arial" w:eastAsia="Arial" w:hAnsi="Arial"/>
                <w:sz w:val="14"/>
                <w:szCs w:val="14"/>
                <w:color w:val="auto"/>
              </w:rPr>
              <w:t>Dhiren Fonseca</w:t>
            </w:r>
          </w:p>
        </w:tc>
        <w:tc>
          <w:tcPr>
            <w:tcW w:w="210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76"/>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504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r>
      <w:tr>
        <w:trPr>
          <w:trHeight w:val="358"/>
        </w:trPr>
        <w:tc>
          <w:tcPr>
            <w:tcW w:w="20" w:type="dxa"/>
            <w:vAlign w:val="bottom"/>
          </w:tcPr>
          <w:p>
            <w:pPr>
              <w:spacing w:after="0"/>
              <w:rPr>
                <w:sz w:val="24"/>
                <w:szCs w:val="24"/>
                <w:color w:val="auto"/>
              </w:rPr>
            </w:pPr>
          </w:p>
        </w:tc>
        <w:tc>
          <w:tcPr>
            <w:tcW w:w="6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Damian Giangiacomo</w:t>
            </w:r>
            <w:r>
              <w:rPr>
                <w:rFonts w:ascii="Arial" w:cs="Arial" w:eastAsia="Arial" w:hAnsi="Arial"/>
                <w:sz w:val="23"/>
                <w:szCs w:val="23"/>
                <w:color w:val="auto"/>
                <w:vertAlign w:val="superscript"/>
              </w:rPr>
              <w:t>(7)</w:t>
            </w:r>
          </w:p>
        </w:tc>
        <w:tc>
          <w:tcPr>
            <w:tcW w:w="2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20" w:type="dxa"/>
            <w:vAlign w:val="bottom"/>
          </w:tcPr>
          <w:p>
            <w:pPr>
              <w:spacing w:after="0"/>
              <w:rPr>
                <w:sz w:val="24"/>
                <w:szCs w:val="24"/>
                <w:color w:val="auto"/>
              </w:rPr>
            </w:pPr>
          </w:p>
        </w:tc>
        <w:tc>
          <w:tcPr>
            <w:tcW w:w="6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Daniel Rosensweig</w:t>
            </w:r>
            <w:r>
              <w:rPr>
                <w:rFonts w:ascii="Arial" w:cs="Arial" w:eastAsia="Arial" w:hAnsi="Arial"/>
                <w:sz w:val="23"/>
                <w:szCs w:val="23"/>
                <w:color w:val="auto"/>
                <w:vertAlign w:val="superscript"/>
              </w:rPr>
              <w:t>(8)</w:t>
            </w:r>
          </w:p>
        </w:tc>
        <w:tc>
          <w:tcPr>
            <w:tcW w:w="2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21,876</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20" w:type="dxa"/>
            <w:vAlign w:val="bottom"/>
          </w:tcPr>
          <w:p>
            <w:pPr>
              <w:spacing w:after="0"/>
              <w:rPr>
                <w:sz w:val="24"/>
                <w:szCs w:val="24"/>
                <w:color w:val="auto"/>
              </w:rPr>
            </w:pPr>
          </w:p>
        </w:tc>
        <w:tc>
          <w:tcPr>
            <w:tcW w:w="6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All​ Current executive officers and directors as a group, 9 persons</w:t>
            </w:r>
            <w:r>
              <w:rPr>
                <w:rFonts w:ascii="Arial" w:cs="Arial" w:eastAsia="Arial" w:hAnsi="Arial"/>
                <w:sz w:val="23"/>
                <w:szCs w:val="23"/>
                <w:color w:val="auto"/>
                <w:vertAlign w:val="superscript"/>
              </w:rPr>
              <w:t>(9)</w:t>
            </w:r>
          </w:p>
        </w:tc>
        <w:tc>
          <w:tcPr>
            <w:tcW w:w="2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124,284</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31"/>
        </w:trPr>
        <w:tc>
          <w:tcPr>
            <w:tcW w:w="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261"/>
        </w:trPr>
        <w:tc>
          <w:tcPr>
            <w:tcW w:w="20" w:type="dxa"/>
            <w:vAlign w:val="bottom"/>
          </w:tcPr>
          <w:p>
            <w:pPr>
              <w:spacing w:after="0"/>
              <w:rPr>
                <w:sz w:val="22"/>
                <w:szCs w:val="22"/>
                <w:color w:val="auto"/>
              </w:rPr>
            </w:pPr>
          </w:p>
        </w:tc>
        <w:tc>
          <w:tcPr>
            <w:tcW w:w="6560" w:type="dxa"/>
            <w:vAlign w:val="bottom"/>
            <w:gridSpan w:val="2"/>
            <w:shd w:val="clear" w:color="auto" w:fill="FFE8F5"/>
          </w:tcPr>
          <w:p>
            <w:pPr>
              <w:ind w:left="160"/>
              <w:spacing w:after="0"/>
              <w:rPr>
                <w:sz w:val="20"/>
                <w:szCs w:val="20"/>
                <w:color w:val="auto"/>
              </w:rPr>
            </w:pPr>
            <w:r>
              <w:rPr>
                <w:rFonts w:ascii="Arial" w:cs="Arial" w:eastAsia="Arial" w:hAnsi="Arial"/>
                <w:sz w:val="14"/>
                <w:szCs w:val="14"/>
                <w:b w:val="1"/>
                <w:bCs w:val="1"/>
                <w:color w:val="auto"/>
              </w:rPr>
              <w:t>Over 5% Stockholders:</w:t>
            </w:r>
          </w:p>
        </w:tc>
        <w:tc>
          <w:tcPr>
            <w:tcW w:w="2100" w:type="dxa"/>
            <w:vAlign w:val="bottom"/>
            <w:shd w:val="clear" w:color="auto" w:fill="FFE8F5"/>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FFE8F5"/>
          </w:tcPr>
          <w:p>
            <w:pPr>
              <w:spacing w:after="0"/>
              <w:rPr>
                <w:sz w:val="22"/>
                <w:szCs w:val="22"/>
                <w:color w:val="auto"/>
              </w:rPr>
            </w:pPr>
          </w:p>
        </w:tc>
        <w:tc>
          <w:tcPr>
            <w:tcW w:w="360" w:type="dxa"/>
            <w:vAlign w:val="bottom"/>
            <w:shd w:val="clear" w:color="auto" w:fill="FFE8F5"/>
          </w:tcPr>
          <w:p>
            <w:pPr>
              <w:jc w:val="right"/>
              <w:ind w:right="8"/>
              <w:spacing w:after="0"/>
              <w:rPr>
                <w:sz w:val="20"/>
                <w:szCs w:val="20"/>
                <w:color w:val="auto"/>
              </w:rPr>
            </w:pPr>
            <w:r>
              <w:rPr>
                <w:rFonts w:ascii="Arial" w:cs="Arial" w:eastAsia="Arial" w:hAnsi="Arial"/>
                <w:sz w:val="14"/>
                <w:szCs w:val="14"/>
                <w:color w:val="auto"/>
              </w:rPr>
              <w:t>​</w:t>
            </w:r>
          </w:p>
        </w:tc>
      </w:tr>
      <w:tr>
        <w:trPr>
          <w:trHeight w:val="70"/>
        </w:trPr>
        <w:tc>
          <w:tcPr>
            <w:tcW w:w="20" w:type="dxa"/>
            <w:vAlign w:val="bottom"/>
          </w:tcPr>
          <w:p>
            <w:pPr>
              <w:spacing w:after="0"/>
              <w:rPr>
                <w:sz w:val="6"/>
                <w:szCs w:val="6"/>
                <w:color w:val="auto"/>
              </w:rPr>
            </w:pPr>
          </w:p>
        </w:tc>
        <w:tc>
          <w:tcPr>
            <w:tcW w:w="1520" w:type="dxa"/>
            <w:vAlign w:val="bottom"/>
            <w:tcBorders>
              <w:bottom w:val="single" w:sz="8" w:color="auto"/>
            </w:tcBorders>
            <w:shd w:val="clear" w:color="auto" w:fill="FFE8F5"/>
          </w:tcPr>
          <w:p>
            <w:pPr>
              <w:spacing w:after="0"/>
              <w:rPr>
                <w:sz w:val="6"/>
                <w:szCs w:val="6"/>
                <w:color w:val="auto"/>
              </w:rPr>
            </w:pPr>
          </w:p>
        </w:tc>
        <w:tc>
          <w:tcPr>
            <w:tcW w:w="5040" w:type="dxa"/>
            <w:vAlign w:val="bottom"/>
            <w:tcBorders>
              <w:bottom w:val="single" w:sz="8" w:color="auto"/>
            </w:tcBorders>
            <w:shd w:val="clear" w:color="auto" w:fill="FFE8F5"/>
          </w:tcPr>
          <w:p>
            <w:pPr>
              <w:spacing w:after="0"/>
              <w:rPr>
                <w:sz w:val="6"/>
                <w:szCs w:val="6"/>
                <w:color w:val="auto"/>
              </w:rPr>
            </w:pPr>
          </w:p>
        </w:tc>
        <w:tc>
          <w:tcPr>
            <w:tcW w:w="2100" w:type="dxa"/>
            <w:vAlign w:val="bottom"/>
            <w:tcBorders>
              <w:bottom w:val="single" w:sz="8" w:color="auto"/>
            </w:tcBorders>
            <w:shd w:val="clear" w:color="auto" w:fill="FFE8F5"/>
          </w:tcPr>
          <w:p>
            <w:pPr>
              <w:spacing w:after="0"/>
              <w:rPr>
                <w:sz w:val="6"/>
                <w:szCs w:val="6"/>
                <w:color w:val="auto"/>
              </w:rPr>
            </w:pPr>
          </w:p>
        </w:tc>
        <w:tc>
          <w:tcPr>
            <w:tcW w:w="480" w:type="dxa"/>
            <w:vAlign w:val="bottom"/>
            <w:tcBorders>
              <w:bottom w:val="single" w:sz="8" w:color="auto"/>
            </w:tcBorders>
            <w:shd w:val="clear" w:color="auto" w:fill="FFE8F5"/>
          </w:tcPr>
          <w:p>
            <w:pPr>
              <w:spacing w:after="0"/>
              <w:rPr>
                <w:sz w:val="6"/>
                <w:szCs w:val="6"/>
                <w:color w:val="auto"/>
              </w:rPr>
            </w:pPr>
          </w:p>
        </w:tc>
        <w:tc>
          <w:tcPr>
            <w:tcW w:w="360" w:type="dxa"/>
            <w:vAlign w:val="bottom"/>
            <w:tcBorders>
              <w:bottom w:val="single" w:sz="8" w:color="auto"/>
            </w:tcBorders>
            <w:shd w:val="clear" w:color="auto" w:fill="FFE8F5"/>
          </w:tcPr>
          <w:p>
            <w:pPr>
              <w:spacing w:after="0"/>
              <w:rPr>
                <w:sz w:val="6"/>
                <w:szCs w:val="6"/>
                <w:color w:val="auto"/>
              </w:rPr>
            </w:pPr>
          </w:p>
        </w:tc>
      </w:tr>
      <w:tr>
        <w:trPr>
          <w:trHeight w:val="358"/>
        </w:trPr>
        <w:tc>
          <w:tcPr>
            <w:tcW w:w="20" w:type="dxa"/>
            <w:vAlign w:val="bottom"/>
          </w:tcPr>
          <w:p>
            <w:pPr>
              <w:spacing w:after="0"/>
              <w:rPr>
                <w:sz w:val="24"/>
                <w:szCs w:val="24"/>
                <w:color w:val="auto"/>
              </w:rPr>
            </w:pPr>
          </w:p>
        </w:tc>
        <w:tc>
          <w:tcPr>
            <w:tcW w:w="6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CHS US Investments LLC</w:t>
            </w:r>
            <w:r>
              <w:rPr>
                <w:rFonts w:ascii="Arial" w:cs="Arial" w:eastAsia="Arial" w:hAnsi="Arial"/>
                <w:sz w:val="23"/>
                <w:szCs w:val="23"/>
                <w:color w:val="auto"/>
                <w:vertAlign w:val="superscript"/>
              </w:rPr>
              <w:t>(10)</w:t>
            </w:r>
          </w:p>
        </w:tc>
        <w:tc>
          <w:tcPr>
            <w:tcW w:w="2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19,983,656</w:t>
            </w:r>
          </w:p>
        </w:tc>
        <w:tc>
          <w:tcPr>
            <w:tcW w:w="480" w:type="dxa"/>
            <w:vAlign w:val="bottom"/>
            <w:tcBorders>
              <w:bottom w:val="single" w:sz="8" w:color="auto"/>
            </w:tcBorders>
          </w:tcPr>
          <w:p>
            <w:pPr>
              <w:jc w:val="center"/>
              <w:ind w:left="251"/>
              <w:spacing w:after="0"/>
              <w:rPr>
                <w:sz w:val="20"/>
                <w:szCs w:val="20"/>
                <w:color w:val="auto"/>
              </w:rPr>
            </w:pPr>
            <w:r>
              <w:rPr>
                <w:rFonts w:ascii="Arial" w:cs="Arial" w:eastAsia="Arial" w:hAnsi="Arial"/>
                <w:sz w:val="14"/>
                <w:szCs w:val="14"/>
                <w:color w:val="auto"/>
              </w:rPr>
              <w:t>59​</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0"/>
              </w:rPr>
              <w:t>.7%</w:t>
            </w:r>
          </w:p>
        </w:tc>
      </w:tr>
      <w:tr>
        <w:trPr>
          <w:trHeight w:val="358"/>
        </w:trPr>
        <w:tc>
          <w:tcPr>
            <w:tcW w:w="20" w:type="dxa"/>
            <w:vAlign w:val="bottom"/>
          </w:tcPr>
          <w:p>
            <w:pPr>
              <w:spacing w:after="0"/>
              <w:rPr>
                <w:sz w:val="24"/>
                <w:szCs w:val="24"/>
                <w:color w:val="auto"/>
              </w:rPr>
            </w:pPr>
          </w:p>
        </w:tc>
        <w:tc>
          <w:tcPr>
            <w:tcW w:w="6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Gateway Runway LLC</w:t>
            </w:r>
            <w:r>
              <w:rPr>
                <w:rFonts w:ascii="Arial" w:cs="Arial" w:eastAsia="Arial" w:hAnsi="Arial"/>
                <w:sz w:val="23"/>
                <w:szCs w:val="23"/>
                <w:color w:val="auto"/>
                <w:vertAlign w:val="superscript"/>
              </w:rPr>
              <w:t>(11)</w:t>
            </w:r>
          </w:p>
        </w:tc>
        <w:tc>
          <w:tcPr>
            <w:tcW w:w="2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4,274,394</w:t>
            </w:r>
          </w:p>
        </w:tc>
        <w:tc>
          <w:tcPr>
            <w:tcW w:w="480" w:type="dxa"/>
            <w:vAlign w:val="bottom"/>
            <w:tcBorders>
              <w:bottom w:val="single" w:sz="8" w:color="auto"/>
            </w:tcBorders>
          </w:tcPr>
          <w:p>
            <w:pPr>
              <w:jc w:val="center"/>
              <w:ind w:left="251"/>
              <w:spacing w:after="0"/>
              <w:rPr>
                <w:sz w:val="20"/>
                <w:szCs w:val="20"/>
                <w:color w:val="auto"/>
              </w:rPr>
            </w:pPr>
            <w:r>
              <w:rPr>
                <w:rFonts w:ascii="Arial" w:cs="Arial" w:eastAsia="Arial" w:hAnsi="Arial"/>
                <w:sz w:val="14"/>
                <w:szCs w:val="14"/>
                <w:color w:val="auto"/>
              </w:rPr>
              <w:t>12​</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0"/>
              </w:rPr>
              <w:t>.8%</w:t>
            </w:r>
          </w:p>
        </w:tc>
      </w:tr>
      <w:tr>
        <w:trPr>
          <w:trHeight w:val="318"/>
        </w:trPr>
        <w:tc>
          <w:tcPr>
            <w:tcW w:w="20" w:type="dxa"/>
            <w:vAlign w:val="bottom"/>
          </w:tcPr>
          <w:p>
            <w:pPr>
              <w:spacing w:after="0"/>
              <w:rPr>
                <w:sz w:val="24"/>
                <w:szCs w:val="24"/>
                <w:color w:val="auto"/>
              </w:rPr>
            </w:pPr>
          </w:p>
        </w:tc>
        <w:tc>
          <w:tcPr>
            <w:tcW w:w="6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S3 RR Aggregator LLC</w:t>
            </w:r>
            <w:r>
              <w:rPr>
                <w:rFonts w:ascii="Arial" w:cs="Arial" w:eastAsia="Arial" w:hAnsi="Arial"/>
                <w:sz w:val="23"/>
                <w:szCs w:val="23"/>
                <w:color w:val="auto"/>
                <w:vertAlign w:val="superscript"/>
              </w:rPr>
              <w:t>(12)</w:t>
            </w:r>
          </w:p>
        </w:tc>
        <w:tc>
          <w:tcPr>
            <w:tcW w:w="2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4,274,394</w:t>
            </w:r>
          </w:p>
        </w:tc>
        <w:tc>
          <w:tcPr>
            <w:tcW w:w="480" w:type="dxa"/>
            <w:vAlign w:val="bottom"/>
            <w:tcBorders>
              <w:bottom w:val="single" w:sz="8" w:color="auto"/>
            </w:tcBorders>
          </w:tcPr>
          <w:p>
            <w:pPr>
              <w:jc w:val="center"/>
              <w:ind w:left="251"/>
              <w:spacing w:after="0"/>
              <w:rPr>
                <w:sz w:val="20"/>
                <w:szCs w:val="20"/>
                <w:color w:val="auto"/>
              </w:rPr>
            </w:pPr>
            <w:r>
              <w:rPr>
                <w:rFonts w:ascii="Arial" w:cs="Arial" w:eastAsia="Arial" w:hAnsi="Arial"/>
                <w:sz w:val="14"/>
                <w:szCs w:val="14"/>
                <w:color w:val="auto"/>
              </w:rPr>
              <w:t>12​</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r>
    </w:tbl>
    <w:p>
      <w:pPr>
        <w:spacing w:after="0" w:line="166" w:lineRule="exact"/>
        <w:rPr>
          <w:sz w:val="20"/>
          <w:szCs w:val="20"/>
          <w:color w:val="auto"/>
        </w:rPr>
      </w:pPr>
    </w:p>
    <w:p>
      <w:pPr>
        <w:ind w:left="380" w:hanging="359"/>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55" w:lineRule="exact"/>
        <w:rPr>
          <w:sz w:val="20"/>
          <w:szCs w:val="20"/>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Calculated as % of Class A as of May 20, 2026 plus any RSUs that will vest within 60 days of May 20, 2026.</w:t>
      </w:r>
    </w:p>
    <w:p>
      <w:pPr>
        <w:spacing w:after="0" w:line="55" w:lineRule="exact"/>
        <w:rPr>
          <w:rFonts w:ascii="Arial" w:cs="Arial" w:eastAsia="Arial" w:hAnsi="Arial"/>
          <w:sz w:val="14"/>
          <w:szCs w:val="14"/>
          <w:color w:val="auto"/>
        </w:rPr>
      </w:pPr>
    </w:p>
    <w:p>
      <w:pPr>
        <w:ind w:left="380" w:right="300" w:hanging="359"/>
        <w:spacing w:after="0" w:line="281"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(i) 140,957 shares of Class A common stock held by Ms. Hyman; (ii) 6,155 shares of Class A common stock held by Ms. Hyman’s spouse; and (iii) 103,047 RSUs relating to Class A common stock that will vest within 60 days of May 20, 2026.</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26,525 shares of Class A common stock held by Mr. Thacker.</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21,755 shares of Class A common stock held by Ms. Tam.</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16,759 RSUs relating to Class A common stock that will vest within 60 days of May 20, 2026.</w:t>
      </w:r>
    </w:p>
    <w:p>
      <w:pPr>
        <w:spacing w:after="0" w:line="55" w:lineRule="exact"/>
        <w:rPr>
          <w:rFonts w:ascii="Arial" w:cs="Arial" w:eastAsia="Arial" w:hAnsi="Arial"/>
          <w:sz w:val="14"/>
          <w:szCs w:val="14"/>
          <w:color w:val="auto"/>
        </w:rPr>
      </w:pPr>
    </w:p>
    <w:p>
      <w:pPr>
        <w:ind w:left="380" w:right="220" w:hanging="359"/>
        <w:spacing w:after="0" w:line="263"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Held directly by S3 RR Aggregator LLC (“S3 RR”). S3 RR is jointly owned by funds managed by STORY3 Capital Partners, LLC (“STORY3 Capital Partners”), which is wholly owned by Rising Sons Capital, LLC (“Rising Sons”). Mr. Comisar is the controlling member of Rising Sons and disclaims beneficial ownership of such securities.</w:t>
      </w:r>
    </w:p>
    <w:p>
      <w:pPr>
        <w:spacing w:after="0" w:line="10" w:lineRule="exact"/>
        <w:rPr>
          <w:rFonts w:ascii="Arial" w:cs="Arial" w:eastAsia="Arial" w:hAnsi="Arial"/>
          <w:sz w:val="14"/>
          <w:szCs w:val="14"/>
          <w:color w:val="auto"/>
        </w:rPr>
      </w:pPr>
    </w:p>
    <w:p>
      <w:pPr>
        <w:ind w:left="380" w:right="40" w:hanging="359"/>
        <w:spacing w:after="0" w:line="246"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Held directly by Gateway Runway, LLC (“Gateway Runway”). Gateway Runway is jointly owned by Gateway Runway Intermediate Holdings, Inc. (“Gateway Runway Intermediate”) and Nexus Special Situations III, L.P. (“Nexus SS III”). Nexus Special Situations III (Cayman) L.P. (“Nexus SS III Cayman”) is the limited partner of Nexus SS III. Nexus Capital Management LP (“Nexus Capital Management”) is the investment manager of Nexus SS III and Nexus SS III Cayman. Nexus Special Situations GP III, L.P. (“Nexus SS GP III”) is the general partner of Nexus</w:t>
      </w:r>
    </w:p>
    <w:p>
      <w:pPr>
        <w:spacing w:after="0" w:line="1" w:lineRule="exact"/>
        <w:rPr>
          <w:rFonts w:ascii="Arial" w:cs="Arial" w:eastAsia="Arial" w:hAnsi="Arial"/>
          <w:sz w:val="14"/>
          <w:szCs w:val="14"/>
          <w:color w:val="auto"/>
        </w:rPr>
      </w:pPr>
    </w:p>
    <w:p>
      <w:pPr>
        <w:ind w:left="380" w:right="140" w:hanging="8"/>
        <w:spacing w:after="0" w:line="264" w:lineRule="auto"/>
        <w:tabs>
          <w:tab w:leader="none" w:pos="612" w:val="left"/>
        </w:tabs>
        <w:numPr>
          <w:ilvl w:val="1"/>
          <w:numId w:val="39"/>
        </w:numPr>
        <w:rPr>
          <w:rFonts w:ascii="Arial" w:cs="Arial" w:eastAsia="Arial" w:hAnsi="Arial"/>
          <w:sz w:val="14"/>
          <w:szCs w:val="14"/>
          <w:color w:val="auto"/>
        </w:rPr>
      </w:pPr>
      <w:r>
        <w:rPr>
          <w:rFonts w:ascii="Arial" w:cs="Arial" w:eastAsia="Arial" w:hAnsi="Arial"/>
          <w:sz w:val="14"/>
          <w:szCs w:val="14"/>
          <w:color w:val="auto"/>
        </w:rPr>
        <w:t>III and Nexus SS III Cayman. Nexus Partners III, LLC (“Nexus Partners”) is the general partner of Nexus SS GP III. Mr. Giangiacomo is an owner of Nexus Capital Management and Nexus Partners and disclaims beneficial ownership of such securities.</w:t>
      </w:r>
    </w:p>
    <w:p>
      <w:pPr>
        <w:spacing w:after="0" w:line="9" w:lineRule="exact"/>
        <w:rPr>
          <w:rFonts w:ascii="Arial" w:cs="Arial" w:eastAsia="Arial" w:hAnsi="Arial"/>
          <w:sz w:val="14"/>
          <w:szCs w:val="14"/>
          <w:color w:val="auto"/>
        </w:rPr>
      </w:pPr>
    </w:p>
    <w:p>
      <w:pPr>
        <w:ind w:left="380" w:hanging="359"/>
        <w:spacing w:after="0" w:line="281"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(i) 4,956 shares of Class A common stock held by Mr. Rosensweig; (ii) 16,759 RSUs relating to Class A common stock that will vest within 60 days of May 20, 2026; and (iii) 161 shares of Class A common stock held by a trust.</w:t>
      </w:r>
    </w:p>
    <w:p>
      <w:pPr>
        <w:spacing w:after="0" w:line="1" w:lineRule="exact"/>
        <w:rPr>
          <w:rFonts w:ascii="Arial" w:cs="Arial" w:eastAsia="Arial" w:hAnsi="Arial"/>
          <w:sz w:val="14"/>
          <w:szCs w:val="14"/>
          <w:color w:val="auto"/>
        </w:rPr>
      </w:pPr>
    </w:p>
    <w:p>
      <w:pPr>
        <w:ind w:left="380" w:right="140" w:hanging="359"/>
        <w:spacing w:after="0" w:line="281"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Consists of: (i) 90,766 shares of Class A common stock and (ii) 33,518 RSUs relating to Class A common stock that will vest within 60 days of May 20, 2026. Excludes Ms. Hyman as she resigned effective as of May 15, 2026.</w:t>
      </w:r>
    </w:p>
    <w:p>
      <w:pPr>
        <w:spacing w:after="0" w:line="1" w:lineRule="exact"/>
        <w:rPr>
          <w:rFonts w:ascii="Arial" w:cs="Arial" w:eastAsia="Arial" w:hAnsi="Arial"/>
          <w:sz w:val="14"/>
          <w:szCs w:val="14"/>
          <w:color w:val="auto"/>
        </w:rPr>
      </w:pPr>
    </w:p>
    <w:p>
      <w:pPr>
        <w:ind w:left="380" w:right="80" w:hanging="359"/>
        <w:spacing w:after="0" w:line="252"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a Schedule 13D/A filed with the SEC on May 13, 2026. CHS US Investments LLC (“CHS US Investments”) directly holds 19,983,656 shares of Class A common stock. CHS (US) Management LLC (“CHS US Management”) is the investment manager of CHS US Investments. CHS GP LP (“CHS GP”) is the general partner of CHS US Investments. CHS UGP LLC (“CHS UGP”) is the general partner of CHS GP. CHS UGP is a direct, wholly owned subsidiary of CHS Platform Holdings Pte. Ltd. The principal business address and principal office address of each of the foregoing is 550 Madison Avenue, 34th Floor, New York, NY 10022.</w:t>
      </w:r>
    </w:p>
    <w:p>
      <w:pPr>
        <w:spacing w:after="0" w:line="18" w:lineRule="exact"/>
        <w:rPr>
          <w:rFonts w:ascii="Arial" w:cs="Arial" w:eastAsia="Arial" w:hAnsi="Arial"/>
          <w:sz w:val="14"/>
          <w:szCs w:val="14"/>
          <w:color w:val="auto"/>
        </w:rPr>
      </w:pPr>
    </w:p>
    <w:p>
      <w:pPr>
        <w:ind w:left="380" w:right="60" w:hanging="359"/>
        <w:spacing w:after="0" w:line="251"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a Schedule 13D/A filed with the SEC on May 13, 2026. Gateway Runway directly holds 4,274,394 shares of Class A common stock. Gateway Runway is jointly owned by Gateway Runway Intermediate and Nexus SS III. Nexus SS III Cayman is the limited partner of Nexus SS</w:t>
      </w:r>
    </w:p>
    <w:p>
      <w:pPr>
        <w:spacing w:after="0" w:line="1" w:lineRule="exact"/>
        <w:rPr>
          <w:rFonts w:ascii="Arial" w:cs="Arial" w:eastAsia="Arial" w:hAnsi="Arial"/>
          <w:sz w:val="14"/>
          <w:szCs w:val="14"/>
          <w:color w:val="auto"/>
        </w:rPr>
      </w:pPr>
    </w:p>
    <w:p>
      <w:pPr>
        <w:ind w:left="580" w:hanging="208"/>
        <w:spacing w:after="0"/>
        <w:tabs>
          <w:tab w:leader="none" w:pos="580" w:val="left"/>
        </w:tabs>
        <w:numPr>
          <w:ilvl w:val="1"/>
          <w:numId w:val="40"/>
        </w:numPr>
        <w:rPr>
          <w:rFonts w:ascii="Arial" w:cs="Arial" w:eastAsia="Arial" w:hAnsi="Arial"/>
          <w:sz w:val="14"/>
          <w:szCs w:val="14"/>
          <w:color w:val="auto"/>
        </w:rPr>
      </w:pPr>
      <w:r>
        <w:rPr>
          <w:rFonts w:ascii="Arial" w:cs="Arial" w:eastAsia="Arial" w:hAnsi="Arial"/>
          <w:sz w:val="14"/>
          <w:szCs w:val="14"/>
          <w:color w:val="auto"/>
        </w:rPr>
        <w:t>Nexus Capital Management is the investment manager of Nexus SS III and Nexus SS III Cayman. Nexus SS GP III is the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380" w:right="360"/>
        <w:spacing w:after="0" w:line="263" w:lineRule="auto"/>
        <w:rPr>
          <w:sz w:val="20"/>
          <w:szCs w:val="20"/>
          <w:color w:val="auto"/>
        </w:rPr>
      </w:pPr>
      <w:r>
        <w:rPr>
          <w:rFonts w:ascii="Arial" w:cs="Arial" w:eastAsia="Arial" w:hAnsi="Arial"/>
          <w:sz w:val="14"/>
          <w:szCs w:val="14"/>
          <w:color w:val="auto"/>
        </w:rPr>
        <w:t>general partner of Nexus SS III and Nexus SS III Cayman. Nexus Partners is the general partner of Nexus SS GP III. Mr. Giangiacomo, Mr. Cohen and Mr. Flesh are the owners of Nexus Capital Management and Nexus Partners. The principal business address and principal office address of each of the foregoing is 11111 Santa Monica Blvd, Ste 350, Los Angeles, CA 90025.</w:t>
      </w:r>
    </w:p>
    <w:p>
      <w:pPr>
        <w:spacing w:after="0" w:line="11" w:lineRule="exact"/>
        <w:rPr>
          <w:sz w:val="20"/>
          <w:szCs w:val="20"/>
          <w:color w:val="auto"/>
        </w:rPr>
      </w:pPr>
    </w:p>
    <w:p>
      <w:pPr>
        <w:ind w:left="380" w:right="80" w:hanging="359"/>
        <w:spacing w:after="0" w:line="256"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a Schedule 13D/A filed with the SEC on May 13, 2026. S3 RR directly holds 4,274,394 shares of Class A common stock. S3 RR is jointly owned by funds managed by STORY3 Capital Partners, which is wholly owned by Rising Sons. Peter Comisar is the controlling member of Rising Sons. The principal business address and principal office address of each of the foregoing is 1580 N. Logan St., Suite 660, PMB 43072, Denver, CO 80203.</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Delinquent Section 16(a) Reports</w:t>
      </w:r>
    </w:p>
    <w:p>
      <w:pPr>
        <w:spacing w:after="0" w:line="199" w:lineRule="exact"/>
        <w:rPr>
          <w:sz w:val="20"/>
          <w:szCs w:val="20"/>
          <w:color w:val="auto"/>
        </w:rPr>
      </w:pPr>
    </w:p>
    <w:p>
      <w:pPr>
        <w:ind w:left="20" w:right="60"/>
        <w:spacing w:after="0" w:line="253" w:lineRule="auto"/>
        <w:rPr>
          <w:sz w:val="20"/>
          <w:szCs w:val="20"/>
          <w:color w:val="auto"/>
        </w:rPr>
      </w:pPr>
      <w:r>
        <w:rPr>
          <w:rFonts w:ascii="Arial" w:cs="Arial" w:eastAsia="Arial" w:hAnsi="Arial"/>
          <w:sz w:val="18"/>
          <w:szCs w:val="18"/>
          <w:color w:val="auto"/>
        </w:rPr>
        <w:t>Section 16(a) of the Exchange Act requires our executive officers, directors, and 10% stockholders to file certain reports with respect to beneficial ownership of our equity securities. Such executive officers, directors and stockholders also are required by SEC rules to furnish us with copies of all Section 16(a) forms that they file.</w:t>
      </w:r>
    </w:p>
    <w:p>
      <w:pPr>
        <w:spacing w:after="0" w:line="128"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To our knowledge, based solely on our review of the copies of such reports furnished to us and written representations that no other reports were required to be filed during fiscal 2025, we believe that for fiscal 2025, all required reports were filed on a timely basis under Section 16(a), except for one Form 4 for Michael Roth, reporting one transaction, that was filed one day late.</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Additional Information</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 Proposals</w:t>
      </w:r>
    </w:p>
    <w:p>
      <w:pPr>
        <w:spacing w:after="0" w:line="199" w:lineRule="exact"/>
        <w:rPr>
          <w:sz w:val="20"/>
          <w:szCs w:val="20"/>
          <w:color w:val="auto"/>
        </w:rPr>
      </w:pPr>
    </w:p>
    <w:p>
      <w:pPr>
        <w:ind w:left="20" w:right="180"/>
        <w:spacing w:after="0" w:line="247" w:lineRule="auto"/>
        <w:rPr>
          <w:sz w:val="20"/>
          <w:szCs w:val="20"/>
          <w:color w:val="auto"/>
        </w:rPr>
      </w:pPr>
      <w:r>
        <w:rPr>
          <w:rFonts w:ascii="Arial" w:cs="Arial" w:eastAsia="Arial" w:hAnsi="Arial"/>
          <w:sz w:val="18"/>
          <w:szCs w:val="18"/>
          <w:color w:val="auto"/>
        </w:rPr>
        <w:t>Stockholders who would like to have a proposal considered for inclusion in the proxy materials for our 2027 Annual Meeting of Stockholders pursuant to Rule 14a-8 must submit the proposal in writing to our Secretary at Rent the Runway, Inc., 10 Jay Street, Brooklyn, NY 11201, by no later than February 1, 2027, 120 days before the anniversary of mailing and otherwise comply with the SEC’s requirements for stockholder proposals.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who would like to bring a proposal before our 2027 Annual Meeting of Stockholders, or to nominate directors for election, in accordance with the advance notice provisions of our Amended Bylaws, must give timely written notice to our Secretary. To be considered timely, the notice must be delivered to our headquarters at least 90 days, but not more than 120 days before the one-year anniversary of the previous year’s Annual Meeting of Stockholders. That means that to be timely, a notice must be received no later than April 15, 2027 nor earlier than March 16, 2027 (assuming the meeting is held not more than 30 days before or more than 60 days after July 14, 2027). The notice must comply with the requirements set forth in our Amended Bylaws.</w:t>
      </w:r>
    </w:p>
    <w:p>
      <w:pPr>
        <w:spacing w:after="0" w:line="144" w:lineRule="exact"/>
        <w:rPr>
          <w:sz w:val="20"/>
          <w:szCs w:val="20"/>
          <w:color w:val="auto"/>
        </w:rPr>
      </w:pPr>
    </w:p>
    <w:p>
      <w:pPr>
        <w:ind w:left="20" w:right="280"/>
        <w:spacing w:after="0" w:line="247" w:lineRule="auto"/>
        <w:rPr>
          <w:sz w:val="20"/>
          <w:szCs w:val="20"/>
          <w:color w:val="auto"/>
        </w:rPr>
      </w:pPr>
      <w:r>
        <w:rPr>
          <w:rFonts w:ascii="Arial" w:cs="Arial" w:eastAsia="Arial" w:hAnsi="Arial"/>
          <w:sz w:val="18"/>
          <w:szCs w:val="18"/>
          <w:color w:val="auto"/>
        </w:rPr>
        <w:t>In addition to satisfying the foregoing requirements under the Amended Bylaws, to comply with the universal proxy rules, stockholders who intend to solicit proxies in support of director nominees other than the Company’s nominees must provide notice that sets forth the information required by Rule 14a-19 under the Exchange Act no later than May 17, 2027.</w:t>
      </w:r>
    </w:p>
    <w:p>
      <w:pPr>
        <w:spacing w:after="0" w:line="133"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Information Requests</w:t>
      </w:r>
    </w:p>
    <w:p>
      <w:pPr>
        <w:spacing w:after="0" w:line="199"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Our Annual Reports on Form 10-K and Quarterly Reports on Form 10-Q are available on the SEC’s website, http://www.sec.gov, or on our website, investors.renttherunway.com. Copies of our Annual Report on Form 10-K for the fiscal year ended January 31, 2026 may also be obtained for free by emailing investors@renttherunway.com. No other information on our website is incorporated by reference in or considered to be part of this Proxy Statement.</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Other Business</w:t>
      </w:r>
    </w:p>
    <w:p>
      <w:pPr>
        <w:spacing w:after="0" w:line="212"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We do not know of any other business that may be presented at the Annual Meeting. If any other matters are properly presented at the Annual Meeting, the persons named on the proxy card will have discretion to vote on the matters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496570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Forward-Looking Statements</w:t>
      </w:r>
    </w:p>
    <w:p>
      <w:pPr>
        <w:spacing w:after="0" w:line="199"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These statements include, but are not limited to, statements regarding our business strategy and objectives, our executive compensation practices and statements regarding the transition of the Company’s executive leadership.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w:t>
      </w:r>
    </w:p>
    <w:p>
      <w:pPr>
        <w:spacing w:after="0" w:line="153"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uncertainties, and other important factors,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proxy statement may not occur and actual results could differ materially from those anticipated or implied in the forward-looking statements. These risks and uncertainties include risks related to our chief executive officer search process and our ability to manage the transition to a new chief executive officer; our chief financial officer search process, and our ability to manage the transition to a new chief financial officer and other management; our ability to drive future growth or manage our growth effectively; the highly competitive and rapidly changing nature of the global fashion industry; risks related to the macroeconomic environment, including war in the Middle East and fuel surcharges;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risks related to AI technology; our failure to realize all of the anticipated benefits of the recapitalization transactions, or that those benefits may be short-lived or insufficient for our future needs; failure to manage the transition of our Board of Directors; our failure to comply with the covenants under our credit agreement; our ability to remediate our material weaknesses in our internal control over financial reporting; our ability to comply with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our debt; our noncompliance with Nasdaq Marketplace Rule 5606(c)(2)(A), which requires listed companies to have at least three audit committee members; and risks related to our Class A capital stock and ownership structure.</w:t>
      </w:r>
    </w:p>
    <w:p>
      <w:pPr>
        <w:spacing w:after="0" w:line="142"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Additional information regarding these and other risks, uncertainties and other important factors that could cause actual results to differ materially from the Company’s expectations is included in our Annual Report on Form 10-K for the year ended January 31, 2026, as may be updated from time to time in our filings with the SEC. Except as required by law, we do not undertake any obligation to publicly update or revise any forward-looking statement, whether as a result of new information, future developments, or otherwise.</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A</w:t>
      </w:r>
    </w:p>
    <w:p>
      <w:pPr>
        <w:spacing w:after="0" w:line="212"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This proxy statement contains the non-GAAP financial measures, Adjusted EBITDA, and Adjusted EBITDA margin. In addition to our results determined in accordance with GAAP, we believe that Adjusted EBITDA and Adjusted EBITDA margin are useful in evaluating our performance. Adjusted EBITDA is a key performance measure used by management to assess our operating performance and the operating leverage of our business prior to capital expenditures. These non-GAAP financial metrics are not meant to be considered as an indicator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proxy statement.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59" w:lineRule="exact"/>
        <w:rPr>
          <w:sz w:val="20"/>
          <w:szCs w:val="20"/>
          <w:color w:val="auto"/>
        </w:rPr>
      </w:pPr>
    </w:p>
    <w:p>
      <w:pPr>
        <w:ind w:left="20" w:right="160"/>
        <w:spacing w:after="0" w:line="244" w:lineRule="auto"/>
        <w:rPr>
          <w:sz w:val="20"/>
          <w:szCs w:val="20"/>
          <w:color w:val="auto"/>
        </w:rPr>
      </w:pPr>
      <w:r>
        <w:rPr>
          <w:rFonts w:ascii="Arial" w:cs="Arial" w:eastAsia="Arial" w:hAnsi="Arial"/>
          <w:sz w:val="18"/>
          <w:szCs w:val="18"/>
          <w:color w:val="auto"/>
        </w:rPr>
        <w:t>We define Adjusted EBITDA as net income (loss), adjusted to exclude interest expense, rental product depreciation, other depreciation and amortization, share-based compensation expense, write-off of liquidated assets, non-recurring adjustments, non-ordinary course legal fees, restructuring charges, Gain on Debt Restructuring, income tax (benefit) expense, other income and expense, and other gains / losses. Adjusted EBITDA margin is defined as Adjusted EBITDA calculated as a percentage of total revenue, net for a period.</w:t>
      </w:r>
    </w:p>
    <w:p>
      <w:pPr>
        <w:spacing w:after="0" w:line="136" w:lineRule="exact"/>
        <w:rPr>
          <w:sz w:val="20"/>
          <w:szCs w:val="20"/>
          <w:color w:val="auto"/>
        </w:rPr>
      </w:pPr>
    </w:p>
    <w:p>
      <w:pPr>
        <w:ind w:left="20" w:right="140"/>
        <w:spacing w:after="0" w:line="247" w:lineRule="auto"/>
        <w:rPr>
          <w:sz w:val="20"/>
          <w:szCs w:val="20"/>
          <w:color w:val="auto"/>
        </w:rPr>
      </w:pPr>
      <w:r>
        <w:rPr>
          <w:rFonts w:ascii="Arial" w:cs="Arial" w:eastAsia="Arial" w:hAnsi="Arial"/>
          <w:sz w:val="18"/>
          <w:szCs w:val="18"/>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340"/>
        <w:spacing w:after="0" w:line="271" w:lineRule="auto"/>
        <w:rPr>
          <w:sz w:val="20"/>
          <w:szCs w:val="20"/>
          <w:color w:val="auto"/>
        </w:rPr>
      </w:pPr>
      <w:r>
        <w:rPr>
          <w:rFonts w:ascii="Arial" w:cs="Arial" w:eastAsia="Arial" w:hAnsi="Arial"/>
          <w:sz w:val="18"/>
          <w:szCs w:val="18"/>
          <w:color w:val="auto"/>
        </w:rPr>
        <w:t>The following table presents a reconciliation of net income (loss), the most comparable GAAP financial measure, to Adjusted EBITDA for the periods presented.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20" w:type="dxa"/>
            <w:vAlign w:val="bottom"/>
            <w:shd w:val="clear" w:color="auto" w:fill="FFE8F5"/>
          </w:tcPr>
          <w:p>
            <w:pPr>
              <w:spacing w:after="0"/>
              <w:rPr>
                <w:sz w:val="22"/>
                <w:szCs w:val="22"/>
                <w:color w:val="auto"/>
              </w:rPr>
            </w:pPr>
          </w:p>
        </w:tc>
        <w:tc>
          <w:tcPr>
            <w:tcW w:w="6040" w:type="dxa"/>
            <w:vAlign w:val="bottom"/>
            <w:vMerge w:val="restart"/>
            <w:shd w:val="clear" w:color="auto" w:fill="FFE8F5"/>
          </w:tcPr>
          <w:p>
            <w:pPr>
              <w:ind w:left="30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FFE8F5"/>
          </w:tcPr>
          <w:p>
            <w:pPr>
              <w:spacing w:after="0"/>
              <w:rPr>
                <w:sz w:val="22"/>
                <w:szCs w:val="22"/>
                <w:color w:val="auto"/>
              </w:rPr>
            </w:pPr>
          </w:p>
        </w:tc>
        <w:tc>
          <w:tcPr>
            <w:tcW w:w="3240" w:type="dxa"/>
            <w:vAlign w:val="bottom"/>
            <w:gridSpan w:val="2"/>
            <w:shd w:val="clear" w:color="auto" w:fill="FFE8F5"/>
          </w:tcPr>
          <w:p>
            <w:pPr>
              <w:jc w:val="right"/>
              <w:ind w:right="688"/>
              <w:spacing w:after="0"/>
              <w:rPr>
                <w:sz w:val="20"/>
                <w:szCs w:val="20"/>
                <w:color w:val="auto"/>
              </w:rPr>
            </w:pPr>
            <w:r>
              <w:rPr>
                <w:rFonts w:ascii="Arial" w:cs="Arial" w:eastAsia="Arial" w:hAnsi="Arial"/>
                <w:sz w:val="14"/>
                <w:szCs w:val="14"/>
                <w:b w:val="1"/>
                <w:bCs w:val="1"/>
                <w:color w:val="auto"/>
              </w:rPr>
              <w:t>Years Ended January 31,</w:t>
            </w:r>
          </w:p>
        </w:tc>
        <w:tc>
          <w:tcPr>
            <w:tcW w:w="0" w:type="dxa"/>
            <w:vAlign w:val="bottom"/>
          </w:tcPr>
          <w:p>
            <w:pPr>
              <w:spacing w:after="0"/>
              <w:rPr>
                <w:sz w:val="1"/>
                <w:szCs w:val="1"/>
                <w:color w:val="auto"/>
              </w:rPr>
            </w:pPr>
          </w:p>
        </w:tc>
      </w:tr>
      <w:tr>
        <w:trPr>
          <w:trHeight w:val="115"/>
        </w:trPr>
        <w:tc>
          <w:tcPr>
            <w:tcW w:w="120" w:type="dxa"/>
            <w:vAlign w:val="bottom"/>
            <w:shd w:val="clear" w:color="auto" w:fill="FFE8F5"/>
          </w:tcPr>
          <w:p>
            <w:pPr>
              <w:spacing w:after="0"/>
              <w:rPr>
                <w:sz w:val="10"/>
                <w:szCs w:val="10"/>
                <w:color w:val="auto"/>
              </w:rPr>
            </w:pPr>
          </w:p>
        </w:tc>
        <w:tc>
          <w:tcPr>
            <w:tcW w:w="6040" w:type="dxa"/>
            <w:vAlign w:val="bottom"/>
            <w:vMerge w:val="continue"/>
            <w:shd w:val="clear" w:color="auto" w:fill="FFE8F5"/>
          </w:tcPr>
          <w:p>
            <w:pPr>
              <w:spacing w:after="0"/>
              <w:rPr>
                <w:sz w:val="10"/>
                <w:szCs w:val="10"/>
                <w:color w:val="auto"/>
              </w:rPr>
            </w:pPr>
          </w:p>
        </w:tc>
        <w:tc>
          <w:tcPr>
            <w:tcW w:w="100" w:type="dxa"/>
            <w:vAlign w:val="bottom"/>
            <w:shd w:val="clear" w:color="auto" w:fill="FFE8F5"/>
          </w:tcPr>
          <w:p>
            <w:pPr>
              <w:spacing w:after="0"/>
              <w:rPr>
                <w:sz w:val="10"/>
                <w:szCs w:val="10"/>
                <w:color w:val="auto"/>
              </w:rPr>
            </w:pPr>
          </w:p>
        </w:tc>
        <w:tc>
          <w:tcPr>
            <w:tcW w:w="2160" w:type="dxa"/>
            <w:vAlign w:val="bottom"/>
            <w:vMerge w:val="restart"/>
            <w:shd w:val="clear" w:color="auto" w:fill="FFE8F5"/>
          </w:tcPr>
          <w:p>
            <w:pPr>
              <w:jc w:val="right"/>
              <w:ind w:right="4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FFE8F5"/>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6040" w:type="dxa"/>
            <w:vAlign w:val="bottom"/>
            <w:shd w:val="clear" w:color="auto" w:fill="FFE8F5"/>
          </w:tcPr>
          <w:p>
            <w:pPr>
              <w:spacing w:after="0"/>
              <w:rPr>
                <w:sz w:val="7"/>
                <w:szCs w:val="7"/>
                <w:color w:val="auto"/>
              </w:rPr>
            </w:pPr>
          </w:p>
        </w:tc>
        <w:tc>
          <w:tcPr>
            <w:tcW w:w="100" w:type="dxa"/>
            <w:vAlign w:val="bottom"/>
            <w:shd w:val="clear" w:color="auto" w:fill="FFE8F5"/>
          </w:tcPr>
          <w:p>
            <w:pPr>
              <w:spacing w:after="0"/>
              <w:rPr>
                <w:sz w:val="7"/>
                <w:szCs w:val="7"/>
                <w:color w:val="auto"/>
              </w:rPr>
            </w:pPr>
          </w:p>
        </w:tc>
        <w:tc>
          <w:tcPr>
            <w:tcW w:w="2160" w:type="dxa"/>
            <w:vAlign w:val="bottom"/>
            <w:vMerge w:val="continue"/>
            <w:shd w:val="clear" w:color="auto" w:fill="FFE8F5"/>
          </w:tcPr>
          <w:p>
            <w:pPr>
              <w:spacing w:after="0"/>
              <w:rPr>
                <w:sz w:val="7"/>
                <w:szCs w:val="7"/>
                <w:color w:val="auto"/>
              </w:rPr>
            </w:pPr>
          </w:p>
        </w:tc>
        <w:tc>
          <w:tcPr>
            <w:tcW w:w="1080" w:type="dxa"/>
            <w:vAlign w:val="bottom"/>
            <w:shd w:val="clear" w:color="auto" w:fill="FFE8F5"/>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20" w:type="dxa"/>
            <w:vAlign w:val="bottom"/>
            <w:tcBorders>
              <w:bottom w:val="single" w:sz="8" w:color="FFE8F5"/>
            </w:tcBorders>
            <w:shd w:val="clear" w:color="auto" w:fill="FFE8F5"/>
          </w:tcPr>
          <w:p>
            <w:pPr>
              <w:spacing w:after="0"/>
              <w:rPr>
                <w:sz w:val="6"/>
                <w:szCs w:val="6"/>
                <w:color w:val="auto"/>
              </w:rPr>
            </w:pPr>
          </w:p>
        </w:tc>
        <w:tc>
          <w:tcPr>
            <w:tcW w:w="6040" w:type="dxa"/>
            <w:vAlign w:val="bottom"/>
            <w:tcBorders>
              <w:bottom w:val="single" w:sz="8" w:color="FFE8F5"/>
            </w:tcBorders>
            <w:shd w:val="clear" w:color="auto" w:fill="FFE8F5"/>
          </w:tcPr>
          <w:p>
            <w:pPr>
              <w:spacing w:after="0"/>
              <w:rPr>
                <w:sz w:val="6"/>
                <w:szCs w:val="6"/>
                <w:color w:val="auto"/>
              </w:rPr>
            </w:pPr>
          </w:p>
        </w:tc>
        <w:tc>
          <w:tcPr>
            <w:tcW w:w="100" w:type="dxa"/>
            <w:vAlign w:val="bottom"/>
            <w:tcBorders>
              <w:bottom w:val="single" w:sz="8" w:color="FFE8F5"/>
            </w:tcBorders>
            <w:shd w:val="clear" w:color="auto" w:fill="FFE8F5"/>
          </w:tcPr>
          <w:p>
            <w:pPr>
              <w:spacing w:after="0"/>
              <w:rPr>
                <w:sz w:val="6"/>
                <w:szCs w:val="6"/>
                <w:color w:val="auto"/>
              </w:rPr>
            </w:pPr>
          </w:p>
        </w:tc>
        <w:tc>
          <w:tcPr>
            <w:tcW w:w="2160" w:type="dxa"/>
            <w:vAlign w:val="bottom"/>
            <w:tcBorders>
              <w:bottom w:val="single" w:sz="8" w:color="auto"/>
            </w:tcBorders>
            <w:shd w:val="clear" w:color="auto" w:fill="FFE8F5"/>
          </w:tcPr>
          <w:p>
            <w:pPr>
              <w:spacing w:after="0"/>
              <w:rPr>
                <w:sz w:val="6"/>
                <w:szCs w:val="6"/>
                <w:color w:val="auto"/>
              </w:rPr>
            </w:pPr>
          </w:p>
        </w:tc>
        <w:tc>
          <w:tcPr>
            <w:tcW w:w="1080" w:type="dxa"/>
            <w:vAlign w:val="bottom"/>
            <w:tcBorders>
              <w:bottom w:val="single" w:sz="8" w:color="auto"/>
            </w:tcBorders>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20" w:type="dxa"/>
            <w:vAlign w:val="bottom"/>
            <w:shd w:val="clear" w:color="auto" w:fill="FFE8F5"/>
          </w:tcPr>
          <w:p>
            <w:pPr>
              <w:spacing w:after="0"/>
              <w:rPr>
                <w:sz w:val="23"/>
                <w:szCs w:val="23"/>
                <w:color w:val="auto"/>
              </w:rPr>
            </w:pPr>
          </w:p>
        </w:tc>
        <w:tc>
          <w:tcPr>
            <w:tcW w:w="6040" w:type="dxa"/>
            <w:vAlign w:val="bottom"/>
            <w:shd w:val="clear" w:color="auto" w:fill="FFE8F5"/>
          </w:tcPr>
          <w:p>
            <w:pPr>
              <w:ind w:left="30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FFE8F5"/>
          </w:tcPr>
          <w:p>
            <w:pPr>
              <w:spacing w:after="0"/>
              <w:rPr>
                <w:sz w:val="23"/>
                <w:szCs w:val="23"/>
                <w:color w:val="auto"/>
              </w:rPr>
            </w:pPr>
          </w:p>
        </w:tc>
        <w:tc>
          <w:tcPr>
            <w:tcW w:w="2160" w:type="dxa"/>
            <w:vAlign w:val="bottom"/>
            <w:shd w:val="clear" w:color="auto" w:fill="FFE8F5"/>
          </w:tcPr>
          <w:p>
            <w:pPr>
              <w:jc w:val="right"/>
              <w:ind w:right="1108"/>
              <w:spacing w:after="0"/>
              <w:rPr>
                <w:sz w:val="20"/>
                <w:szCs w:val="20"/>
                <w:color w:val="auto"/>
              </w:rPr>
            </w:pPr>
            <w:r>
              <w:rPr>
                <w:rFonts w:ascii="Arial" w:cs="Arial" w:eastAsia="Arial" w:hAnsi="Arial"/>
                <w:sz w:val="14"/>
                <w:szCs w:val="14"/>
                <w:b w:val="1"/>
                <w:bCs w:val="1"/>
                <w:color w:val="auto"/>
              </w:rPr>
              <w:t>2026</w:t>
            </w:r>
          </w:p>
        </w:tc>
        <w:tc>
          <w:tcPr>
            <w:tcW w:w="1080" w:type="dxa"/>
            <w:vAlign w:val="bottom"/>
            <w:shd w:val="clear" w:color="auto" w:fill="FFE8F5"/>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70"/>
        </w:trPr>
        <w:tc>
          <w:tcPr>
            <w:tcW w:w="120" w:type="dxa"/>
            <w:vAlign w:val="bottom"/>
            <w:tcBorders>
              <w:bottom w:val="single" w:sz="8" w:color="FFE8F5"/>
            </w:tcBorders>
            <w:shd w:val="clear" w:color="auto" w:fill="FFE8F5"/>
          </w:tcPr>
          <w:p>
            <w:pPr>
              <w:spacing w:after="0"/>
              <w:rPr>
                <w:sz w:val="6"/>
                <w:szCs w:val="6"/>
                <w:color w:val="auto"/>
              </w:rPr>
            </w:pPr>
          </w:p>
        </w:tc>
        <w:tc>
          <w:tcPr>
            <w:tcW w:w="6040" w:type="dxa"/>
            <w:vAlign w:val="bottom"/>
            <w:tcBorders>
              <w:bottom w:val="single" w:sz="8" w:color="FFE8F5"/>
            </w:tcBorders>
            <w:shd w:val="clear" w:color="auto" w:fill="FFE8F5"/>
          </w:tcPr>
          <w:p>
            <w:pPr>
              <w:spacing w:after="0"/>
              <w:rPr>
                <w:sz w:val="6"/>
                <w:szCs w:val="6"/>
                <w:color w:val="auto"/>
              </w:rPr>
            </w:pPr>
          </w:p>
        </w:tc>
        <w:tc>
          <w:tcPr>
            <w:tcW w:w="100" w:type="dxa"/>
            <w:vAlign w:val="bottom"/>
            <w:tcBorders>
              <w:bottom w:val="single" w:sz="8" w:color="FFE8F5"/>
            </w:tcBorders>
            <w:shd w:val="clear" w:color="auto" w:fill="FFE8F5"/>
          </w:tcPr>
          <w:p>
            <w:pPr>
              <w:spacing w:after="0"/>
              <w:rPr>
                <w:sz w:val="6"/>
                <w:szCs w:val="6"/>
                <w:color w:val="auto"/>
              </w:rPr>
            </w:pPr>
          </w:p>
        </w:tc>
        <w:tc>
          <w:tcPr>
            <w:tcW w:w="2160" w:type="dxa"/>
            <w:vAlign w:val="bottom"/>
            <w:tcBorders>
              <w:bottom w:val="single" w:sz="8" w:color="auto"/>
            </w:tcBorders>
            <w:shd w:val="clear" w:color="auto" w:fill="FFE8F5"/>
          </w:tcPr>
          <w:p>
            <w:pPr>
              <w:spacing w:after="0"/>
              <w:rPr>
                <w:sz w:val="6"/>
                <w:szCs w:val="6"/>
                <w:color w:val="auto"/>
              </w:rPr>
            </w:pPr>
          </w:p>
        </w:tc>
        <w:tc>
          <w:tcPr>
            <w:tcW w:w="1080" w:type="dxa"/>
            <w:vAlign w:val="bottom"/>
            <w:tcBorders>
              <w:bottom w:val="single" w:sz="8" w:color="auto"/>
            </w:tcBorders>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20" w:type="dxa"/>
            <w:vAlign w:val="bottom"/>
            <w:shd w:val="clear" w:color="auto" w:fill="FFE8F5"/>
          </w:tcPr>
          <w:p>
            <w:pPr>
              <w:spacing w:after="0"/>
              <w:rPr>
                <w:sz w:val="23"/>
                <w:szCs w:val="23"/>
                <w:color w:val="auto"/>
              </w:rPr>
            </w:pPr>
          </w:p>
        </w:tc>
        <w:tc>
          <w:tcPr>
            <w:tcW w:w="6040" w:type="dxa"/>
            <w:vAlign w:val="bottom"/>
            <w:shd w:val="clear" w:color="auto" w:fill="FFE8F5"/>
          </w:tcPr>
          <w:p>
            <w:pPr>
              <w:spacing w:after="0"/>
              <w:rPr>
                <w:sz w:val="23"/>
                <w:szCs w:val="23"/>
                <w:color w:val="auto"/>
              </w:rPr>
            </w:pPr>
          </w:p>
        </w:tc>
        <w:tc>
          <w:tcPr>
            <w:tcW w:w="100" w:type="dxa"/>
            <w:vAlign w:val="bottom"/>
            <w:shd w:val="clear" w:color="auto" w:fill="FFE8F5"/>
          </w:tcPr>
          <w:p>
            <w:pPr>
              <w:spacing w:after="0"/>
              <w:rPr>
                <w:sz w:val="23"/>
                <w:szCs w:val="23"/>
                <w:color w:val="auto"/>
              </w:rPr>
            </w:pPr>
          </w:p>
        </w:tc>
        <w:tc>
          <w:tcPr>
            <w:tcW w:w="2160" w:type="dxa"/>
            <w:vAlign w:val="bottom"/>
            <w:shd w:val="clear" w:color="auto" w:fill="FFE8F5"/>
          </w:tcPr>
          <w:p>
            <w:pPr>
              <w:jc w:val="right"/>
              <w:ind w:right="68"/>
              <w:spacing w:after="0"/>
              <w:rPr>
                <w:sz w:val="20"/>
                <w:szCs w:val="20"/>
                <w:color w:val="auto"/>
              </w:rPr>
            </w:pPr>
            <w:r>
              <w:rPr>
                <w:rFonts w:ascii="Arial" w:cs="Arial" w:eastAsia="Arial" w:hAnsi="Arial"/>
                <w:sz w:val="14"/>
                <w:szCs w:val="14"/>
                <w:b w:val="1"/>
                <w:bCs w:val="1"/>
                <w:color w:val="auto"/>
              </w:rPr>
              <w:t>(in​ millions)</w:t>
            </w:r>
          </w:p>
        </w:tc>
        <w:tc>
          <w:tcPr>
            <w:tcW w:w="1080" w:type="dxa"/>
            <w:vAlign w:val="bottom"/>
            <w:shd w:val="clear" w:color="auto" w:fill="FFE8F5"/>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120" w:type="dxa"/>
            <w:vAlign w:val="bottom"/>
            <w:tcBorders>
              <w:bottom w:val="single" w:sz="8" w:color="auto"/>
            </w:tcBorders>
            <w:shd w:val="clear" w:color="auto" w:fill="FFE8F5"/>
          </w:tcPr>
          <w:p>
            <w:pPr>
              <w:spacing w:after="0"/>
              <w:rPr>
                <w:sz w:val="6"/>
                <w:szCs w:val="6"/>
                <w:color w:val="auto"/>
              </w:rPr>
            </w:pPr>
          </w:p>
        </w:tc>
        <w:tc>
          <w:tcPr>
            <w:tcW w:w="6040" w:type="dxa"/>
            <w:vAlign w:val="bottom"/>
            <w:tcBorders>
              <w:bottom w:val="single" w:sz="8" w:color="auto"/>
            </w:tcBorders>
            <w:shd w:val="clear" w:color="auto" w:fill="FFE8F5"/>
          </w:tcPr>
          <w:p>
            <w:pPr>
              <w:spacing w:after="0"/>
              <w:rPr>
                <w:sz w:val="6"/>
                <w:szCs w:val="6"/>
                <w:color w:val="auto"/>
              </w:rPr>
            </w:pPr>
          </w:p>
        </w:tc>
        <w:tc>
          <w:tcPr>
            <w:tcW w:w="100" w:type="dxa"/>
            <w:vAlign w:val="bottom"/>
            <w:tcBorders>
              <w:bottom w:val="single" w:sz="8" w:color="auto"/>
            </w:tcBorders>
            <w:shd w:val="clear" w:color="auto" w:fill="FFE8F5"/>
          </w:tcPr>
          <w:p>
            <w:pPr>
              <w:spacing w:after="0"/>
              <w:rPr>
                <w:sz w:val="6"/>
                <w:szCs w:val="6"/>
                <w:color w:val="auto"/>
              </w:rPr>
            </w:pPr>
          </w:p>
        </w:tc>
        <w:tc>
          <w:tcPr>
            <w:tcW w:w="2160" w:type="dxa"/>
            <w:vAlign w:val="bottom"/>
            <w:tcBorders>
              <w:bottom w:val="single" w:sz="8" w:color="auto"/>
            </w:tcBorders>
            <w:shd w:val="clear" w:color="auto" w:fill="FFE8F5"/>
          </w:tcPr>
          <w:p>
            <w:pPr>
              <w:spacing w:after="0"/>
              <w:rPr>
                <w:sz w:val="6"/>
                <w:szCs w:val="6"/>
                <w:color w:val="auto"/>
              </w:rPr>
            </w:pPr>
          </w:p>
        </w:tc>
        <w:tc>
          <w:tcPr>
            <w:tcW w:w="1080" w:type="dxa"/>
            <w:vAlign w:val="bottom"/>
            <w:tcBorders>
              <w:bottom w:val="single" w:sz="8" w:color="auto"/>
            </w:tcBorders>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20" w:type="dxa"/>
            <w:vAlign w:val="bottom"/>
          </w:tcPr>
          <w:p>
            <w:pPr>
              <w:spacing w:after="0"/>
              <w:rPr>
                <w:sz w:val="23"/>
                <w:szCs w:val="23"/>
                <w:color w:val="auto"/>
              </w:rPr>
            </w:pPr>
          </w:p>
        </w:tc>
        <w:tc>
          <w:tcPr>
            <w:tcW w:w="614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$22.6</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614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Interest (income) / expense, net</w:t>
            </w:r>
            <w:r>
              <w:rPr>
                <w:rFonts w:ascii="Arial" w:cs="Arial" w:eastAsia="Arial" w:hAnsi="Arial"/>
                <w:sz w:val="23"/>
                <w:szCs w:val="23"/>
                <w:color w:val="auto"/>
                <w:vertAlign w:val="superscript"/>
              </w:rPr>
              <w:t>(1)</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20.3</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6140" w:type="dxa"/>
            <w:vAlign w:val="bottom"/>
            <w:gridSpan w:val="2"/>
          </w:tcPr>
          <w:p>
            <w:pPr>
              <w:ind w:left="40"/>
              <w:spacing w:after="0"/>
              <w:rPr>
                <w:sz w:val="20"/>
                <w:szCs w:val="20"/>
                <w:color w:val="auto"/>
              </w:rPr>
            </w:pPr>
            <w:r>
              <w:rPr>
                <w:rFonts w:ascii="Arial" w:cs="Arial" w:eastAsia="Arial" w:hAnsi="Arial"/>
                <w:sz w:val="14"/>
                <w:szCs w:val="14"/>
                <w:color w:val="auto"/>
              </w:rPr>
              <w:t>Rental product depreciation</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59.9</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614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Other depreciation and amortization</w:t>
            </w:r>
            <w:r>
              <w:rPr>
                <w:rFonts w:ascii="Arial" w:cs="Arial" w:eastAsia="Arial" w:hAnsi="Arial"/>
                <w:sz w:val="23"/>
                <w:szCs w:val="23"/>
                <w:color w:val="auto"/>
                <w:vertAlign w:val="superscript"/>
              </w:rPr>
              <w:t>(2)</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9.9</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Share-based compensation</w:t>
            </w:r>
            <w:r>
              <w:rPr>
                <w:rFonts w:ascii="Arial" w:cs="Arial" w:eastAsia="Arial" w:hAnsi="Arial"/>
                <w:sz w:val="23"/>
                <w:szCs w:val="23"/>
                <w:color w:val="auto"/>
                <w:vertAlign w:val="superscript"/>
              </w:rPr>
              <w:t>(3)</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4.2</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Write-off of liquidated assets</w:t>
            </w:r>
            <w:r>
              <w:rPr>
                <w:rFonts w:ascii="Arial" w:cs="Arial" w:eastAsia="Arial" w:hAnsi="Arial"/>
                <w:sz w:val="23"/>
                <w:szCs w:val="23"/>
                <w:color w:val="auto"/>
                <w:vertAlign w:val="superscript"/>
              </w:rPr>
              <w:t>(4)</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2.3</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Non-recurring adjustments</w:t>
            </w:r>
            <w:r>
              <w:rPr>
                <w:rFonts w:ascii="Arial" w:cs="Arial" w:eastAsia="Arial" w:hAnsi="Arial"/>
                <w:sz w:val="23"/>
                <w:szCs w:val="23"/>
                <w:color w:val="auto"/>
                <w:vertAlign w:val="superscript"/>
              </w:rPr>
              <w:t>(5)</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0.5</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Non-ordinary course legal fees</w:t>
            </w:r>
            <w:r>
              <w:rPr>
                <w:rFonts w:ascii="Arial" w:cs="Arial" w:eastAsia="Arial" w:hAnsi="Arial"/>
                <w:sz w:val="23"/>
                <w:szCs w:val="23"/>
                <w:color w:val="auto"/>
                <w:vertAlign w:val="superscript"/>
              </w:rPr>
              <w:t>(6)</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6.0</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23"/>
                <w:szCs w:val="23"/>
                <w:color w:val="auto"/>
                <w:vertAlign w:val="superscript"/>
              </w:rPr>
              <w:t>(7)</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Gain on Debt Restructuring</w:t>
            </w:r>
            <w:r>
              <w:rPr>
                <w:rFonts w:ascii="Arial" w:cs="Arial" w:eastAsia="Arial" w:hAnsi="Arial"/>
                <w:sz w:val="23"/>
                <w:szCs w:val="23"/>
                <w:color w:val="auto"/>
                <w:vertAlign w:val="superscript"/>
              </w:rPr>
              <w:t>(8)</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(96.3)</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6140" w:type="dxa"/>
            <w:vAlign w:val="bottom"/>
            <w:gridSpan w:val="2"/>
          </w:tcPr>
          <w:p>
            <w:pPr>
              <w:ind w:left="40"/>
              <w:spacing w:after="0"/>
              <w:rPr>
                <w:sz w:val="20"/>
                <w:szCs w:val="20"/>
                <w:color w:val="auto"/>
              </w:rPr>
            </w:pPr>
            <w:r>
              <w:rPr>
                <w:rFonts w:ascii="Arial" w:cs="Arial" w:eastAsia="Arial" w:hAnsi="Arial"/>
                <w:sz w:val="14"/>
                <w:szCs w:val="14"/>
                <w:color w:val="auto"/>
              </w:rPr>
              <w:t>Income tax (benefit) / expense</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0.1</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614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Other (income) / expense, net</w:t>
            </w:r>
            <w:r>
              <w:rPr>
                <w:rFonts w:ascii="Arial" w:cs="Arial" w:eastAsia="Arial" w:hAnsi="Arial"/>
                <w:sz w:val="23"/>
                <w:szCs w:val="23"/>
                <w:color w:val="auto"/>
                <w:vertAlign w:val="superscript"/>
              </w:rPr>
              <w:t>(9)</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(4.2)</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Other (gains) / losses</w:t>
            </w:r>
            <w:r>
              <w:rPr>
                <w:rFonts w:ascii="Arial" w:cs="Arial" w:eastAsia="Arial" w:hAnsi="Arial"/>
                <w:sz w:val="23"/>
                <w:szCs w:val="23"/>
                <w:color w:val="auto"/>
                <w:vertAlign w:val="superscript"/>
              </w:rPr>
              <w:t>(10)</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(0.4)</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6140" w:type="dxa"/>
            <w:vAlign w:val="bottom"/>
            <w:gridSpan w:val="2"/>
          </w:tcPr>
          <w:p>
            <w:pPr>
              <w:ind w:left="40"/>
              <w:spacing w:after="0"/>
              <w:rPr>
                <w:sz w:val="20"/>
                <w:szCs w:val="20"/>
                <w:color w:val="auto"/>
              </w:rPr>
            </w:pPr>
            <w:r>
              <w:rPr>
                <w:rFonts w:ascii="Arial" w:cs="Arial" w:eastAsia="Arial" w:hAnsi="Arial"/>
                <w:sz w:val="14"/>
                <w:szCs w:val="14"/>
                <w:color w:val="auto"/>
              </w:rPr>
              <w:t>Adjusted EBITDA</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$24.9</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614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6140" w:type="dxa"/>
            <w:vAlign w:val="bottom"/>
            <w:gridSpan w:val="2"/>
          </w:tcPr>
          <w:p>
            <w:pPr>
              <w:ind w:left="40"/>
              <w:spacing w:after="0"/>
              <w:rPr>
                <w:sz w:val="20"/>
                <w:szCs w:val="20"/>
                <w:color w:val="auto"/>
              </w:rPr>
            </w:pPr>
            <w:r>
              <w:rPr>
                <w:rFonts w:ascii="Arial" w:cs="Arial" w:eastAsia="Arial" w:hAnsi="Arial"/>
                <w:sz w:val="14"/>
                <w:szCs w:val="14"/>
                <w:color w:val="auto"/>
              </w:rPr>
              <w:t>Net Income (Loss) as a percentage of revenue</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6.9%</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614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23"/>
                <w:szCs w:val="23"/>
                <w:color w:val="auto"/>
                <w:vertAlign w:val="superscript"/>
              </w:rPr>
              <w:t>(11)</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7.6%</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hanging="359"/>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debt discount amortization of $(3.3) million in the year ended January 31, 2026 and $27.0 million in the year ended January 31, 2025.</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non-rental product depreciation and capitalized software amortization.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the non-cash expense for share-based compensation.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55" w:lineRule="exact"/>
        <w:rPr>
          <w:rFonts w:ascii="Arial" w:cs="Arial" w:eastAsia="Arial" w:hAnsi="Arial"/>
          <w:sz w:val="14"/>
          <w:szCs w:val="14"/>
          <w:color w:val="auto"/>
        </w:rPr>
      </w:pPr>
    </w:p>
    <w:p>
      <w:pPr>
        <w:ind w:left="380" w:right="180" w:hanging="359"/>
        <w:spacing w:after="0" w:line="281"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Non-recurring adjustments for the year ended January 31, 2026 includes $0.5 million of transaction related and internal controls related costs and for the year ended January 31, 2025 includes $0.1 million of costs related to one-time professional fees.</w:t>
      </w:r>
    </w:p>
    <w:p>
      <w:pPr>
        <w:spacing w:after="0" w:line="1" w:lineRule="exact"/>
        <w:rPr>
          <w:rFonts w:ascii="Arial" w:cs="Arial" w:eastAsia="Arial" w:hAnsi="Arial"/>
          <w:sz w:val="14"/>
          <w:szCs w:val="14"/>
          <w:color w:val="auto"/>
        </w:rPr>
      </w:pPr>
    </w:p>
    <w:p>
      <w:pPr>
        <w:ind w:left="380" w:right="340" w:hanging="359"/>
        <w:spacing w:after="0" w:line="281"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Non-ordinary course legal fees for the years ended January 31, 2026 and 2025 includes $6.0 million and $0.3 million, respectively, of costs related to securities lawsuits and non-recurring legal fees, including transaction related costs and a class action lawsuit.</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restructuring charges for severance and related costs in connection with the January 2024 restructuring plan.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the gain recognized from the troubled debt restructuring from the recapitalization transactions completed in October 2025.</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other (income) expense recognized in the period.</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gains/losses recognized in relation to foreign exchange, operating lease terminations and the related surrender of fixed assets.</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Adjusted EBITDA Margin calculated as Adjusted EBITDA as a percentage of revenue.</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B-1</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IV section 4.1(b) of the Charter, marked to show changes against our current Charter:</w:t>
      </w:r>
    </w:p>
    <w:p>
      <w:pPr>
        <w:spacing w:after="0" w:line="181" w:lineRule="exact"/>
        <w:rPr>
          <w:sz w:val="20"/>
          <w:szCs w:val="20"/>
          <w:color w:val="auto"/>
        </w:rPr>
      </w:pPr>
    </w:p>
    <w:p>
      <w:pPr>
        <w:ind w:left="380" w:firstLine="1"/>
        <w:spacing w:after="0" w:line="286" w:lineRule="auto"/>
        <w:tabs>
          <w:tab w:leader="none" w:pos="635" w:val="left"/>
        </w:tabs>
        <w:numPr>
          <w:ilvl w:val="0"/>
          <w:numId w:val="4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Fifty million (50,000,000) shares of Class B common stock, with a par value of $0.001 per share (the “</w:t>
      </w:r>
      <w:r>
        <w:rPr>
          <w:rFonts w:ascii="Times New Roman" w:cs="Times New Roman" w:eastAsia="Times New Roman" w:hAnsi="Times New Roman"/>
          <w:sz w:val="18"/>
          <w:szCs w:val="18"/>
          <w:b w:val="1"/>
          <w:bCs w:val="1"/>
          <w:i w:val="1"/>
          <w:iCs w:val="1"/>
          <w:color w:val="FF0000"/>
          <w:strike w:val="1"/>
        </w:rPr>
        <w:t>Class B Common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i w:val="1"/>
          <w:iCs w:val="1"/>
          <w:color w:val="FF0000"/>
          <w:strike w:val="1"/>
        </w:rPr>
        <w:t>Stock</w:t>
      </w:r>
      <w:r>
        <w:rPr>
          <w:rFonts w:ascii="Times New Roman" w:cs="Times New Roman" w:eastAsia="Times New Roman" w:hAnsi="Times New Roman"/>
          <w:sz w:val="18"/>
          <w:szCs w:val="18"/>
          <w:color w:val="FF0000"/>
          <w:strike w:val="1"/>
        </w:rPr>
        <w:t>”, and together with the Class A Common Stock, the “</w:t>
      </w:r>
      <w:r>
        <w:rPr>
          <w:rFonts w:ascii="Times New Roman" w:cs="Times New Roman" w:eastAsia="Times New Roman" w:hAnsi="Times New Roman"/>
          <w:sz w:val="18"/>
          <w:szCs w:val="18"/>
          <w:b w:val="1"/>
          <w:bCs w:val="1"/>
          <w:i w:val="1"/>
          <w:iCs w:val="1"/>
          <w:color w:val="FF0000"/>
          <w:strike w:val="1"/>
        </w:rPr>
        <w:t>Common Stock</w:t>
      </w:r>
      <w:r>
        <w:rPr>
          <w:rFonts w:ascii="Times New Roman" w:cs="Times New Roman" w:eastAsia="Times New Roman" w:hAnsi="Times New Roman"/>
          <w:sz w:val="18"/>
          <w:szCs w:val="18"/>
          <w:color w:val="FF0000"/>
          <w:strike w:val="1"/>
        </w:rPr>
        <w:t>”).</w:t>
      </w: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180" w:top="114" w:right="1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B-2</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IV section 4.1(c) of the Charter, marked to show changes against our current Charter:</w:t>
      </w:r>
    </w:p>
    <w:p>
      <w:pPr>
        <w:spacing w:after="0" w:line="221" w:lineRule="exact"/>
        <w:rPr>
          <w:sz w:val="20"/>
          <w:szCs w:val="20"/>
          <w:color w:val="auto"/>
        </w:rPr>
      </w:pPr>
    </w:p>
    <w:p>
      <w:pPr>
        <w:jc w:val="center"/>
        <w:ind w:left="4620" w:right="599" w:hanging="4239"/>
        <w:spacing w:after="0" w:line="662" w:lineRule="auto"/>
        <w:tabs>
          <w:tab w:leader="none" w:pos="625" w:val="left"/>
        </w:tabs>
        <w:numPr>
          <w:ilvl w:val="0"/>
          <w:numId w:val="4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ten million (10,000,000) shares of preferred stock, with a par value of $0.001 per share (the “</w:t>
      </w:r>
      <w:r>
        <w:rPr>
          <w:rFonts w:ascii="Times New Roman" w:cs="Times New Roman" w:eastAsia="Times New Roman" w:hAnsi="Times New Roman"/>
          <w:sz w:val="18"/>
          <w:szCs w:val="18"/>
          <w:b w:val="1"/>
          <w:bCs w:val="1"/>
          <w:i w:val="1"/>
          <w:iCs w:val="1"/>
          <w:color w:val="FF0000"/>
          <w:strike w:val="1"/>
        </w:rPr>
        <w:t>Preferred Stock</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-84455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79"/>
          </w:cols>
          <w:pgMar w:left="1180" w:top="114"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B-3</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 of the Charter, marked to show changes against our current Charter:</w:t>
      </w:r>
    </w:p>
    <w:p>
      <w:pPr>
        <w:spacing w:after="0" w:line="185"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Subject to any additional vote required by this Certificate of Incorporation, in furtherance and not in limitation of the powers conferred upon it by statute, the Board of Directors is expressly authorized to adopt, repeal, alter, amend or rescind the Bylaws of the Corporation (as may be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affirmative vote of at least a majority of the Whole Board of Directors shall be required in order for the Board of Directors to adopt, repeal, alter, amend or rescind the Bylaws. The stockholders shall also have power to adopt, repeal, alter, amend or rescind the Bylaws. In addition to any other vote of the holders of any class or series of stock of the Corporation required by applicable law or by this Certificate of Incorporation, </w:t>
      </w:r>
      <w:r>
        <w:rPr>
          <w:rFonts w:ascii="Times New Roman" w:cs="Times New Roman" w:eastAsia="Times New Roman" w:hAnsi="Times New Roman"/>
          <w:sz w:val="18"/>
          <w:szCs w:val="18"/>
          <w:color w:val="FF0000"/>
          <w:strike w:val="1"/>
        </w:rPr>
        <w:t>such</w:t>
      </w:r>
      <w:r>
        <w:rPr>
          <w:rFonts w:ascii="Times New Roman" w:cs="Times New Roman" w:eastAsia="Times New Roman" w:hAnsi="Times New Roman"/>
          <w:sz w:val="18"/>
          <w:szCs w:val="18"/>
          <w:b w:val="1"/>
          <w:bCs w:val="1"/>
          <w:u w:val="single" w:color="auto"/>
          <w:color w:val="0000FF"/>
        </w:rPr>
        <w:t>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adoption, repeal, alteration, amendment or rescission of the Bylaws by the stockholders shall require the affirmative vote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of the holders of </w:t>
      </w:r>
      <w:r>
        <w:rPr>
          <w:rFonts w:ascii="Times New Roman" w:cs="Times New Roman" w:eastAsia="Times New Roman" w:hAnsi="Times New Roman"/>
          <w:sz w:val="18"/>
          <w:szCs w:val="18"/>
          <w:color w:val="FF0000"/>
          <w:strike w:val="1"/>
        </w:rPr>
        <w:t>at least two-thirds</w:t>
      </w:r>
      <w:r>
        <w:rPr>
          <w:rFonts w:ascii="Times New Roman" w:cs="Times New Roman" w:eastAsia="Times New Roman" w:hAnsi="Times New Roman"/>
          <w:sz w:val="18"/>
          <w:szCs w:val="18"/>
          <w:b w:val="1"/>
          <w:bCs w:val="1"/>
          <w:u w:val="single" w:color="auto"/>
          <w:color w:val="0000FF"/>
        </w:rPr>
        <w:t>a majority</w:t>
      </w:r>
      <w:r>
        <w:rPr>
          <w:rFonts w:ascii="Times New Roman" w:cs="Times New Roman" w:eastAsia="Times New Roman" w:hAnsi="Times New Roman"/>
          <w:sz w:val="18"/>
          <w:szCs w:val="18"/>
          <w:color w:val="000000"/>
        </w:rPr>
        <w:t xml:space="preserve"> of the voting power of all of the then outstanding shares of capital stock of the Corporation entitled to vote generally in the election of directors, voting together as a single class.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 section 6.5 of the Charter, marked to show changes against our current Charter:</w:t>
      </w:r>
    </w:p>
    <w:p>
      <w:pPr>
        <w:spacing w:after="0" w:line="185" w:lineRule="exact"/>
        <w:rPr>
          <w:sz w:val="20"/>
          <w:szCs w:val="20"/>
          <w:color w:val="auto"/>
        </w:rPr>
      </w:pPr>
    </w:p>
    <w:p>
      <w:pPr>
        <w:ind w:left="20"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Removal</w:t>
      </w:r>
      <w:r>
        <w:rPr>
          <w:rFonts w:ascii="Times New Roman" w:cs="Times New Roman" w:eastAsia="Times New Roman" w:hAnsi="Times New Roman"/>
          <w:sz w:val="18"/>
          <w:szCs w:val="18"/>
          <w:color w:val="FF0000"/>
          <w:strike w:val="1"/>
        </w:rPr>
        <w:t>. Subject to the rights of the holders of any series of Preferred Stock then outstanding in respect of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Stock</w:t>
      </w:r>
      <w:r>
        <w:rPr>
          <w:rFonts w:ascii="Times New Roman" w:cs="Times New Roman" w:eastAsia="Times New Roman" w:hAnsi="Times New Roman"/>
          <w:sz w:val="18"/>
          <w:szCs w:val="18"/>
          <w:b w:val="1"/>
          <w:bCs w:val="1"/>
          <w:u w:val="single" w:color="auto"/>
          <w:color w:val="0000FF"/>
        </w:rPr>
        <w:t>6.6 Removal. For so long as the Board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Directors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FF"/>
        </w:rPr>
        <w:t>is classified</w:t>
      </w:r>
      <w:r>
        <w:rPr>
          <w:rFonts w:ascii="Times New Roman" w:cs="Times New Roman" w:eastAsia="Times New Roman" w:hAnsi="Times New Roman"/>
          <w:sz w:val="18"/>
          <w:szCs w:val="18"/>
          <w:color w:val="000000"/>
        </w:rPr>
        <w:t>, any Director may be removed for cause only by 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affirmative vote of the holders of </w:t>
      </w:r>
      <w:r>
        <w:rPr>
          <w:rFonts w:ascii="Times New Roman" w:cs="Times New Roman" w:eastAsia="Times New Roman" w:hAnsi="Times New Roman"/>
          <w:sz w:val="18"/>
          <w:szCs w:val="18"/>
          <w:color w:val="FF0000"/>
          <w:strike w:val="1"/>
        </w:rPr>
        <w:t>at least two-thirds</w:t>
      </w:r>
      <w:r>
        <w:rPr>
          <w:rFonts w:ascii="Times New Roman" w:cs="Times New Roman" w:eastAsia="Times New Roman" w:hAnsi="Times New Roman"/>
          <w:sz w:val="18"/>
          <w:szCs w:val="18"/>
          <w:b w:val="1"/>
          <w:bCs w:val="1"/>
          <w:u w:val="single" w:color="auto"/>
          <w:color w:val="0000FF"/>
        </w:rPr>
        <w:t>a majority</w:t>
      </w:r>
      <w:r>
        <w:rPr>
          <w:rFonts w:ascii="Times New Roman" w:cs="Times New Roman" w:eastAsia="Times New Roman" w:hAnsi="Times New Roman"/>
          <w:sz w:val="18"/>
          <w:szCs w:val="18"/>
          <w:color w:val="000000"/>
        </w:rPr>
        <w:t xml:space="preserve"> of the voting power of all of the then outstanding shares of capital stock entitled to vote generally in the election of </w:t>
      </w:r>
      <w:r>
        <w:rPr>
          <w:rFonts w:ascii="Times New Roman" w:cs="Times New Roman" w:eastAsia="Times New Roman" w:hAnsi="Times New Roman"/>
          <w:sz w:val="18"/>
          <w:szCs w:val="18"/>
          <w:color w:val="FF0000"/>
          <w:strike w:val="1"/>
        </w:rPr>
        <w:t>directors</w:t>
      </w:r>
      <w:r>
        <w:rPr>
          <w:rFonts w:ascii="Times New Roman" w:cs="Times New Roman" w:eastAsia="Times New Roman" w:hAnsi="Times New Roman"/>
          <w:sz w:val="18"/>
          <w:szCs w:val="18"/>
          <w:b w:val="1"/>
          <w:bCs w:val="1"/>
          <w:u w:val="single" w:color="auto"/>
          <w:color w:val="0000FF"/>
        </w:rPr>
        <w:t>Directors</w:t>
      </w:r>
      <w:r>
        <w:rPr>
          <w:rFonts w:ascii="Times New Roman" w:cs="Times New Roman" w:eastAsia="Times New Roman" w:hAnsi="Times New Roman"/>
          <w:sz w:val="18"/>
          <w:szCs w:val="18"/>
          <w:color w:val="000000"/>
        </w:rPr>
        <w:t>, at a meeting duly called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-311150</wp:posOffset>
            </wp:positionV>
            <wp:extent cx="5778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7850" cy="8255"/>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VIII of the Charter, marked to show changes against our current Charter:</w:t>
      </w:r>
    </w:p>
    <w:p>
      <w:pPr>
        <w:spacing w:after="0" w:line="198" w:lineRule="exact"/>
        <w:rPr>
          <w:sz w:val="20"/>
          <w:szCs w:val="20"/>
          <w:color w:val="auto"/>
        </w:rPr>
      </w:pPr>
    </w:p>
    <w:p>
      <w:pPr>
        <w:ind w:left="20" w:right="40"/>
        <w:spacing w:after="0" w:line="253" w:lineRule="auto"/>
        <w:rPr>
          <w:sz w:val="20"/>
          <w:szCs w:val="20"/>
          <w:color w:val="auto"/>
        </w:rPr>
      </w:pPr>
      <w:r>
        <w:rPr>
          <w:rFonts w:ascii="Times New Roman" w:cs="Times New Roman" w:eastAsia="Times New Roman" w:hAnsi="Times New Roman"/>
          <w:sz w:val="18"/>
          <w:szCs w:val="18"/>
          <w:color w:val="auto"/>
        </w:rPr>
        <w:t xml:space="preserve">Except with respect to </w:t>
      </w:r>
      <w:r>
        <w:rPr>
          <w:rFonts w:ascii="Times New Roman" w:cs="Times New Roman" w:eastAsia="Times New Roman" w:hAnsi="Times New Roman"/>
          <w:sz w:val="18"/>
          <w:szCs w:val="18"/>
          <w:u w:val="single" w:color="auto"/>
          <w:color w:val="auto"/>
        </w:rPr>
        <w:t>Articles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in addition to any vote of the holders of shares of any class or series of capital stock of the Corporation required by applicable law or by this Certificate of Incorporation </w:t>
      </w:r>
      <w:r>
        <w:rPr>
          <w:rFonts w:ascii="Times New Roman" w:cs="Times New Roman" w:eastAsia="Times New Roman" w:hAnsi="Times New Roman"/>
          <w:sz w:val="18"/>
          <w:szCs w:val="18"/>
          <w:color w:val="FF0000"/>
          <w:strike w:val="1"/>
        </w:rPr>
        <w:t>(including any Certificate of Designation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respect of one or more series of Preferred Stock)</w:t>
      </w:r>
      <w:r>
        <w:rPr>
          <w:rFonts w:ascii="Times New Roman" w:cs="Times New Roman" w:eastAsia="Times New Roman" w:hAnsi="Times New Roman"/>
          <w:sz w:val="18"/>
          <w:szCs w:val="18"/>
          <w:color w:val="000000"/>
        </w:rPr>
        <w:t>, the adoption, amendment or repeal of the Certificate of Incorporation shall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require the affirmative vote of the holders of </w:t>
      </w:r>
      <w:r>
        <w:rPr>
          <w:rFonts w:ascii="Times New Roman" w:cs="Times New Roman" w:eastAsia="Times New Roman" w:hAnsi="Times New Roman"/>
          <w:sz w:val="18"/>
          <w:szCs w:val="18"/>
          <w:color w:val="FF0000"/>
          <w:strike w:val="1"/>
        </w:rPr>
        <w:t>at least two-thirds</w:t>
      </w:r>
      <w:r>
        <w:rPr>
          <w:rFonts w:ascii="Times New Roman" w:cs="Times New Roman" w:eastAsia="Times New Roman" w:hAnsi="Times New Roman"/>
          <w:sz w:val="18"/>
          <w:szCs w:val="18"/>
          <w:b w:val="1"/>
          <w:bCs w:val="1"/>
          <w:u w:val="single" w:color="auto"/>
          <w:color w:val="0000FF"/>
        </w:rPr>
        <w:t>a majority</w:t>
      </w:r>
      <w:r>
        <w:rPr>
          <w:rFonts w:ascii="Times New Roman" w:cs="Times New Roman" w:eastAsia="Times New Roman" w:hAnsi="Times New Roman"/>
          <w:sz w:val="18"/>
          <w:szCs w:val="18"/>
          <w:color w:val="000000"/>
        </w:rPr>
        <w:t xml:space="preserve"> of the voting power of all of the then outstanding shares of voting stock of the Corporation entitled to vote thereon. 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XII section 12.2(c) of the Charter, marked to show changes against our current Charter:</w:t>
      </w:r>
    </w:p>
    <w:p>
      <w:pPr>
        <w:spacing w:after="0" w:line="185" w:lineRule="exact"/>
        <w:rPr>
          <w:sz w:val="20"/>
          <w:szCs w:val="20"/>
          <w:color w:val="auto"/>
        </w:rPr>
      </w:pPr>
    </w:p>
    <w:p>
      <w:pPr>
        <w:ind w:left="20" w:firstLine="1"/>
        <w:spacing w:after="0" w:line="261" w:lineRule="auto"/>
        <w:tabs>
          <w:tab w:leader="none" w:pos="2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subsequent to such time that such stockholder became an Interested Stockholder, the Business Combination is approved by the Board of Directors and authorized at an annual or special meeting of stockholders by the affirmative vote of </w:t>
      </w:r>
      <w:r>
        <w:rPr>
          <w:rFonts w:ascii="Times New Roman" w:cs="Times New Roman" w:eastAsia="Times New Roman" w:hAnsi="Times New Roman"/>
          <w:sz w:val="18"/>
          <w:szCs w:val="18"/>
          <w:color w:val="FF0000"/>
          <w:strike w:val="1"/>
        </w:rPr>
        <w:t>at least sixty-six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and two-thirds percent (66 2/3%)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a majority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the voting power of the outstanding shares of capital stock of the Corporation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which is not owned by such Interested Stockholder.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B-4</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 of the Charter, marked to show changes against our current Charter:</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Section 6.5 Quorum; Vote Required.</w:t>
      </w:r>
    </w:p>
    <w:p>
      <w:pPr>
        <w:spacing w:after="0" w:line="185" w:lineRule="exact"/>
        <w:rPr>
          <w:sz w:val="20"/>
          <w:szCs w:val="20"/>
          <w:color w:val="auto"/>
        </w:rPr>
      </w:pPr>
    </w:p>
    <w:p>
      <w:pPr>
        <w:ind w:left="20" w:right="120" w:firstLine="1"/>
        <w:spacing w:after="0" w:line="257" w:lineRule="auto"/>
        <w:tabs>
          <w:tab w:leader="none" w:pos="275" w:val="left"/>
        </w:tabs>
        <w:numPr>
          <w:ilvl w:val="0"/>
          <w:numId w:val="4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Subject to Section 6.5(b), at all meetings of the Board of Directors a majority of the Whole Board of Directors shall constitute a quorum for the transaction of business. The affirmative vote of a majority of the Directors present at any meeting of the Board of Directors at which a quorum is present shall be the act of the Board of Directors, except as may be otherwise specifically required by applicable law or this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141" w:lineRule="exact"/>
        <w:rPr>
          <w:rFonts w:ascii="Times New Roman" w:cs="Times New Roman" w:eastAsia="Times New Roman" w:hAnsi="Times New Roman"/>
          <w:sz w:val="18"/>
          <w:szCs w:val="18"/>
          <w:b w:val="1"/>
          <w:bCs w:val="1"/>
          <w:u w:val="single" w:color="auto"/>
          <w:color w:val="0000FF"/>
        </w:rPr>
      </w:pPr>
    </w:p>
    <w:p>
      <w:pPr>
        <w:ind w:left="20" w:firstLine="1"/>
        <w:spacing w:after="0" w:line="253" w:lineRule="auto"/>
        <w:tabs>
          <w:tab w:leader="none" w:pos="285" w:val="left"/>
        </w:tabs>
        <w:numPr>
          <w:ilvl w:val="0"/>
          <w:numId w:val="4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 xml:space="preserve">In addition to any requirements under the DGCL or this Certificate of Incorporation, (i) so long as Nexus has the right to appoint the Nexus Director in accordance with the Investor Rights Agreement, the Nexus Director must be present (in person or by means of conference telephone or other communications equipment by means of which all Persons participating in the meeting can hear each other) at any meeting of the Board of Directors for a quorum to exist, and (ii) so long as Story3 has the right to appoint the Story3 Director in accordance with the Investor Rights Agreement, the Story3 Director must be present (in person or by means of conference telephone or other communications equipment by means of which all Persons participating in the meeting can hear each other) at any meeting of the Board of Directors for a quorum to exist; </w:t>
      </w:r>
      <w:r>
        <w:rPr>
          <w:rFonts w:ascii="Times New Roman" w:cs="Times New Roman" w:eastAsia="Times New Roman" w:hAnsi="Times New Roman"/>
          <w:sz w:val="18"/>
          <w:szCs w:val="18"/>
          <w:b w:val="1"/>
          <w:bCs w:val="1"/>
          <w:i w:val="1"/>
          <w:iCs w:val="1"/>
          <w:u w:val="single" w:color="auto"/>
          <w:color w:val="0000FF"/>
        </w:rPr>
        <w:t>provided, however</w:t>
      </w:r>
      <w:r>
        <w:rPr>
          <w:rFonts w:ascii="Times New Roman" w:cs="Times New Roman" w:eastAsia="Times New Roman" w:hAnsi="Times New Roman"/>
          <w:sz w:val="18"/>
          <w:szCs w:val="18"/>
          <w:b w:val="1"/>
          <w:bCs w:val="1"/>
          <w:u w:val="single" w:color="auto"/>
          <w:color w:val="0000FF"/>
        </w:rPr>
        <w:t>, that if the Nexus Director or the Story3 Director, as applicable, fails to attend three (3) or more consecutive meetings of the Board of Directors that are held during ordinary business hours for which such Director has received notice at least two (2) business days prior to such meeting, quorum shall be deemed to be present at the next meeting immediately following such failure held during ordinary business hours for which such Director has received notice at least two (2) business days prior to such meeting so long as the other Directors required for quorum pursuant to this Section 6.5 are present.</w:t>
      </w: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B-5</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 of the Charter, marked to show changes against our current Charter:</w:t>
      </w:r>
    </w:p>
    <w:p>
      <w:pPr>
        <w:spacing w:after="0" w:line="181"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7"/>
          <w:szCs w:val="17"/>
          <w:b w:val="1"/>
          <w:bCs w:val="1"/>
          <w:u w:val="single" w:color="auto"/>
          <w:color w:val="0000FF"/>
        </w:rPr>
        <w:t>Section 6.8 Special Meetings of Stockholders. Subject to applicable law, special meetings of stockholders of the Corporation may be called, for any purpose or purposes, at any time only by or at the direction of (i) a majority of the Whole Board of Directors, (ii) the chairperson of the Board of Directors or (iii) the holders of at least forty percent (40%) of the voting power of all of the then-outstanding shares of the Corporation, and may not be called by any other person or persons.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114" w:right="12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B-6</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VII of the Charter, marked to show changes against our current Charter:</w:t>
      </w:r>
    </w:p>
    <w:p>
      <w:pPr>
        <w:spacing w:after="0" w:line="181"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FF0000"/>
          <w:strike w:val="1"/>
        </w:rPr>
        <w:t>No</w:t>
      </w:r>
      <w:r>
        <w:rPr>
          <w:rFonts w:ascii="Times New Roman" w:cs="Times New Roman" w:eastAsia="Times New Roman" w:hAnsi="Times New Roman"/>
          <w:sz w:val="18"/>
          <w:szCs w:val="18"/>
          <w:b w:val="1"/>
          <w:bCs w:val="1"/>
          <w:u w:val="single" w:color="auto"/>
          <w:color w:val="0000FF"/>
        </w:rPr>
        <w:t>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action required or permitted to be taken at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annual or special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meeting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stockholders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the holders of Class A Common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Stock</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may be taken without a meeting</w:t>
      </w:r>
      <w:r>
        <w:rPr>
          <w:rFonts w:ascii="Times New Roman" w:cs="Times New Roman" w:eastAsia="Times New Roman" w:hAnsi="Times New Roman"/>
          <w:sz w:val="18"/>
          <w:szCs w:val="18"/>
          <w:color w:val="FF0000"/>
          <w:strike w:val="1"/>
        </w:rPr>
        <w:t>. No action shall be taken by the stockholders of the Corporation by consent.</w:t>
      </w:r>
      <w:r>
        <w:rPr>
          <w:rFonts w:ascii="Times New Roman" w:cs="Times New Roman" w:eastAsia="Times New Roman" w:hAnsi="Times New Roman"/>
          <w:sz w:val="18"/>
          <w:szCs w:val="18"/>
          <w:b w:val="1"/>
          <w:bCs w:val="1"/>
          <w:u w:val="single" w:color="auto"/>
          <w:color w:val="0000FF"/>
        </w:rPr>
        <w:t>, without prior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notice and without a vote, if a written consent or consents, setting forth the action so taken, shall be signed by the holders of Class A Common Stock then outstanding having not less than the minimum number of votes that would be necessary to authorize or take such action at a meeting at which all shares of Class A Common Stock then outstanding were present and voted and shall be delivered to the Corporation in accordance with the DGCL. Prompt notice of the taking of corporate action without a meeting by less than unanimous consent of the holders of Class A Common Stock then outstanding shall, to the extent required by applicable law, be given to those holders of Class A Common Stock who have not consented and who, if the action had been taken at a meeting, would have been entitled to notice of the meeting if the record date for notice of such meeting had been the date that consents signed by a sufficient number of holders of Class A Common Stock to take the action were delivered to the Corporation in accordance with the DGCL.</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B-7</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IX of the Charter, marked to show changes against our current Charter:</w:t>
      </w:r>
    </w:p>
    <w:p>
      <w:pPr>
        <w:spacing w:after="0" w:line="185"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w:t>
      </w:r>
      <w:r>
        <w:rPr>
          <w:rFonts w:ascii="Times New Roman" w:cs="Times New Roman" w:eastAsia="Times New Roman" w:hAnsi="Times New Roman"/>
          <w:sz w:val="18"/>
          <w:szCs w:val="18"/>
          <w:b w:val="1"/>
          <w:bCs w:val="1"/>
          <w:u w:val="single" w:color="auto"/>
          <w:color w:val="0000FF"/>
        </w:rPr>
        <w:t>or officer of the Corporation</w:t>
      </w:r>
      <w:r>
        <w:rPr>
          <w:rFonts w:ascii="Times New Roman" w:cs="Times New Roman" w:eastAsia="Times New Roman" w:hAnsi="Times New Roman"/>
          <w:sz w:val="18"/>
          <w:szCs w:val="18"/>
          <w:color w:val="auto"/>
        </w:rPr>
        <w:t xml:space="preserve"> shall be personally liable to the Corporation or its stockholders for monetary damages for any breach of his or her fiduciary duties as a </w:t>
      </w:r>
      <w:r>
        <w:rPr>
          <w:rFonts w:ascii="Times New Roman" w:cs="Times New Roman" w:eastAsia="Times New Roman" w:hAnsi="Times New Roman"/>
          <w:sz w:val="18"/>
          <w:szCs w:val="18"/>
          <w:color w:val="FF0000"/>
          <w:strike w:val="1"/>
        </w:rPr>
        <w:t>director</w:t>
      </w:r>
      <w:r>
        <w:rPr>
          <w:rFonts w:ascii="Times New Roman" w:cs="Times New Roman" w:eastAsia="Times New Roman" w:hAnsi="Times New Roman"/>
          <w:sz w:val="18"/>
          <w:szCs w:val="18"/>
          <w:b w:val="1"/>
          <w:bCs w:val="1"/>
          <w:u w:val="single" w:color="auto"/>
          <w:color w:val="0000FF"/>
        </w:rPr>
        <w:t>Director or officer of the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0000FF"/>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that the foregoing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clause shall not eliminate or limit the liability of any officer of the Corporation in any action by or in the right of the Corporation</w:t>
      </w:r>
      <w:r>
        <w:rPr>
          <w:rFonts w:ascii="Times New Roman" w:cs="Times New Roman" w:eastAsia="Times New Roman" w:hAnsi="Times New Roman"/>
          <w:sz w:val="18"/>
          <w:szCs w:val="18"/>
          <w:color w:val="000000"/>
        </w:rPr>
        <w:t>. No amendment to, or modification or repeal of, this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Article IX</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shall adversely affect any right or protection of 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Director or of any officer, employee or agent of the Corporation existing hereunder with respect to any act or omission occurring prior to such amendment, modification or repeal.</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B-8</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 of the Charter, marked to show changes against our current Charter:</w:t>
      </w:r>
    </w:p>
    <w:p>
      <w:pPr>
        <w:spacing w:after="0" w:line="185"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FF0000"/>
          <w:strike w:val="1"/>
        </w:rPr>
        <w:t xml:space="preserve">Section 6.3 </w:t>
      </w:r>
      <w:r>
        <w:rPr>
          <w:rFonts w:ascii="Times New Roman" w:cs="Times New Roman" w:eastAsia="Times New Roman" w:hAnsi="Times New Roman"/>
          <w:sz w:val="18"/>
          <w:szCs w:val="18"/>
          <w:u w:val="single" w:color="auto"/>
          <w:color w:val="FF0000"/>
          <w:strike w:val="1"/>
        </w:rPr>
        <w:t>Number and Terms of the Board of Directors</w:t>
      </w:r>
      <w:r>
        <w:rPr>
          <w:rFonts w:ascii="Times New Roman" w:cs="Times New Roman" w:eastAsia="Times New Roman" w:hAnsi="Times New Roman"/>
          <w:sz w:val="18"/>
          <w:szCs w:val="18"/>
          <w:color w:val="FF0000"/>
          <w:strike w:val="1"/>
        </w:rPr>
        <w:t>. Subject to the rights of the holders of any series of Preferred Stock to elect directors under specified circumstances (such directors, “</w:t>
      </w:r>
      <w:r>
        <w:rPr>
          <w:rFonts w:ascii="Times New Roman" w:cs="Times New Roman" w:eastAsia="Times New Roman" w:hAnsi="Times New Roman"/>
          <w:sz w:val="18"/>
          <w:szCs w:val="18"/>
          <w:b w:val="1"/>
          <w:bCs w:val="1"/>
          <w:i w:val="1"/>
          <w:iCs w:val="1"/>
          <w:color w:val="FF0000"/>
          <w:strike w:val="1"/>
        </w:rPr>
        <w:t>Preferred Stock Directors</w:t>
      </w:r>
      <w:r>
        <w:rPr>
          <w:rFonts w:ascii="Times New Roman" w:cs="Times New Roman" w:eastAsia="Times New Roman" w:hAnsi="Times New Roman"/>
          <w:sz w:val="18"/>
          <w:szCs w:val="18"/>
          <w:color w:val="FF0000"/>
          <w:strike w:val="1"/>
        </w:rPr>
        <w:t>”), the number of Directors shall be fixed from time to time exclusively by a majority of the Whole Board of Directors. For purposes of this Certificate of Incorporation, the term “</w:t>
      </w:r>
      <w:r>
        <w:rPr>
          <w:rFonts w:ascii="Times New Roman" w:cs="Times New Roman" w:eastAsia="Times New Roman" w:hAnsi="Times New Roman"/>
          <w:sz w:val="18"/>
          <w:szCs w:val="18"/>
          <w:b w:val="1"/>
          <w:bCs w:val="1"/>
          <w:i w:val="1"/>
          <w:iCs w:val="1"/>
          <w:color w:val="FF0000"/>
          <w:strike w:val="1"/>
        </w:rPr>
        <w:t>Whole Board of Directors</w:t>
      </w:r>
      <w:r>
        <w:rPr>
          <w:rFonts w:ascii="Times New Roman" w:cs="Times New Roman" w:eastAsia="Times New Roman" w:hAnsi="Times New Roman"/>
          <w:sz w:val="18"/>
          <w:szCs w:val="18"/>
          <w:color w:val="FF0000"/>
          <w:strike w:val="1"/>
        </w:rPr>
        <w:t>” shall mean the total number of authorized directors (from time to time) whether or not there exist any vacancies in previously authorized directorships or newly created directorships.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Section 6.3 Number and Terms of the Board of Directors.</w:t>
      </w:r>
    </w:p>
    <w:p>
      <w:pPr>
        <w:spacing w:after="0" w:line="225" w:lineRule="exact"/>
        <w:rPr>
          <w:sz w:val="20"/>
          <w:szCs w:val="20"/>
          <w:color w:val="auto"/>
        </w:rPr>
      </w:pPr>
    </w:p>
    <w:p>
      <w:pPr>
        <w:ind w:left="260" w:hanging="239"/>
        <w:spacing w:after="0"/>
        <w:tabs>
          <w:tab w:leader="none" w:pos="260" w:val="left"/>
        </w:tabs>
        <w:numPr>
          <w:ilvl w:val="0"/>
          <w:numId w:val="4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The number of Directors shall be fixed from time to time in the manner provided in the Bylaws.</w:t>
      </w:r>
    </w:p>
    <w:p>
      <w:pPr>
        <w:spacing w:after="0" w:line="184" w:lineRule="exact"/>
        <w:rPr>
          <w:rFonts w:ascii="Times New Roman" w:cs="Times New Roman" w:eastAsia="Times New Roman" w:hAnsi="Times New Roman"/>
          <w:sz w:val="18"/>
          <w:szCs w:val="18"/>
          <w:u w:val="single" w:color="auto"/>
          <w:color w:val="0000FF"/>
        </w:rPr>
      </w:pPr>
    </w:p>
    <w:p>
      <w:pPr>
        <w:ind w:left="20" w:right="300" w:firstLine="1"/>
        <w:spacing w:after="0" w:line="257" w:lineRule="auto"/>
        <w:tabs>
          <w:tab w:leader="none" w:pos="275" w:val="left"/>
        </w:tabs>
        <w:numPr>
          <w:ilvl w:val="0"/>
          <w:numId w:val="4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Notwithstanding anything in this Certificate of Incorporation to the contrary in the event that Nexus or STORY3, as applicable, no longer has the right to designate a Director for appointment by the Board of Directors pursuant to the Investor Rights Agreement (each such occurrence, a “</w:t>
      </w:r>
      <w:r>
        <w:rPr>
          <w:rFonts w:ascii="Times New Roman" w:cs="Times New Roman" w:eastAsia="Times New Roman" w:hAnsi="Times New Roman"/>
          <w:sz w:val="18"/>
          <w:szCs w:val="18"/>
          <w:b w:val="1"/>
          <w:bCs w:val="1"/>
          <w:i w:val="1"/>
          <w:iCs w:val="1"/>
          <w:u w:val="single" w:color="auto"/>
          <w:color w:val="0000FF"/>
        </w:rPr>
        <w:t>Loss of Designation Rights</w:t>
      </w:r>
      <w:r>
        <w:rPr>
          <w:rFonts w:ascii="Times New Roman" w:cs="Times New Roman" w:eastAsia="Times New Roman" w:hAnsi="Times New Roman"/>
          <w:sz w:val="18"/>
          <w:szCs w:val="18"/>
          <w:b w:val="1"/>
          <w:bCs w:val="1"/>
          <w:u w:val="single" w:color="auto"/>
          <w:color w:val="0000FF"/>
        </w:rPr>
        <w:t>”), then (unless a majority of Directors (with the affected party’s Board of Directors designees abstaining) agree in writing that such Director’s term shall not expire as a result of a Loss of Designation Rights) the term of such Director designated for appointment by Nexus or STORY3, as applicable, shall expire upon such Loss of Designation Rights.</w:t>
      </w:r>
    </w:p>
    <w:p>
      <w:pPr>
        <w:spacing w:after="0" w:line="159"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xml:space="preserve">. Except as otherwise required by law and </w:t>
      </w:r>
      <w:r>
        <w:rPr>
          <w:rFonts w:ascii="Times New Roman" w:cs="Times New Roman" w:eastAsia="Times New Roman" w:hAnsi="Times New Roman"/>
          <w:sz w:val="18"/>
          <w:szCs w:val="18"/>
          <w:color w:val="FF0000"/>
          <w:strike w:val="1"/>
        </w:rPr>
        <w:t>the separate rights of the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of any series of Preferred Stock then outstanding in respect of Preferred Stock Director</w:t>
      </w:r>
      <w:r>
        <w:rPr>
          <w:rFonts w:ascii="Times New Roman" w:cs="Times New Roman" w:eastAsia="Times New Roman" w:hAnsi="Times New Roman"/>
          <w:sz w:val="18"/>
          <w:szCs w:val="18"/>
          <w:u w:val="single" w:color="auto"/>
          <w:color w:val="FF0000"/>
          <w:strike w:val="1"/>
        </w:rPr>
        <w:t>s</w:t>
      </w:r>
      <w:r>
        <w:rPr>
          <w:rFonts w:ascii="Times New Roman" w:cs="Times New Roman" w:eastAsia="Times New Roman" w:hAnsi="Times New Roman"/>
          <w:sz w:val="18"/>
          <w:szCs w:val="18"/>
          <w:b w:val="1"/>
          <w:bCs w:val="1"/>
          <w:u w:val="single" w:color="auto"/>
          <w:color w:val="0000FF"/>
        </w:rPr>
        <w:t>this Certificate of Incorporation</w:t>
      </w:r>
      <w:r>
        <w:rPr>
          <w:rFonts w:ascii="Times New Roman" w:cs="Times New Roman" w:eastAsia="Times New Roman" w:hAnsi="Times New Roman"/>
          <w:sz w:val="18"/>
          <w:szCs w:val="18"/>
          <w:color w:val="000000"/>
        </w:rPr>
        <w:t>, unless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only by a majority of the Directors then in office, though less than a quorum, or by a sole remaining Director, and shall not be filled by the stockholders unless the Board of Directors determines by resolution that any such vacancy or newly created directorship shall be filled by the stockholders</w:t>
      </w:r>
      <w:r>
        <w:rPr>
          <w:rFonts w:ascii="Times New Roman" w:cs="Times New Roman" w:eastAsia="Times New Roman" w:hAnsi="Times New Roman"/>
          <w:sz w:val="18"/>
          <w:szCs w:val="18"/>
          <w:color w:val="FF0000"/>
          <w:strike w:val="1"/>
        </w:rPr>
        <w:t>. Any director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u w:val="single" w:color="auto"/>
          <w:color w:val="0000FF"/>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that, in the event of a vacancy on the</w:t>
      </w:r>
    </w:p>
    <w:p>
      <w:pPr>
        <w:spacing w:after="0" w:line="3"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0000FF"/>
        </w:rPr>
        <w:t>Board of Directors resulting from the death, resignation, disqualification, removal from office or other cause with respect to a Director designated for appointment in accordance with the Investor Rights Agreement, the Person or Persons entitled to designate such Director in accordance with the Investor Rights Agreement shall have the exclusive right to identify a replacement Director for appointment by the Board of Directors to fill such vacancy. Any Director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elected to fill a newly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created directorship or vacancy in accordance with the preceding sentence shall hold office until the next annual meeting of stockholders held to elect the class of </w:t>
      </w:r>
      <w:r>
        <w:rPr>
          <w:rFonts w:ascii="Times New Roman" w:cs="Times New Roman" w:eastAsia="Times New Roman" w:hAnsi="Times New Roman"/>
          <w:sz w:val="18"/>
          <w:szCs w:val="18"/>
          <w:color w:val="FF0000"/>
          <w:strike w:val="1"/>
        </w:rPr>
        <w:t>directors</w:t>
      </w:r>
      <w:r>
        <w:rPr>
          <w:rFonts w:ascii="Times New Roman" w:cs="Times New Roman" w:eastAsia="Times New Roman" w:hAnsi="Times New Roman"/>
          <w:sz w:val="18"/>
          <w:szCs w:val="18"/>
          <w:b w:val="1"/>
          <w:bCs w:val="1"/>
          <w:u w:val="single" w:color="auto"/>
          <w:color w:val="0000FF"/>
        </w:rPr>
        <w:t>Directors</w:t>
      </w:r>
      <w:r>
        <w:rPr>
          <w:rFonts w:ascii="Times New Roman" w:cs="Times New Roman" w:eastAsia="Times New Roman" w:hAnsi="Times New Roman"/>
          <w:sz w:val="18"/>
          <w:szCs w:val="18"/>
          <w:color w:val="000000"/>
        </w:rPr>
        <w:t xml:space="preserve"> to which such </w:t>
      </w:r>
      <w:r>
        <w:rPr>
          <w:rFonts w:ascii="Times New Roman" w:cs="Times New Roman" w:eastAsia="Times New Roman" w:hAnsi="Times New Roman"/>
          <w:sz w:val="18"/>
          <w:szCs w:val="18"/>
          <w:color w:val="FF0000"/>
          <w:strike w:val="1"/>
        </w:rPr>
        <w:t>director</w:t>
      </w:r>
      <w:r>
        <w:rPr>
          <w:rFonts w:ascii="Times New Roman" w:cs="Times New Roman" w:eastAsia="Times New Roman" w:hAnsi="Times New Roman"/>
          <w:sz w:val="18"/>
          <w:szCs w:val="18"/>
          <w:b w:val="1"/>
          <w:bCs w:val="1"/>
          <w:u w:val="single" w:color="auto"/>
          <w:color w:val="0000FF"/>
        </w:rPr>
        <w:t>Director</w:t>
      </w:r>
      <w:r>
        <w:rPr>
          <w:rFonts w:ascii="Times New Roman" w:cs="Times New Roman" w:eastAsia="Times New Roman" w:hAnsi="Times New Roman"/>
          <w:sz w:val="18"/>
          <w:szCs w:val="18"/>
          <w:color w:val="000000"/>
        </w:rPr>
        <w:t xml:space="preserve"> is elected and until his or her successor is duly elected and qualified or until his or her earlier death, resignation, retirement, disqualification, or removal. </w:t>
      </w:r>
      <w:r>
        <w:rPr>
          <w:rFonts w:ascii="Times New Roman" w:cs="Times New Roman" w:eastAsia="Times New Roman" w:hAnsi="Times New Roman"/>
          <w:sz w:val="18"/>
          <w:szCs w:val="18"/>
          <w:b w:val="1"/>
          <w:bCs w:val="1"/>
          <w:color w:val="0000FF"/>
        </w:rPr>
        <w:t>The Secretary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the Corporation shall maintain a copy of the Investor Rights Agreement at the principal executive offices of the Corporation and a copy thereof shall be provided free of charge to any stockholder who makes a request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5057775</wp:posOffset>
            </wp:positionH>
            <wp:positionV relativeFrom="paragraph">
              <wp:posOffset>-302260</wp:posOffset>
            </wp:positionV>
            <wp:extent cx="838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B-9</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X of the Charter, marked to show changes against our current Charter:</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0" w:firstLine="1"/>
        <w:spacing w:after="0" w:line="252" w:lineRule="auto"/>
        <w:tabs>
          <w:tab w:leader="none" w:pos="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 STORY 3 Director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Nexus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Director (or his or her respective affiliates) who is not employed by the Corporation or its subsidiaries (each such Person,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 “</w:t>
      </w:r>
      <w:r>
        <w:rPr>
          <w:rFonts w:ascii="Times New Roman" w:cs="Times New Roman" w:eastAsia="Times New Roman" w:hAnsi="Times New Roman"/>
          <w:sz w:val="18"/>
          <w:szCs w:val="18"/>
          <w:b w:val="1"/>
          <w:bCs w:val="1"/>
          <w:i w:val="1"/>
          <w:iCs w:val="1"/>
          <w:color w:val="000000"/>
        </w:rPr>
        <w:t>Exempt Person</w:t>
      </w:r>
      <w:r>
        <w:rPr>
          <w:rFonts w:ascii="Times New Roman" w:cs="Times New Roman" w:eastAsia="Times New Roman" w:hAnsi="Times New Roman"/>
          <w:sz w:val="18"/>
          <w:szCs w:val="18"/>
          <w:color w:val="000000"/>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Times New Roman" w:cs="Times New Roman" w:eastAsia="Times New Roman" w:hAnsi="Times New Roman"/>
          <w:sz w:val="18"/>
          <w:szCs w:val="18"/>
          <w:u w:val="single" w:color="auto"/>
          <w:color w:val="000000"/>
        </w:rPr>
        <w:t>Section 10.1(a)</w:t>
      </w:r>
      <w:r>
        <w:rPr>
          <w:rFonts w:ascii="Times New Roman" w:cs="Times New Roman" w:eastAsia="Times New Roman" w:hAnsi="Times New Roman"/>
          <w:sz w:val="18"/>
          <w:szCs w:val="18"/>
          <w:color w:val="000000"/>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155" w:lineRule="exact"/>
        <w:rPr>
          <w:rFonts w:ascii="Times New Roman" w:cs="Times New Roman" w:eastAsia="Times New Roman" w:hAnsi="Times New Roman"/>
          <w:sz w:val="18"/>
          <w:szCs w:val="18"/>
          <w:color w:val="auto"/>
        </w:rPr>
      </w:pPr>
    </w:p>
    <w:p>
      <w:pPr>
        <w:ind w:left="20" w:right="60" w:firstLine="1"/>
        <w:spacing w:after="0" w:line="255" w:lineRule="auto"/>
        <w:tabs>
          <w:tab w:leader="none" w:pos="2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81" w:lineRule="exact"/>
        <w:rPr>
          <w:sz w:val="20"/>
          <w:szCs w:val="20"/>
          <w:color w:val="auto"/>
        </w:rPr>
      </w:pPr>
    </w:p>
    <w:p>
      <w:pPr>
        <w:jc w:val="both"/>
        <w:ind w:left="20" w:firstLine="360"/>
        <w:spacing w:after="0" w:line="266" w:lineRule="auto"/>
        <w:rPr>
          <w:sz w:val="20"/>
          <w:szCs w:val="20"/>
          <w:color w:val="auto"/>
        </w:rPr>
      </w:pPr>
      <w:r>
        <w:rPr>
          <w:rFonts w:ascii="Times New Roman" w:cs="Times New Roman" w:eastAsia="Times New Roman" w:hAnsi="Times New Roman"/>
          <w:sz w:val="18"/>
          <w:szCs w:val="18"/>
          <w:color w:val="FF0000"/>
          <w:strike w:val="1"/>
        </w:rPr>
        <w:t xml:space="preserve">Section 10.2 </w:t>
      </w:r>
      <w:r>
        <w:rPr>
          <w:rFonts w:ascii="Times New Roman" w:cs="Times New Roman" w:eastAsia="Times New Roman" w:hAnsi="Times New Roman"/>
          <w:sz w:val="18"/>
          <w:szCs w:val="18"/>
          <w:u w:val="single" w:color="auto"/>
          <w:color w:val="FF0000"/>
          <w:strike w:val="1"/>
        </w:rPr>
        <w:t>Liability</w:t>
      </w:r>
      <w:r>
        <w:rPr>
          <w:rFonts w:ascii="Times New Roman" w:cs="Times New Roman" w:eastAsia="Times New Roman" w:hAnsi="Times New Roman"/>
          <w:sz w:val="18"/>
          <w:szCs w:val="18"/>
          <w:color w:val="FF0000"/>
          <w:strike w:val="1"/>
        </w:rPr>
        <w:t xml:space="preserve">. To the fullest extent permitted by law, no stockholder and no Director will be liable to the Corporation or its subsidiaries or stockholders for breach of any duty solely by reason of any activities or omissions of the types referred to in this </w:t>
      </w:r>
      <w:r>
        <w:rPr>
          <w:rFonts w:ascii="Times New Roman" w:cs="Times New Roman" w:eastAsia="Times New Roman" w:hAnsi="Times New Roman"/>
          <w:sz w:val="18"/>
          <w:szCs w:val="18"/>
          <w:u w:val="single" w:color="auto"/>
          <w:color w:val="FF0000"/>
          <w:strike w:val="1"/>
        </w:rPr>
        <w:t>Article X</w:t>
      </w:r>
      <w:r>
        <w:rPr>
          <w:rFonts w:ascii="Times New Roman" w:cs="Times New Roman" w:eastAsia="Times New Roman" w:hAnsi="Times New Roman"/>
          <w:sz w:val="18"/>
          <w:szCs w:val="18"/>
          <w:color w:val="FF0000"/>
          <w:strike w:val="1"/>
        </w:rPr>
        <w:t xml:space="preserve">, except to the extent such actions or omissions are in breach of this </w:t>
      </w:r>
      <w:r>
        <w:rPr>
          <w:rFonts w:ascii="Times New Roman" w:cs="Times New Roman" w:eastAsia="Times New Roman" w:hAnsi="Times New Roman"/>
          <w:sz w:val="18"/>
          <w:szCs w:val="18"/>
          <w:u w:val="single" w:color="auto"/>
          <w:color w:val="FF0000"/>
          <w:strike w:val="1"/>
        </w:rPr>
        <w:t>Article X</w:t>
      </w:r>
      <w:r>
        <w:rPr>
          <w:rFonts w:ascii="Times New Roman" w:cs="Times New Roman" w:eastAsia="Times New Roman" w:hAnsi="Times New Roman"/>
          <w:sz w:val="18"/>
          <w:szCs w:val="18"/>
          <w:color w:val="FF0000"/>
          <w:strike w:val="1"/>
        </w:rPr>
        <w:t>.</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B-10</w:t>
      </w:r>
    </w:p>
    <w:p>
      <w:pPr>
        <w:spacing w:after="0" w:line="383" w:lineRule="exact"/>
        <w:rPr>
          <w:sz w:val="20"/>
          <w:szCs w:val="20"/>
          <w:color w:val="auto"/>
        </w:rPr>
      </w:pPr>
    </w:p>
    <w:p>
      <w:pPr>
        <w:jc w:val="center"/>
        <w:ind w:left="1200" w:right="440"/>
        <w:spacing w:after="0" w:line="270" w:lineRule="auto"/>
        <w:rPr>
          <w:sz w:val="20"/>
          <w:szCs w:val="20"/>
          <w:color w:val="auto"/>
        </w:rPr>
      </w:pPr>
      <w:r>
        <w:rPr>
          <w:rFonts w:ascii="Arial" w:cs="Arial" w:eastAsia="Arial" w:hAnsi="Arial"/>
          <w:sz w:val="20"/>
          <w:szCs w:val="20"/>
          <w:b w:val="1"/>
          <w:bCs w:val="1"/>
          <w:color w:val="FF0000"/>
          <w:strike w:val="1"/>
        </w:rPr>
        <w:t>TWELFTH</w:t>
      </w:r>
      <w:r>
        <w:rPr>
          <w:rFonts w:ascii="Arial" w:cs="Arial" w:eastAsia="Arial" w:hAnsi="Arial"/>
          <w:sz w:val="20"/>
          <w:szCs w:val="20"/>
          <w:b w:val="1"/>
          <w:bCs w:val="1"/>
          <w:color w:val="FF0000"/>
        </w:rPr>
        <w:t xml:space="preserve"> </w:t>
      </w:r>
      <w:r>
        <w:rPr>
          <w:rFonts w:ascii="Arial" w:cs="Arial" w:eastAsia="Arial" w:hAnsi="Arial"/>
          <w:sz w:val="20"/>
          <w:szCs w:val="20"/>
          <w:b w:val="1"/>
          <w:bCs w:val="1"/>
          <w:u w:val="single" w:color="auto"/>
          <w:color w:val="0000FF"/>
        </w:rPr>
        <w:t>THIRTEENTH</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00"/>
        </w:rPr>
        <w:t>AMENDED AND RESTATED CERTIFICATE OF INCORPORATION OF</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00"/>
        </w:rPr>
        <w:t>RENT THE RUNWAY, INC.</w:t>
      </w:r>
    </w:p>
    <w:p>
      <w:pPr>
        <w:spacing w:after="0" w:line="55" w:lineRule="exact"/>
        <w:rPr>
          <w:sz w:val="20"/>
          <w:szCs w:val="20"/>
          <w:color w:val="auto"/>
        </w:rPr>
      </w:pPr>
    </w:p>
    <w:p>
      <w:pPr>
        <w:ind w:left="20" w:firstLine="360"/>
        <w:spacing w:after="0" w:line="282" w:lineRule="auto"/>
        <w:rPr>
          <w:sz w:val="20"/>
          <w:szCs w:val="20"/>
          <w:color w:val="auto"/>
        </w:rPr>
      </w:pPr>
      <w:r>
        <w:rPr>
          <w:rFonts w:ascii="Times New Roman" w:cs="Times New Roman" w:eastAsia="Times New Roman" w:hAnsi="Times New Roman"/>
          <w:sz w:val="18"/>
          <w:szCs w:val="18"/>
          <w:color w:val="auto"/>
        </w:rPr>
        <w:t>Rent the Runway, Inc., a corporation organized and existing under the laws of the State of Delaware, hereby certifies as follows:</w:t>
      </w:r>
    </w:p>
    <w:p>
      <w:pPr>
        <w:spacing w:after="0" w:line="54" w:lineRule="exact"/>
        <w:rPr>
          <w:sz w:val="20"/>
          <w:szCs w:val="20"/>
          <w:color w:val="auto"/>
        </w:rPr>
      </w:pPr>
    </w:p>
    <w:p>
      <w:pPr>
        <w:ind w:left="20" w:firstLine="361"/>
        <w:spacing w:after="0" w:line="282" w:lineRule="auto"/>
        <w:tabs>
          <w:tab w:leader="none" w:pos="5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originally incorporated pursuant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on March 3, 2009, under the name Rent the Runway, Inc.</w:t>
      </w:r>
    </w:p>
    <w:p>
      <w:pPr>
        <w:spacing w:after="0" w:line="53" w:lineRule="exact"/>
        <w:rPr>
          <w:rFonts w:ascii="Times New Roman" w:cs="Times New Roman" w:eastAsia="Times New Roman" w:hAnsi="Times New Roman"/>
          <w:sz w:val="18"/>
          <w:szCs w:val="18"/>
          <w:color w:val="auto"/>
        </w:rPr>
      </w:pPr>
    </w:p>
    <w:p>
      <w:pPr>
        <w:jc w:val="both"/>
        <w:ind w:left="20" w:firstLine="361"/>
        <w:spacing w:after="0" w:line="258" w:lineRule="auto"/>
        <w:tabs>
          <w:tab w:leader="none" w:pos="5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is filing this </w:t>
      </w:r>
      <w:r>
        <w:rPr>
          <w:rFonts w:ascii="Times New Roman" w:cs="Times New Roman" w:eastAsia="Times New Roman" w:hAnsi="Times New Roman"/>
          <w:sz w:val="18"/>
          <w:szCs w:val="18"/>
          <w:color w:val="FF0000"/>
          <w:strike w:val="1"/>
        </w:rPr>
        <w:t>Twelfth</w:t>
      </w:r>
      <w:r>
        <w:rPr>
          <w:rFonts w:ascii="Times New Roman" w:cs="Times New Roman" w:eastAsia="Times New Roman" w:hAnsi="Times New Roman"/>
          <w:sz w:val="18"/>
          <w:szCs w:val="18"/>
          <w:u w:val="single" w:color="auto"/>
          <w:color w:val="0000FF"/>
        </w:rPr>
        <w:t>Thirteenth</w:t>
      </w:r>
      <w:r>
        <w:rPr>
          <w:rFonts w:ascii="Times New Roman" w:cs="Times New Roman" w:eastAsia="Times New Roman" w:hAnsi="Times New Roman"/>
          <w:sz w:val="18"/>
          <w:szCs w:val="18"/>
          <w:color w:val="auto"/>
        </w:rPr>
        <w:t xml:space="preserve"> Amended and Restated Certificate of Incorporation of the 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xml:space="preserve">”), which restates, integrates and further amends the </w:t>
      </w:r>
      <w:r>
        <w:rPr>
          <w:rFonts w:ascii="Times New Roman" w:cs="Times New Roman" w:eastAsia="Times New Roman" w:hAnsi="Times New Roman"/>
          <w:sz w:val="18"/>
          <w:szCs w:val="18"/>
          <w:color w:val="FF0000"/>
          <w:strike w:val="1"/>
        </w:rPr>
        <w:t>Eleventh</w:t>
      </w:r>
      <w:r>
        <w:rPr>
          <w:rFonts w:ascii="Times New Roman" w:cs="Times New Roman" w:eastAsia="Times New Roman" w:hAnsi="Times New Roman"/>
          <w:sz w:val="18"/>
          <w:szCs w:val="18"/>
          <w:u w:val="single" w:color="auto"/>
          <w:color w:val="0000FF"/>
        </w:rPr>
        <w:t>Twelfth</w:t>
      </w:r>
      <w:r>
        <w:rPr>
          <w:rFonts w:ascii="Times New Roman" w:cs="Times New Roman" w:eastAsia="Times New Roman" w:hAnsi="Times New Roman"/>
          <w:sz w:val="18"/>
          <w:szCs w:val="18"/>
          <w:color w:val="auto"/>
        </w:rPr>
        <w:t xml:space="preserve"> Amended and Restated Certificate of Incorporation, as heretofore amended (the “</w:t>
      </w:r>
      <w:r>
        <w:rPr>
          <w:rFonts w:ascii="Times New Roman" w:cs="Times New Roman" w:eastAsia="Times New Roman" w:hAnsi="Times New Roman"/>
          <w:sz w:val="18"/>
          <w:szCs w:val="18"/>
          <w:b w:val="1"/>
          <w:bCs w:val="1"/>
          <w:i w:val="1"/>
          <w:iCs w:val="1"/>
          <w:color w:val="auto"/>
        </w:rPr>
        <w:t>Prior Certificate</w:t>
      </w:r>
      <w:r>
        <w:rPr>
          <w:rFonts w:ascii="Times New Roman" w:cs="Times New Roman" w:eastAsia="Times New Roman" w:hAnsi="Times New Roman"/>
          <w:sz w:val="18"/>
          <w:szCs w:val="18"/>
          <w:color w:val="auto"/>
        </w:rPr>
        <w:t>”), and which was duly adopted by all necessary action of the Board of Directors of the Corporation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and the stockholders of the Corporation in accordance with the provisions of Sections 242</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245 </w:t>
      </w:r>
      <w:r>
        <w:rPr>
          <w:rFonts w:ascii="Times New Roman" w:cs="Times New Roman" w:eastAsia="Times New Roman" w:hAnsi="Times New Roman"/>
          <w:sz w:val="18"/>
          <w:szCs w:val="18"/>
          <w:color w:val="FF0000"/>
          <w:strike w:val="1"/>
        </w:rPr>
        <w:t>and 228</w:t>
      </w:r>
      <w:r>
        <w:rPr>
          <w:rFonts w:ascii="Times New Roman" w:cs="Times New Roman" w:eastAsia="Times New Roman" w:hAnsi="Times New Roman"/>
          <w:sz w:val="18"/>
          <w:szCs w:val="18"/>
          <w:color w:val="auto"/>
        </w:rPr>
        <w:t xml:space="preserve"> of the DGCL.</w:t>
      </w:r>
    </w:p>
    <w:p>
      <w:pPr>
        <w:spacing w:after="0" w:line="75" w:lineRule="exact"/>
        <w:rPr>
          <w:rFonts w:ascii="Times New Roman" w:cs="Times New Roman" w:eastAsia="Times New Roman" w:hAnsi="Times New Roman"/>
          <w:sz w:val="18"/>
          <w:szCs w:val="18"/>
          <w:color w:val="auto"/>
        </w:rPr>
      </w:pPr>
    </w:p>
    <w:p>
      <w:pPr>
        <w:ind w:left="20" w:firstLine="361"/>
        <w:spacing w:after="0" w:line="282" w:lineRule="auto"/>
        <w:tabs>
          <w:tab w:leader="none" w:pos="5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Prior Certificate is hereby amended and restated in its entirety by this Certificate of Incorporation to read in full as follows: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name of the corporation is Rent the Runway,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II.</w:t>
      </w:r>
    </w:p>
    <w:p>
      <w:pPr>
        <w:spacing w:after="0" w:line="99" w:lineRule="exact"/>
        <w:rPr>
          <w:sz w:val="20"/>
          <w:szCs w:val="20"/>
          <w:color w:val="auto"/>
        </w:rPr>
      </w:pPr>
    </w:p>
    <w:p>
      <w:pPr>
        <w:jc w:val="both"/>
        <w:ind w:left="20" w:firstLine="36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 Wilmington, County of New Castle, Delaware 19801 and its registered agent at such address is The Corporation Trust Company.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III.</w:t>
      </w:r>
    </w:p>
    <w:p>
      <w:pPr>
        <w:spacing w:after="0" w:line="99"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Purposes</w:t>
      </w:r>
      <w:r>
        <w:rPr>
          <w:rFonts w:ascii="Times New Roman" w:cs="Times New Roman" w:eastAsia="Times New Roman" w:hAnsi="Times New Roman"/>
          <w:sz w:val="18"/>
          <w:szCs w:val="18"/>
          <w:color w:val="auto"/>
        </w:rPr>
        <w:t>. The nature of the business of the Corporation and the objects or purposes to be transacted, promoted or carried on by the Corporation is to engage in any lawful act or activity for which corporations may be organized under the DGCL, including, without limitation, (i) exercising all rights, powers, privileges and other incidents of ownership or possession with respect to the Corporation’s assets, including managing, holding, selling and disposing of such assets and (ii) engaging in any other activities incidental or ancillary thereto.</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IV.</w:t>
      </w:r>
    </w:p>
    <w:p>
      <w:pPr>
        <w:spacing w:after="0" w:line="99"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18"/>
          <w:szCs w:val="18"/>
          <w:color w:val="FF0000"/>
          <w:strike w:val="1"/>
        </w:rPr>
        <w:t xml:space="preserve">Section 4.1 </w:t>
      </w:r>
      <w:r>
        <w:rPr>
          <w:rFonts w:ascii="Times New Roman" w:cs="Times New Roman" w:eastAsia="Times New Roman" w:hAnsi="Times New Roman"/>
          <w:sz w:val="18"/>
          <w:szCs w:val="18"/>
          <w:u w:val="single" w:color="auto"/>
          <w:color w:val="FF0000"/>
          <w:strike w:val="1"/>
        </w:rPr>
        <w:t>Authorized Stock</w:t>
      </w:r>
      <w:r>
        <w:rPr>
          <w:rFonts w:ascii="Times New Roman" w:cs="Times New Roman" w:eastAsia="Times New Roman" w:hAnsi="Times New Roman"/>
          <w:sz w:val="18"/>
          <w:szCs w:val="18"/>
          <w:color w:val="FF0000"/>
          <w:strike w:val="1"/>
        </w:rPr>
        <w:t>. That, effective as of 5 p.m. Eastern Time on the date this Certificate of Amendment of Amended and Restated Certificate of Incorporation is filed with the Office of the Secretary of State of the State of Delaware (the “Effective Time”), a one for 20 reverse stock split of the Corporation’s Class A Common Stock (as defined below) and Class B Common Stock (as defined below) shall become effective, pursuant to which: (i) each 20 shares of Class A Common Stock outstanding and held of record by each stockholder of the Corporation (including treasury shares) immediately prior to the Effective Time shall be reclassified and combined into one validly issued, fully paid and nonassessable share of Class A Common Stock automatically and without any action by the holder thereof upon the Effective Time and shall represent one share of Class A Common Stock from and after the Effective Time and (ii) each 20 shares of Class B Common Stock outstanding and held of record by each stockholder of the Corporation (including treasury shares) immediately prior to the Effective Time shall be reclassified and combined into one validly issued, fully paid and nonassessable share of Class B Common Stock automatically and without any action by the holder thereof upon the Effective Time and shall represent one share of Class B Common Stock from and after the Effective Time (such reclassification and combination of shares, the “Reverse Stock Split”). The par value of the Class A Common Stock and Class B Common Stock following the Reverse Stock Split shall remain at $0.001 per share. No fractional shares of Class A Common Stock and Class B Common Stock shall be issued as a result of the Reverse Stock Split. In lieu thereof, (i) with respect to holders of one or more certificates which formerly represented shares of Class A Common Stock or Class B Common Stock that were issued and outstanding immediately prior to the Effective Time, upon surrender after the Effective Time of such certificate or certificates, any holder who would otherwise be entitled to a fractional share of Class A Common Stock or Class B Common Stock as a result of the Reverse Stock Split, following the Effective Time, shall be entitled to receive a cash payment (the “Fractional Share Payment”) equal to the fraction of which such holder would otherwise be entitled multiplied by the closing price per share as reported by The Nasdaq Stock Market LLC (as adjusted to give effect to the Reverse Stock Split) on the date</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FF0000"/>
          <w:strike w:val="1"/>
        </w:rPr>
        <w:t>of the Effective Time; provided that, whether or not fractional shares would be issuable as a result of the Reverse Stock Split shall be determined on the basis of (a) the total number of shares of Class A Common Stock or Class B Common Stock that were issued and outstanding immediately prior to the Effective Time formerly represented by certificates that the holder is at the time surrendering and (b) the aggregate number of shares of Class A Common Stock or Class B Common Stock after the Effective Time into which the shares of Common Stock formerly represented by such certificates shall have been reclassified; and (ii) with respect to holders of shares of Class A Common Stock or Class B Common Stock in book entry form in the records of the Company’s transfer agent that were issued and outstanding immediately prior to the Effective Time, any holder who would otherwise be entitled to a fractional share of Common Stock as a result of the Reverse Stock Split, following the Effective Time, shall be entitled to receive the Fractional Share Payment automatically and without any action by the holder.</w:t>
      </w:r>
    </w:p>
    <w:p>
      <w:pPr>
        <w:spacing w:after="0" w:line="80" w:lineRule="exact"/>
        <w:rPr>
          <w:sz w:val="20"/>
          <w:szCs w:val="20"/>
          <w:color w:val="auto"/>
        </w:rPr>
      </w:pPr>
    </w:p>
    <w:p>
      <w:pPr>
        <w:jc w:val="both"/>
        <w:ind w:left="20" w:firstLine="360"/>
        <w:spacing w:after="0" w:line="261" w:lineRule="auto"/>
        <w:rPr>
          <w:sz w:val="20"/>
          <w:szCs w:val="20"/>
          <w:color w:val="auto"/>
        </w:rPr>
      </w:pPr>
      <w:r>
        <w:rPr>
          <w:rFonts w:ascii="Times New Roman" w:cs="Times New Roman" w:eastAsia="Times New Roman" w:hAnsi="Times New Roman"/>
          <w:sz w:val="18"/>
          <w:szCs w:val="18"/>
          <w:u w:val="single" w:color="auto"/>
          <w:color w:val="0000FF"/>
        </w:rPr>
        <w:t>Section 4.1 Authorized Stock.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total number of shares of all classes of stock that the Corporation is authorized to issue 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three hundred </w:t>
      </w:r>
      <w:r>
        <w:rPr>
          <w:rFonts w:ascii="Times New Roman" w:cs="Times New Roman" w:eastAsia="Times New Roman" w:hAnsi="Times New Roman"/>
          <w:sz w:val="18"/>
          <w:szCs w:val="18"/>
          <w:color w:val="FF0000"/>
          <w:strike w:val="1"/>
        </w:rPr>
        <w:t>and sixty</w:t>
      </w:r>
      <w:r>
        <w:rPr>
          <w:rFonts w:ascii="Times New Roman" w:cs="Times New Roman" w:eastAsia="Times New Roman" w:hAnsi="Times New Roman"/>
          <w:sz w:val="18"/>
          <w:szCs w:val="18"/>
          <w:color w:val="000000"/>
        </w:rPr>
        <w:t xml:space="preserve"> million (</w:t>
      </w:r>
      <w:r>
        <w:rPr>
          <w:rFonts w:ascii="Times New Roman" w:cs="Times New Roman" w:eastAsia="Times New Roman" w:hAnsi="Times New Roman"/>
          <w:sz w:val="18"/>
          <w:szCs w:val="18"/>
          <w:color w:val="FF0000"/>
          <w:strike w:val="1"/>
        </w:rPr>
        <w:t>360,000,000</w:t>
      </w:r>
      <w:r>
        <w:rPr>
          <w:rFonts w:ascii="Times New Roman" w:cs="Times New Roman" w:eastAsia="Times New Roman" w:hAnsi="Times New Roman"/>
          <w:sz w:val="18"/>
          <w:szCs w:val="18"/>
          <w:u w:val="single" w:color="auto"/>
          <w:color w:val="0000FF"/>
        </w:rPr>
        <w:t>300,000,000</w:t>
      </w:r>
      <w:r>
        <w:rPr>
          <w:rFonts w:ascii="Times New Roman" w:cs="Times New Roman" w:eastAsia="Times New Roman" w:hAnsi="Times New Roman"/>
          <w:sz w:val="18"/>
          <w:szCs w:val="18"/>
          <w:color w:val="000000"/>
        </w:rPr>
        <w:t>), consisting of</w:t>
      </w:r>
      <w:r>
        <w:rPr>
          <w:rFonts w:ascii="Times New Roman" w:cs="Times New Roman" w:eastAsia="Times New Roman" w:hAnsi="Times New Roman"/>
          <w:sz w:val="18"/>
          <w:szCs w:val="18"/>
          <w:color w:val="FF0000"/>
          <w:strike w:val="1"/>
        </w:rPr>
        <w:t>:</w:t>
      </w:r>
    </w:p>
    <w:p>
      <w:pPr>
        <w:jc w:val="both"/>
        <w:ind w:left="20" w:firstLine="360"/>
        <w:spacing w:after="0" w:line="260" w:lineRule="auto"/>
        <w:rPr>
          <w:sz w:val="20"/>
          <w:szCs w:val="20"/>
          <w:color w:val="auto"/>
        </w:rPr>
      </w:pPr>
      <w:r>
        <w:rPr>
          <w:rFonts w:ascii="Times New Roman" w:cs="Times New Roman" w:eastAsia="Times New Roman" w:hAnsi="Times New Roman"/>
          <w:sz w:val="18"/>
          <w:szCs w:val="18"/>
          <w:u w:val="single" w:color="auto"/>
          <w:color w:val="0000FF"/>
        </w:rPr>
        <w:t>three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 Three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hundred million (300,000,000) shares of Class A common stock, with a par value of $0.001 per share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Class A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 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p>
    <w:p>
      <w:pPr>
        <w:spacing w:after="0" w:line="69" w:lineRule="exact"/>
        <w:rPr>
          <w:sz w:val="20"/>
          <w:szCs w:val="20"/>
          <w:color w:val="auto"/>
        </w:rPr>
      </w:pPr>
    </w:p>
    <w:p>
      <w:pPr>
        <w:ind w:left="20" w:firstLine="721"/>
        <w:spacing w:after="0" w:line="286" w:lineRule="auto"/>
        <w:tabs>
          <w:tab w:leader="none" w:pos="1023" w:val="left"/>
        </w:tabs>
        <w:numPr>
          <w:ilvl w:val="0"/>
          <w:numId w:val="5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Fifty million (50,000,000) shares of Class B common stock, with a par value of $0.001</w:t>
      </w:r>
      <w:r>
        <w:rPr>
          <w:rFonts w:ascii="Times New Roman" w:cs="Times New Roman" w:eastAsia="Times New Roman" w:hAnsi="Times New Roman"/>
          <w:sz w:val="18"/>
          <w:szCs w:val="18"/>
          <w:color w:val="FF0000"/>
        </w:rPr>
        <w:t xml:space="preserve"> per share (the “</w:t>
      </w:r>
      <w:r>
        <w:rPr>
          <w:rFonts w:ascii="Times New Roman" w:cs="Times New Roman" w:eastAsia="Times New Roman" w:hAnsi="Times New Roman"/>
          <w:sz w:val="18"/>
          <w:szCs w:val="18"/>
          <w:b w:val="1"/>
          <w:bCs w:val="1"/>
          <w:i w:val="1"/>
          <w:iCs w:val="1"/>
          <w:color w:val="FF0000"/>
        </w:rPr>
        <w:t>Class 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i w:val="1"/>
          <w:iCs w:val="1"/>
          <w:color w:val="FF0000"/>
        </w:rPr>
        <w:t>Common Stock</w:t>
      </w:r>
      <w:r>
        <w:rPr>
          <w:rFonts w:ascii="Times New Roman" w:cs="Times New Roman" w:eastAsia="Times New Roman" w:hAnsi="Times New Roman"/>
          <w:sz w:val="18"/>
          <w:szCs w:val="18"/>
          <w:color w:val="FF0000"/>
        </w:rPr>
        <w:t>”, and together with the Class A Common Stock, the “</w:t>
      </w:r>
      <w:r>
        <w:rPr>
          <w:rFonts w:ascii="Times New Roman" w:cs="Times New Roman" w:eastAsia="Times New Roman" w:hAnsi="Times New Roman"/>
          <w:sz w:val="18"/>
          <w:szCs w:val="18"/>
          <w:b w:val="1"/>
          <w:bCs w:val="1"/>
          <w:i w:val="1"/>
          <w:iCs w:val="1"/>
          <w:color w:val="FF0000"/>
        </w:rPr>
        <w:t xml:space="preserve">Common </w:t>
      </w:r>
      <w:r>
        <w:rPr>
          <w:rFonts w:ascii="Times New Roman" w:cs="Times New Roman" w:eastAsia="Times New Roman" w:hAnsi="Times New Roman"/>
          <w:sz w:val="18"/>
          <w:szCs w:val="18"/>
          <w:b w:val="1"/>
          <w:bCs w:val="1"/>
          <w:i w:val="1"/>
          <w:iCs w:val="1"/>
          <w:color w:val="FF0000"/>
          <w:strike w:val="1"/>
        </w:rPr>
        <w:t>Stock</w:t>
      </w:r>
      <w:r>
        <w:rPr>
          <w:rFonts w:ascii="Times New Roman" w:cs="Times New Roman" w:eastAsia="Times New Roman" w:hAnsi="Times New Roman"/>
          <w:sz w:val="18"/>
          <w:szCs w:val="18"/>
          <w:color w:val="FF0000"/>
          <w:strike w:val="1"/>
        </w:rPr>
        <w:t>”).</w:t>
      </w:r>
    </w:p>
    <w:p>
      <w:pPr>
        <w:spacing w:after="0" w:line="87" w:lineRule="exact"/>
        <w:rPr>
          <w:rFonts w:ascii="Times New Roman" w:cs="Times New Roman" w:eastAsia="Times New Roman" w:hAnsi="Times New Roman"/>
          <w:sz w:val="18"/>
          <w:szCs w:val="18"/>
          <w:color w:val="FF0000"/>
          <w:strike w:val="1"/>
        </w:rPr>
      </w:pPr>
    </w:p>
    <w:p>
      <w:pPr>
        <w:ind w:left="980" w:hanging="239"/>
        <w:spacing w:after="0"/>
        <w:tabs>
          <w:tab w:leader="none" w:pos="980" w:val="left"/>
        </w:tabs>
        <w:numPr>
          <w:ilvl w:val="0"/>
          <w:numId w:val="5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ten million (10,000,000) shares of preferred stock, with a par value of $0.001 per share (the “</w:t>
      </w:r>
      <w:r>
        <w:rPr>
          <w:rFonts w:ascii="Times New Roman" w:cs="Times New Roman" w:eastAsia="Times New Roman" w:hAnsi="Times New Roman"/>
          <w:sz w:val="18"/>
          <w:szCs w:val="18"/>
          <w:b w:val="1"/>
          <w:bCs w:val="1"/>
          <w:i w:val="1"/>
          <w:iCs w:val="1"/>
          <w:color w:val="FF0000"/>
          <w:strike w:val="1"/>
        </w:rPr>
        <w:t>Preferred Stock</w:t>
      </w:r>
      <w:r>
        <w:rPr>
          <w:rFonts w:ascii="Times New Roman" w:cs="Times New Roman" w:eastAsia="Times New Roman" w:hAnsi="Times New Roman"/>
          <w:sz w:val="18"/>
          <w:szCs w:val="18"/>
          <w:color w:val="FF0000"/>
          <w:strike w:val="1"/>
        </w:rPr>
        <w:t>”).</w:t>
      </w:r>
    </w:p>
    <w:p>
      <w:pPr>
        <w:spacing w:after="0" w:line="121" w:lineRule="exact"/>
        <w:rPr>
          <w:sz w:val="20"/>
          <w:szCs w:val="20"/>
          <w:color w:val="auto"/>
        </w:rPr>
      </w:pPr>
    </w:p>
    <w:p>
      <w:pPr>
        <w:jc w:val="both"/>
        <w:ind w:left="20" w:firstLine="360"/>
        <w:spacing w:after="0" w:line="254" w:lineRule="auto"/>
        <w:rPr>
          <w:sz w:val="20"/>
          <w:szCs w:val="20"/>
          <w:color w:val="auto"/>
        </w:rPr>
      </w:pPr>
      <w:r>
        <w:rPr>
          <w:rFonts w:ascii="Times New Roman" w:cs="Times New Roman" w:eastAsia="Times New Roman" w:hAnsi="Times New Roman"/>
          <w:sz w:val="18"/>
          <w:szCs w:val="18"/>
          <w:color w:val="FF0000"/>
          <w:strike w:val="1"/>
        </w:rPr>
        <w:t xml:space="preserve">Section 4.2 </w:t>
      </w:r>
      <w:r>
        <w:rPr>
          <w:rFonts w:ascii="Times New Roman" w:cs="Times New Roman" w:eastAsia="Times New Roman" w:hAnsi="Times New Roman"/>
          <w:sz w:val="18"/>
          <w:szCs w:val="18"/>
          <w:u w:val="single" w:color="auto"/>
          <w:color w:val="FF0000"/>
          <w:strike w:val="1"/>
        </w:rPr>
        <w:t>Reclassification of Common Stock</w:t>
      </w:r>
      <w:r>
        <w:rPr>
          <w:rFonts w:ascii="Times New Roman" w:cs="Times New Roman" w:eastAsia="Times New Roman" w:hAnsi="Times New Roman"/>
          <w:sz w:val="18"/>
          <w:szCs w:val="18"/>
          <w:color w:val="FF0000"/>
          <w:strike w:val="1"/>
        </w:rPr>
        <w:t>. Upon the filing and effectiveness of this Certificate of Incorporation with the Secretary of State of the State of Delaware (the “</w:t>
      </w:r>
      <w:r>
        <w:rPr>
          <w:rFonts w:ascii="Times New Roman" w:cs="Times New Roman" w:eastAsia="Times New Roman" w:hAnsi="Times New Roman"/>
          <w:sz w:val="18"/>
          <w:szCs w:val="18"/>
          <w:b w:val="1"/>
          <w:bCs w:val="1"/>
          <w:i w:val="1"/>
          <w:iCs w:val="1"/>
          <w:color w:val="FF0000"/>
          <w:strike w:val="1"/>
        </w:rPr>
        <w:t>Effective Time</w:t>
      </w:r>
      <w:r>
        <w:rPr>
          <w:rFonts w:ascii="Times New Roman" w:cs="Times New Roman" w:eastAsia="Times New Roman" w:hAnsi="Times New Roman"/>
          <w:sz w:val="18"/>
          <w:szCs w:val="18"/>
          <w:color w:val="FF0000"/>
          <w:strike w:val="1"/>
        </w:rPr>
        <w:t>”), and without any further action required by the Corporation or its stockholders: (i) each share of Common Stock (as defined in the Prior Certificate) issued and outstanding or held in treasury, immediately prior to the Effective Time, shall be automatically reclassified into one validly issued, fully paid and non-assessable share of Class A Common Stock without any further action by the Corporation or the holder of any such share. Each stock certificate representing shares of Common Stock immediately prior to the Effective Time shall be cancelled without any further action required by the stockholders and the shares of Class A Common Stock into which the shares of Common Stock previously represented by such stock certificate have been reclassified pursuant to this Section 4.2 shall be uncertificated shares.</w:t>
      </w:r>
    </w:p>
    <w:p>
      <w:pPr>
        <w:spacing w:after="0" w:line="84"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18"/>
          <w:szCs w:val="18"/>
          <w:color w:val="FF0000"/>
          <w:strike w:val="1"/>
        </w:rPr>
        <w:t xml:space="preserve">Section 4.3 </w:t>
      </w:r>
      <w:r>
        <w:rPr>
          <w:rFonts w:ascii="Times New Roman" w:cs="Times New Roman" w:eastAsia="Times New Roman" w:hAnsi="Times New Roman"/>
          <w:sz w:val="18"/>
          <w:szCs w:val="18"/>
          <w:u w:val="single" w:color="auto"/>
          <w:color w:val="FF0000"/>
          <w:strike w:val="1"/>
        </w:rPr>
        <w:t>Blank Check Preferred Stock</w:t>
      </w:r>
      <w:r>
        <w:rPr>
          <w:rFonts w:ascii="Times New Roman" w:cs="Times New Roman" w:eastAsia="Times New Roman" w:hAnsi="Times New Roman"/>
          <w:sz w:val="18"/>
          <w:szCs w:val="18"/>
          <w:color w:val="FF0000"/>
          <w:strike w:val="1"/>
        </w:rPr>
        <w:t>. The Board of Directors is authorized, subject to any limitations prescribed by law, to provide, out of the unissued shares of Preferred Stock, for the issuance of shares of Preferred Stock in one or more series, and by filing a certificate pursuant to the applicable law of the State of Delaware (such certificate being hereinafter referred to as a “Preferred Stock Designation”),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or alter the dividend rights, dividend rates, conversion rights, exchange rights, voting powers (which may be full, limited or no voting power),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 and the number of shares constituting any such series, and the designation thereof, or any of them and to increase (but not above the total number of authorized shares of Preferred Stock) or decrease (but not below the number of shares of such series then outstanding) the number of shares of any series so created (except where otherwise provided in the Preferred Stock Designation), subsequent to the issue of that series. In case the authorized number of shares of any series shall be so decreased, the shares constituting such decrease shall resume the status which they had prior to the adoption of the resolution originally fixing the number of shares of such series. There shall be no limitation or restriction on any variation between any of the different series of Preferred Stock as to the designations, powers, preferences and relative, participating, optional or other special rights, and the qualifications, limitations or restrictions thereof; and the several series of Preferred Stock may vary in any and all respects as fixed and determined by the resolution or resolutions of the Board of Directors or by a committee of the Board of Directors, providing for the issuance of the various series of Preferred Stock. Except as otherwise required by law, holders of any series of Preferred Stock shall be entitled only to such voting rights, if any, as shall expressly be granted thereto by this Certificate of Incorporation (including any Preferred Stock Designation).</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Section 4.2 Class A Common Stock.</w:t>
      </w:r>
    </w:p>
    <w:p>
      <w:pPr>
        <w:spacing w:after="0" w:line="117" w:lineRule="exact"/>
        <w:rPr>
          <w:sz w:val="20"/>
          <w:szCs w:val="20"/>
          <w:color w:val="auto"/>
        </w:rPr>
      </w:pPr>
    </w:p>
    <w:p>
      <w:pPr>
        <w:jc w:val="both"/>
        <w:ind w:left="20" w:firstLine="360"/>
        <w:spacing w:after="0" w:line="255" w:lineRule="auto"/>
        <w:rPr>
          <w:sz w:val="20"/>
          <w:szCs w:val="20"/>
          <w:color w:val="auto"/>
        </w:rPr>
      </w:pPr>
      <w:r>
        <w:rPr>
          <w:rFonts w:ascii="Times New Roman" w:cs="Times New Roman" w:eastAsia="Times New Roman" w:hAnsi="Times New Roman"/>
          <w:sz w:val="18"/>
          <w:szCs w:val="18"/>
          <w:color w:val="FF0000"/>
          <w:strike w:val="1"/>
        </w:rPr>
        <w:t xml:space="preserve">Section 4.4 </w:t>
      </w:r>
      <w:r>
        <w:rPr>
          <w:rFonts w:ascii="Times New Roman" w:cs="Times New Roman" w:eastAsia="Times New Roman" w:hAnsi="Times New Roman"/>
          <w:sz w:val="18"/>
          <w:szCs w:val="18"/>
          <w:u w:val="single" w:color="auto"/>
          <w:color w:val="FF0000"/>
          <w:strike w:val="1"/>
        </w:rPr>
        <w:t>Number of Authorized Shares</w:t>
      </w:r>
      <w:r>
        <w:rPr>
          <w:rFonts w:ascii="Times New Roman" w:cs="Times New Roman" w:eastAsia="Times New Roman" w:hAnsi="Times New Roman"/>
          <w:sz w:val="18"/>
          <w:szCs w:val="18"/>
          <w:color w:val="FF0000"/>
          <w:strike w:val="1"/>
        </w:rPr>
        <w:t xml:space="preserve">. Notwithstanding </w:t>
      </w:r>
      <w:r>
        <w:rPr>
          <w:rFonts w:ascii="Times New Roman" w:cs="Times New Roman" w:eastAsia="Times New Roman" w:hAnsi="Times New Roman"/>
          <w:sz w:val="18"/>
          <w:szCs w:val="18"/>
          <w:u w:val="single" w:color="auto"/>
          <w:color w:val="FF0000"/>
          <w:strike w:val="1"/>
        </w:rPr>
        <w:t>Article VIII</w:t>
      </w:r>
      <w:r>
        <w:rPr>
          <w:rFonts w:ascii="Times New Roman" w:cs="Times New Roman" w:eastAsia="Times New Roman" w:hAnsi="Times New Roman"/>
          <w:sz w:val="18"/>
          <w:szCs w:val="18"/>
          <w:color w:val="FF0000"/>
          <w:strike w:val="1"/>
        </w:rPr>
        <w:t xml:space="preserve"> of this Certificate of Incorporation, the number of authorized shares of Class A Common Stock, Class B Common Stock, or Preferred Stock may be increased or decreased (but not below the number of shares thereof then outstanding) by the affirmative vote of the holders of a majority of the voting power of all of the outstanding shares of stock of the Corporation entitled to vote thereon, without a separate vote of any holders of shares of Class A Common Stock, Class B Common Stock or Preferred Stock, or of any series thereof, unless a separate vote of any such holders is required pursuant to the terms of any Preferred Stock Designation, irrespective of the provisions of Section 242(b)(2) of the DGCL.</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firstLine="360"/>
        <w:spacing w:after="0" w:line="266" w:lineRule="auto"/>
        <w:rPr>
          <w:sz w:val="20"/>
          <w:szCs w:val="20"/>
          <w:color w:val="auto"/>
        </w:rPr>
      </w:pPr>
      <w:r>
        <w:rPr>
          <w:rFonts w:ascii="Times New Roman" w:cs="Times New Roman" w:eastAsia="Times New Roman" w:hAnsi="Times New Roman"/>
          <w:sz w:val="18"/>
          <w:szCs w:val="18"/>
          <w:color w:val="FF0000"/>
          <w:strike w:val="1"/>
        </w:rPr>
        <w:t xml:space="preserve">Section 4.5 </w:t>
      </w:r>
      <w:r>
        <w:rPr>
          <w:rFonts w:ascii="Times New Roman" w:cs="Times New Roman" w:eastAsia="Times New Roman" w:hAnsi="Times New Roman"/>
          <w:sz w:val="18"/>
          <w:szCs w:val="18"/>
          <w:u w:val="single" w:color="auto"/>
          <w:color w:val="FF0000"/>
          <w:strike w:val="1"/>
        </w:rPr>
        <w:t>Class A Common Stock and Class B Common Stock</w:t>
      </w:r>
      <w:r>
        <w:rPr>
          <w:rFonts w:ascii="Times New Roman" w:cs="Times New Roman" w:eastAsia="Times New Roman" w:hAnsi="Times New Roman"/>
          <w:sz w:val="18"/>
          <w:szCs w:val="18"/>
          <w:color w:val="FF0000"/>
          <w:strike w:val="1"/>
        </w:rPr>
        <w:t>. Except as otherwise set forth herein, the powers, preferences and rights of the Class A Common Stock and the Class B Common Stock, and the qualifications, limitations or restrictions thereof shall be identical in all respects.</w:t>
      </w:r>
    </w:p>
    <w:p>
      <w:pPr>
        <w:spacing w:after="0" w:line="176" w:lineRule="exact"/>
        <w:rPr>
          <w:sz w:val="20"/>
          <w:szCs w:val="20"/>
          <w:color w:val="auto"/>
        </w:rPr>
      </w:pPr>
    </w:p>
    <w:p>
      <w:pPr>
        <w:ind w:left="980" w:hanging="239"/>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required by law,</w:t>
      </w:r>
    </w:p>
    <w:p>
      <w:pPr>
        <w:spacing w:after="0" w:line="117" w:lineRule="exact"/>
        <w:rPr>
          <w:rFonts w:ascii="Times New Roman" w:cs="Times New Roman" w:eastAsia="Times New Roman" w:hAnsi="Times New Roman"/>
          <w:sz w:val="18"/>
          <w:szCs w:val="18"/>
          <w:color w:val="auto"/>
        </w:rPr>
      </w:pPr>
    </w:p>
    <w:p>
      <w:pPr>
        <w:jc w:val="both"/>
        <w:ind w:left="20" w:firstLine="1081"/>
        <w:spacing w:after="0" w:line="266" w:lineRule="auto"/>
        <w:tabs>
          <w:tab w:leader="none" w:pos="1328" w:val="left"/>
        </w:tabs>
        <w:numPr>
          <w:ilvl w:val="1"/>
          <w:numId w:val="51"/>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Each share of Class A Common Stock shall entitle the record holder thereof as of the applicable record date to one (1) vote per share in person or by proxy on all matters submitted to a vote of the holders of Class A Common Stock, whether voting separately as a class or otherwise.</w:t>
      </w:r>
    </w:p>
    <w:p>
      <w:pPr>
        <w:spacing w:after="0" w:line="67" w:lineRule="exact"/>
        <w:rPr>
          <w:rFonts w:ascii="Times New Roman" w:cs="Times New Roman" w:eastAsia="Times New Roman" w:hAnsi="Times New Roman"/>
          <w:sz w:val="18"/>
          <w:szCs w:val="18"/>
          <w:color w:val="auto"/>
          <w:strike w:val="1"/>
        </w:rPr>
      </w:pPr>
    </w:p>
    <w:p>
      <w:pPr>
        <w:jc w:val="both"/>
        <w:ind w:left="20" w:firstLine="1081"/>
        <w:spacing w:after="0" w:line="266" w:lineRule="auto"/>
        <w:tabs>
          <w:tab w:leader="none" w:pos="1378" w:val="left"/>
        </w:tabs>
        <w:numPr>
          <w:ilvl w:val="1"/>
          <w:numId w:val="51"/>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FF0000"/>
          <w:strike w:val="1"/>
        </w:rPr>
        <w:t>Each share</w:t>
      </w:r>
      <w:r>
        <w:rPr>
          <w:rFonts w:ascii="Times New Roman" w:cs="Times New Roman" w:eastAsia="Times New Roman" w:hAnsi="Times New Roman"/>
          <w:sz w:val="18"/>
          <w:szCs w:val="18"/>
          <w:u w:val="single" w:color="auto"/>
          <w:color w:val="0000FF"/>
        </w:rPr>
        <w:t>The holders of shares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Class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Common Stock shall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entitle the record holder thereof as of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applicable record date to twenty (20) votes per share in person or by proxy</w:t>
      </w:r>
      <w:r>
        <w:rPr>
          <w:rFonts w:ascii="Times New Roman" w:cs="Times New Roman" w:eastAsia="Times New Roman" w:hAnsi="Times New Roman"/>
          <w:sz w:val="18"/>
          <w:szCs w:val="18"/>
          <w:u w:val="single" w:color="auto"/>
          <w:color w:val="0000FF"/>
        </w:rPr>
        <w:t>vote together as a single class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 all matters submitted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 vote of </w:t>
      </w:r>
      <w:r>
        <w:rPr>
          <w:rFonts w:ascii="Times New Roman" w:cs="Times New Roman" w:eastAsia="Times New Roman" w:hAnsi="Times New Roman"/>
          <w:sz w:val="18"/>
          <w:szCs w:val="18"/>
          <w:color w:val="FF0000"/>
          <w:strike w:val="1"/>
        </w:rPr>
        <w:t>the holders of Class B Common Stock, whether voting separately as a class or otherwise</w:t>
      </w:r>
      <w:r>
        <w:rPr>
          <w:rFonts w:ascii="Times New Roman" w:cs="Times New Roman" w:eastAsia="Times New Roman" w:hAnsi="Times New Roman"/>
          <w:sz w:val="18"/>
          <w:szCs w:val="18"/>
          <w:u w:val="single" w:color="auto"/>
          <w:color w:val="0000FF"/>
        </w:rPr>
        <w:t>stockholders of the Corporation</w:t>
      </w:r>
      <w:r>
        <w:rPr>
          <w:rFonts w:ascii="Times New Roman" w:cs="Times New Roman" w:eastAsia="Times New Roman" w:hAnsi="Times New Roman"/>
          <w:sz w:val="18"/>
          <w:szCs w:val="18"/>
          <w:color w:val="0000FF"/>
        </w:rPr>
        <w:t>.</w:t>
      </w:r>
    </w:p>
    <w:p>
      <w:pPr>
        <w:spacing w:after="0" w:line="67" w:lineRule="exact"/>
        <w:rPr>
          <w:rFonts w:ascii="Times New Roman" w:cs="Times New Roman" w:eastAsia="Times New Roman" w:hAnsi="Times New Roman"/>
          <w:sz w:val="18"/>
          <w:szCs w:val="18"/>
          <w:color w:val="auto"/>
          <w:strike w:val="1"/>
        </w:rPr>
      </w:pPr>
    </w:p>
    <w:p>
      <w:pPr>
        <w:jc w:val="both"/>
        <w:ind w:left="20" w:firstLine="1081"/>
        <w:spacing w:after="0" w:line="258" w:lineRule="auto"/>
        <w:tabs>
          <w:tab w:leader="none" w:pos="1430" w:val="left"/>
        </w:tabs>
        <w:numPr>
          <w:ilvl w:val="1"/>
          <w:numId w:val="5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Except as otherwise required in this Certificate of Incorporation as the same may be amended and/or restated from time to time, including by the filing of one or more Preferred Stock Designations or applicable law, the holders of shares of Class A Common Stock, and Class B Common Stock shall vote together as a single class (or, if any holders of shares of Preferred Stock are entitled to vote together with the holders of Class A Common Stock and Class B Common Stock, as a single class with such holders of Preferred Stock) on all matters submitted to a vote of stockholders of the Corporation.</w:t>
      </w:r>
    </w:p>
    <w:p>
      <w:pPr>
        <w:spacing w:after="0" w:line="75" w:lineRule="exact"/>
        <w:rPr>
          <w:rFonts w:ascii="Times New Roman" w:cs="Times New Roman" w:eastAsia="Times New Roman" w:hAnsi="Times New Roman"/>
          <w:sz w:val="18"/>
          <w:szCs w:val="18"/>
          <w:color w:val="FF0000"/>
          <w:strike w:val="1"/>
        </w:rPr>
      </w:pPr>
    </w:p>
    <w:p>
      <w:pPr>
        <w:jc w:val="both"/>
        <w:ind w:left="20" w:firstLine="721"/>
        <w:spacing w:after="0" w:line="252" w:lineRule="auto"/>
        <w:tabs>
          <w:tab w:leader="none" w:pos="9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Subject to applicable law, </w:t>
      </w:r>
      <w:r>
        <w:rPr>
          <w:rFonts w:ascii="Times New Roman" w:cs="Times New Roman" w:eastAsia="Times New Roman" w:hAnsi="Times New Roman"/>
          <w:sz w:val="18"/>
          <w:szCs w:val="18"/>
          <w:color w:val="FF0000"/>
          <w:strike w:val="1"/>
        </w:rPr>
        <w:t>and the rights, if any, of the holders of any outstanding series of 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or any class or series of stock having a preference over or the right to participate with the Class A Common Stock and Class B Common Stock with respect to the payment of dividends, </w:t>
      </w:r>
      <w:r>
        <w:rPr>
          <w:rFonts w:ascii="Times New Roman" w:cs="Times New Roman" w:eastAsia="Times New Roman" w:hAnsi="Times New Roman"/>
          <w:sz w:val="18"/>
          <w:szCs w:val="18"/>
          <w:color w:val="000000"/>
          <w:strike w:val="1"/>
        </w:rPr>
        <w:t>dividends may be declared and paid on the Class A</w:t>
      </w:r>
      <w:r>
        <w:rPr>
          <w:rFonts w:ascii="Times New Roman" w:cs="Times New Roman" w:eastAsia="Times New Roman" w:hAnsi="Times New Roman"/>
          <w:sz w:val="18"/>
          <w:szCs w:val="18"/>
          <w:color w:val="FF0000"/>
          <w:strike w:val="1"/>
        </w:rPr>
        <w:t xml:space="preserve"> Common Stock and Class B </w:t>
      </w:r>
      <w:r>
        <w:rPr>
          <w:rFonts w:ascii="Times New Roman" w:cs="Times New Roman" w:eastAsia="Times New Roman" w:hAnsi="Times New Roman"/>
          <w:sz w:val="18"/>
          <w:szCs w:val="18"/>
          <w:color w:val="000000"/>
          <w:strike w:val="1"/>
        </w:rPr>
        <w:t>Common Stock out of the assets or funds of the Corporation that are by law available therefor, at such times and in such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amounts as the Board of Directors in its discretion shall determine. </w:t>
      </w:r>
      <w:r>
        <w:rPr>
          <w:rFonts w:ascii="Times New Roman" w:cs="Times New Roman" w:eastAsia="Times New Roman" w:hAnsi="Times New Roman"/>
          <w:sz w:val="18"/>
          <w:szCs w:val="18"/>
          <w:color w:val="FF0000"/>
          <w:strike w:val="1"/>
        </w:rPr>
        <w:t>Dividends may not be declared or paid (x) on the Class A</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 xml:space="preserve">Common Stock unless a dividend of the same amount per share and same type of cash or property (or combination thereof) per share is concurrently declared or paid on the Class B Common Stock or (y) on the Class B Common Stock unless a dividend of the same amount per share and same type of cash or property (or combination thereof) per share is concurrently declared or paid on the Class A Common Stock;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 in the event any dividend is declared or paid in-kind in shares of Class A Common Stock or shares of Class B Common Stock (or rights to acquire such shares, or other securities exercisable, exchangeable or convertible into such shares), as applicable, then the holders of Class A Common Stock will be entitled to receive such dividends only in the form of shares of Class A Common Stock (or rights to acquire such shares, or other securities exercisable, exchangeable or convertible into such shares) and the holders of Class B Common Stock will be entitled to receive such dividend only in the form of shares of Class B Common Stock (or rights to acquire such shares, or other securities exercisable, exchangeable or convertible into such shares) (provided, any such dividend shall be required to be declared and paid at the same rate on the outstanding shares of (i) Class A Common Stock as it is on the outstanding shares of Class B Common Stock and (ii) Class B Common Stock as it is on the outstanding shares of Class A Common Stock).</w:t>
      </w:r>
    </w:p>
    <w:p>
      <w:pPr>
        <w:spacing w:after="0" w:line="85" w:lineRule="exact"/>
        <w:rPr>
          <w:rFonts w:ascii="Times New Roman" w:cs="Times New Roman" w:eastAsia="Times New Roman" w:hAnsi="Times New Roman"/>
          <w:sz w:val="18"/>
          <w:szCs w:val="18"/>
          <w:color w:val="auto"/>
        </w:rPr>
      </w:pPr>
    </w:p>
    <w:p>
      <w:pPr>
        <w:jc w:val="both"/>
        <w:ind w:left="20" w:firstLine="721"/>
        <w:spacing w:after="0" w:line="254" w:lineRule="auto"/>
        <w:tabs>
          <w:tab w:leader="none" w:pos="99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In the event of liquidation, dissolution or winding up of the affairs of the Corporation, whether voluntary or involuntary, after payment or provision for payment of the debts and other liabilities of the Corporation </w:t>
      </w:r>
      <w:r>
        <w:rPr>
          <w:rFonts w:ascii="Times New Roman" w:cs="Times New Roman" w:eastAsia="Times New Roman" w:hAnsi="Times New Roman"/>
          <w:sz w:val="18"/>
          <w:szCs w:val="18"/>
          <w:color w:val="FF0000"/>
        </w:rPr>
        <w:t>and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making provisions for preferential and other amounts, if any, to which the holders of Preferred Stock or any class or series of stock having a preference over or the right to participate with the Class A Common Stock and Class B Common Stock with respect to payments in liquidation shall be entitled</w:t>
      </w:r>
      <w:r>
        <w:rPr>
          <w:rFonts w:ascii="Times New Roman" w:cs="Times New Roman" w:eastAsia="Times New Roman" w:hAnsi="Times New Roman"/>
          <w:sz w:val="18"/>
          <w:szCs w:val="18"/>
          <w:color w:val="000000"/>
          <w:strike w:val="1"/>
        </w:rPr>
        <w:t>, the remaining assets and funds of the Corporation available for distribution shall be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divided among and paid ratably to the holders of all outstanding shares of </w:t>
      </w:r>
      <w:r>
        <w:rPr>
          <w:rFonts w:ascii="Times New Roman" w:cs="Times New Roman" w:eastAsia="Times New Roman" w:hAnsi="Times New Roman"/>
          <w:sz w:val="18"/>
          <w:szCs w:val="18"/>
          <w:u w:val="single" w:color="auto"/>
          <w:color w:val="0000FF"/>
          <w:strike w:val="1"/>
        </w:rPr>
        <w:t>Class A</w:t>
      </w:r>
      <w:r>
        <w:rPr>
          <w:rFonts w:ascii="Times New Roman" w:cs="Times New Roman" w:eastAsia="Times New Roman" w:hAnsi="Times New Roman"/>
          <w:sz w:val="18"/>
          <w:szCs w:val="18"/>
          <w:color w:val="000000"/>
          <w:strike w:val="1"/>
        </w:rPr>
        <w:t xml:space="preserve"> Common Stock in proportion to the number of shares held by each such stockholder. A consolidation, reorganization or merger of the Corporation with any other Person or Persons (as defined below), or a sale of all or substantially all of the assets of the Corporation, shall not be considered to be a dissolution, liquidation or winding up of the Corporation within the meaning of this </w:t>
      </w:r>
      <w:r>
        <w:rPr>
          <w:rFonts w:ascii="Times New Roman" w:cs="Times New Roman" w:eastAsia="Times New Roman" w:hAnsi="Times New Roman"/>
          <w:sz w:val="18"/>
          <w:szCs w:val="18"/>
          <w:u w:val="single" w:color="auto"/>
          <w:color w:val="000000"/>
          <w:strike w:val="1"/>
        </w:rPr>
        <w:t>Section</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FF0000"/>
          <w:strike w:val="1"/>
        </w:rPr>
        <w:t>4.5</w:t>
      </w:r>
      <w:r>
        <w:rPr>
          <w:rFonts w:ascii="Times New Roman" w:cs="Times New Roman" w:eastAsia="Times New Roman" w:hAnsi="Times New Roman"/>
          <w:sz w:val="18"/>
          <w:szCs w:val="18"/>
          <w:u w:val="single" w:color="auto"/>
          <w:color w:val="0000FF"/>
          <w:strike w:val="1"/>
        </w:rPr>
        <w:t>4.2</w:t>
      </w:r>
      <w:r>
        <w:rPr>
          <w:rFonts w:ascii="Times New Roman" w:cs="Times New Roman" w:eastAsia="Times New Roman" w:hAnsi="Times New Roman"/>
          <w:sz w:val="18"/>
          <w:szCs w:val="18"/>
          <w:color w:val="000000"/>
          <w:strike w:val="1"/>
        </w:rPr>
        <w:t>(c).</w:t>
      </w:r>
    </w:p>
    <w:p>
      <w:pPr>
        <w:spacing w:after="0" w:line="188" w:lineRule="exact"/>
        <w:rPr>
          <w:rFonts w:ascii="Times New Roman" w:cs="Times New Roman" w:eastAsia="Times New Roman" w:hAnsi="Times New Roman"/>
          <w:sz w:val="18"/>
          <w:szCs w:val="18"/>
          <w:color w:val="auto"/>
        </w:rPr>
      </w:pPr>
    </w:p>
    <w:p>
      <w:pPr>
        <w:ind w:left="1000" w:hanging="259"/>
        <w:spacing w:after="0"/>
        <w:tabs>
          <w:tab w:leader="none" w:pos="1000" w:val="left"/>
        </w:tabs>
        <w:numPr>
          <w:ilvl w:val="0"/>
          <w:numId w:val="51"/>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u w:val="single" w:color="auto"/>
          <w:color w:val="FF0000"/>
          <w:strike w:val="1"/>
        </w:rPr>
        <w:t>Adjustments for Stock Splits or Combinations</w:t>
      </w:r>
      <w:r>
        <w:rPr>
          <w:rFonts w:ascii="Times New Roman" w:cs="Times New Roman" w:eastAsia="Times New Roman" w:hAnsi="Times New Roman"/>
          <w:sz w:val="18"/>
          <w:szCs w:val="18"/>
          <w:color w:val="FF0000"/>
        </w:rPr>
        <w:t>.</w:t>
      </w:r>
    </w:p>
    <w:p>
      <w:pPr>
        <w:spacing w:after="0" w:line="117" w:lineRule="exact"/>
        <w:rPr>
          <w:rFonts w:ascii="Times New Roman" w:cs="Times New Roman" w:eastAsia="Times New Roman" w:hAnsi="Times New Roman"/>
          <w:sz w:val="18"/>
          <w:szCs w:val="18"/>
          <w:color w:val="FF0000"/>
        </w:rPr>
      </w:pPr>
    </w:p>
    <w:p>
      <w:pPr>
        <w:jc w:val="both"/>
        <w:ind w:left="20" w:firstLine="1081"/>
        <w:spacing w:after="0" w:line="255" w:lineRule="auto"/>
        <w:tabs>
          <w:tab w:leader="none" w:pos="1325" w:val="left"/>
        </w:tabs>
        <w:numPr>
          <w:ilvl w:val="1"/>
          <w:numId w:val="5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If at any time or from time to time after the Effective Time, the Corporation effects a subdivision or split of the outstanding shares of the Class A Common Stock into a greater number of shares of Class A Common Stock, the Corporation shall simultaneously effect an equivalent subdivision or split of the outstanding shares of Class B Common Stock into a greater number of shares of Class B Common Stock. If at any time or from time to time after the Effective Time, the Corporation effects a subdivision or split of the outstanding shares of the Class B Common Stock into a greater number of shares of Class B Common Stock, the Corporation shall simultaneously effect an equivalent subdivision or split of the outstanding shares of Class A Common Stock into a greater number of shares of Class A Common Stock.</w:t>
      </w:r>
    </w:p>
    <w:p>
      <w:pPr>
        <w:spacing w:after="0" w:line="80" w:lineRule="exact"/>
        <w:rPr>
          <w:rFonts w:ascii="Times New Roman" w:cs="Times New Roman" w:eastAsia="Times New Roman" w:hAnsi="Times New Roman"/>
          <w:sz w:val="18"/>
          <w:szCs w:val="18"/>
          <w:color w:val="FF0000"/>
          <w:strike w:val="1"/>
        </w:rPr>
      </w:pPr>
    </w:p>
    <w:p>
      <w:pPr>
        <w:jc w:val="both"/>
        <w:ind w:left="20" w:firstLine="1081"/>
        <w:spacing w:after="0" w:line="258" w:lineRule="auto"/>
        <w:tabs>
          <w:tab w:leader="none" w:pos="1397" w:val="left"/>
        </w:tabs>
        <w:numPr>
          <w:ilvl w:val="1"/>
          <w:numId w:val="5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If at any time or from time to time after the Effective Time, the Corporation effects a combination of the outstanding shares of the Class A Common Stock into a smaller number of shares of Class A Common Stock, the Corporation shall simultaneously effect an equivalent combination of the outstanding shares of Class B Common Stock into a smaller number of shares of Class B Common Stock. If at any time or from time to time after the Effective Time, the Corporation effects a combination of the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5581015</wp:posOffset>
            </wp:positionH>
            <wp:positionV relativeFrom="paragraph">
              <wp:posOffset>-3103245</wp:posOffset>
            </wp:positionV>
            <wp:extent cx="4654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5455" cy="8255"/>
                    </a:xfrm>
                    <a:prstGeom prst="rect">
                      <a:avLst/>
                    </a:prstGeom>
                    <a:noFill/>
                  </pic:spPr>
                </pic:pic>
              </a:graphicData>
            </a:graphic>
          </wp:anchor>
        </w:drawing>
      </w: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FF0000"/>
          <w:strike w:val="1"/>
        </w:rPr>
        <w:t>shares of the Class B Common Stock into a smaller number of shares of Class B Common Stock, the Corporation shall simultaneously effect an equivalent combination of the outstanding shares of Class A Common Stock into a smaller number of shares of Class A Common Stock.</w:t>
      </w:r>
    </w:p>
    <w:p>
      <w:pPr>
        <w:spacing w:after="0" w:line="68" w:lineRule="exact"/>
        <w:rPr>
          <w:sz w:val="20"/>
          <w:szCs w:val="20"/>
          <w:color w:val="auto"/>
        </w:rPr>
      </w:pPr>
    </w:p>
    <w:p>
      <w:pPr>
        <w:jc w:val="both"/>
        <w:ind w:left="20" w:firstLine="721"/>
        <w:spacing w:after="0" w:line="266" w:lineRule="auto"/>
        <w:tabs>
          <w:tab w:leader="none" w:pos="984" w:val="left"/>
        </w:tabs>
        <w:numPr>
          <w:ilvl w:val="0"/>
          <w:numId w:val="52"/>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u w:val="single" w:color="auto"/>
          <w:color w:val="FF0000"/>
          <w:strike w:val="1"/>
        </w:rPr>
        <w:t>Class B Common Stock</w:t>
      </w:r>
      <w:r>
        <w:rPr>
          <w:rFonts w:ascii="Times New Roman" w:cs="Times New Roman" w:eastAsia="Times New Roman" w:hAnsi="Times New Roman"/>
          <w:sz w:val="18"/>
          <w:szCs w:val="18"/>
          <w:color w:val="FF0000"/>
          <w:strike w:val="1"/>
        </w:rPr>
        <w:t>. From and after the Effective Time, shares of Class B Common Stock may be issued only to,</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and registered only in the name of any Key Holder and any Person in such Key Holder’s Permitted Ownership Group (any such Person, a “</w:t>
      </w:r>
      <w:r>
        <w:rPr>
          <w:rFonts w:ascii="Times New Roman" w:cs="Times New Roman" w:eastAsia="Times New Roman" w:hAnsi="Times New Roman"/>
          <w:sz w:val="18"/>
          <w:szCs w:val="18"/>
          <w:b w:val="1"/>
          <w:bCs w:val="1"/>
          <w:i w:val="1"/>
          <w:iCs w:val="1"/>
          <w:color w:val="FF0000"/>
          <w:strike w:val="1"/>
        </w:rPr>
        <w:t>Permitted Class B Holder</w:t>
      </w:r>
      <w:r>
        <w:rPr>
          <w:rFonts w:ascii="Times New Roman" w:cs="Times New Roman" w:eastAsia="Times New Roman" w:hAnsi="Times New Roman"/>
          <w:sz w:val="18"/>
          <w:szCs w:val="18"/>
          <w:color w:val="FF0000"/>
          <w:strike w:val="1"/>
        </w:rPr>
        <w:t>”).</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FF0000"/>
          <w:strike w:val="1"/>
        </w:rPr>
        <w:t>Section 4.6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Transfers of Class B Common Stock</w:t>
      </w:r>
      <w:r>
        <w:rPr>
          <w:rFonts w:ascii="Times New Roman" w:cs="Times New Roman" w:eastAsia="Times New Roman" w:hAnsi="Times New Roman"/>
          <w:sz w:val="18"/>
          <w:szCs w:val="18"/>
          <w:color w:val="FF0000"/>
        </w:rPr>
        <w:t>.</w:t>
      </w:r>
    </w:p>
    <w:p>
      <w:pPr>
        <w:spacing w:after="0" w:line="117" w:lineRule="exact"/>
        <w:rPr>
          <w:sz w:val="20"/>
          <w:szCs w:val="20"/>
          <w:color w:val="auto"/>
        </w:rPr>
      </w:pPr>
    </w:p>
    <w:p>
      <w:pPr>
        <w:jc w:val="both"/>
        <w:ind w:left="20" w:firstLine="721"/>
        <w:spacing w:after="0" w:line="261" w:lineRule="auto"/>
        <w:tabs>
          <w:tab w:leader="none" w:pos="994" w:val="left"/>
        </w:tabs>
        <w:numPr>
          <w:ilvl w:val="0"/>
          <w:numId w:val="5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 Permitted Class B Holder may surrender and transfer shares of such Class B Common Stock, as applicable, to the Corporation for cancellation for no consideration at any time. Following the surrender and transfer, or other acquisition, of any shares of Class B Common Stock to or by the Corporation, the Corporation shall take all actions necessary to cancel and retire such shares and such shares shall not be re-issued by the Corporation.</w:t>
      </w:r>
    </w:p>
    <w:p>
      <w:pPr>
        <w:spacing w:after="0" w:line="71" w:lineRule="exact"/>
        <w:rPr>
          <w:rFonts w:ascii="Times New Roman" w:cs="Times New Roman" w:eastAsia="Times New Roman" w:hAnsi="Times New Roman"/>
          <w:sz w:val="18"/>
          <w:szCs w:val="18"/>
          <w:color w:val="FF0000"/>
          <w:strike w:val="1"/>
        </w:rPr>
      </w:pPr>
    </w:p>
    <w:p>
      <w:pPr>
        <w:jc w:val="both"/>
        <w:ind w:left="20" w:firstLine="721"/>
        <w:spacing w:after="0" w:line="256" w:lineRule="auto"/>
        <w:tabs>
          <w:tab w:leader="none" w:pos="1024" w:val="left"/>
        </w:tabs>
        <w:numPr>
          <w:ilvl w:val="0"/>
          <w:numId w:val="5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If a Permitted Class B Holder Transfers shares of Class B Common Stock to any Person in the same Permitted Ownership Group as such Permitted Class B Holder, such shares shall remain shares of Class B Common Stock upon consummation of such Transfer. If a Permitted Class B Holder Transfers shares of Class B Common Stock to any Person that is not in the same Permitted Ownership Group as such Permitted Class B Holder, such shares shall automatically, without any further action by the Corporation or the holder of any such share, convert into shares of Class A Common Stock, on a one-for-one basis, upon consummation of such Transfer.</w:t>
      </w:r>
    </w:p>
    <w:p>
      <w:pPr>
        <w:spacing w:after="0" w:line="79" w:lineRule="exact"/>
        <w:rPr>
          <w:rFonts w:ascii="Times New Roman" w:cs="Times New Roman" w:eastAsia="Times New Roman" w:hAnsi="Times New Roman"/>
          <w:sz w:val="18"/>
          <w:szCs w:val="18"/>
          <w:color w:val="FF0000"/>
          <w:strike w:val="1"/>
        </w:rPr>
      </w:pPr>
    </w:p>
    <w:p>
      <w:pPr>
        <w:jc w:val="both"/>
        <w:ind w:left="20" w:firstLine="721"/>
        <w:spacing w:after="0" w:line="253" w:lineRule="auto"/>
        <w:tabs>
          <w:tab w:leader="none" w:pos="989" w:val="left"/>
        </w:tabs>
        <w:numPr>
          <w:ilvl w:val="0"/>
          <w:numId w:val="5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If a Permitted Class B Holder, voluntarily or involuntarily (including by way of a foreclosure), purportedly Transfers, or attempts to Transfer, any such shares of Class B Common Stock to any Person that is not in the same Permitted Ownership Group as such Permitted Class B Holder, upon consummation of such Transfer, such shares of Class B Common Stock shall be automatically, without any further action by the Corporation or the holder of any such share, converted into an equal number of shares of Class A Common Stock and the purported transferee of such shares of Class B Common Stock shall not obtain any rights in, to or with respect to such shares of Class B Common Stock (the “</w:t>
      </w:r>
      <w:r>
        <w:rPr>
          <w:rFonts w:ascii="Times New Roman" w:cs="Times New Roman" w:eastAsia="Times New Roman" w:hAnsi="Times New Roman"/>
          <w:sz w:val="18"/>
          <w:szCs w:val="18"/>
          <w:b w:val="1"/>
          <w:bCs w:val="1"/>
          <w:i w:val="1"/>
          <w:iCs w:val="1"/>
          <w:color w:val="FF0000"/>
          <w:strike w:val="1"/>
        </w:rPr>
        <w:t>Class B Restricted Shares</w:t>
      </w:r>
      <w:r>
        <w:rPr>
          <w:rFonts w:ascii="Times New Roman" w:cs="Times New Roman" w:eastAsia="Times New Roman" w:hAnsi="Times New Roman"/>
          <w:sz w:val="18"/>
          <w:szCs w:val="18"/>
          <w:color w:val="FF0000"/>
          <w:strike w:val="1"/>
        </w:rPr>
        <w:t>”) (other than rights in, to or with respect to the shares of Class A Common Stock into which such Class B Restricted Shares are converted), and the purported Transfer of such Class B Restricted Shares shall not be recognized by the Corporation, the transfer agent or the Secretary of the Corporation (other than to the extent necessary to recognize the ownership by the transferee of the shares of Class A Common Stock into which such Class B Restricted Shares are converted).</w:t>
      </w:r>
    </w:p>
    <w:p>
      <w:pPr>
        <w:spacing w:after="0" w:line="86" w:lineRule="exact"/>
        <w:rPr>
          <w:rFonts w:ascii="Times New Roman" w:cs="Times New Roman" w:eastAsia="Times New Roman" w:hAnsi="Times New Roman"/>
          <w:sz w:val="18"/>
          <w:szCs w:val="18"/>
          <w:color w:val="FF0000"/>
          <w:strike w:val="1"/>
        </w:rPr>
      </w:pPr>
    </w:p>
    <w:p>
      <w:pPr>
        <w:jc w:val="both"/>
        <w:ind w:left="20" w:firstLine="721"/>
        <w:spacing w:after="0" w:line="254" w:lineRule="auto"/>
        <w:tabs>
          <w:tab w:leader="none" w:pos="1006" w:val="left"/>
        </w:tabs>
        <w:numPr>
          <w:ilvl w:val="0"/>
          <w:numId w:val="5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Upon a determination by the Corporation that a Permitted Class B Holder has attempted or may attempt to Transfer shares of Class B Common Stock to a Person that is not in the same Permitted Ownership Group as such Permitted Class B Holder, the Corporation may take such action as it deems necessary or advisable to refuse to give effect to such Transfer or acquisition on the books and records of the Corporation, including without limitation to cause the transfer agent or the Secretary of the Corporation, as applicable, to not record the purported transferee as the record owner of the Class B Restricted Shares, and to institute proceedings to enjoin or rescind any such Transfer or acquisition (in each case, other than to the extent necessary to recognize the ownership by the transferee of the shares of Class A Common Stock into which such Class B Restricted Shares are converted).</w:t>
      </w:r>
    </w:p>
    <w:p>
      <w:pPr>
        <w:spacing w:after="0" w:line="83" w:lineRule="exact"/>
        <w:rPr>
          <w:rFonts w:ascii="Times New Roman" w:cs="Times New Roman" w:eastAsia="Times New Roman" w:hAnsi="Times New Roman"/>
          <w:sz w:val="18"/>
          <w:szCs w:val="18"/>
          <w:color w:val="FF0000"/>
          <w:strike w:val="1"/>
        </w:rPr>
      </w:pPr>
    </w:p>
    <w:p>
      <w:pPr>
        <w:jc w:val="both"/>
        <w:ind w:left="20" w:firstLine="721"/>
        <w:spacing w:after="0" w:line="255" w:lineRule="auto"/>
        <w:tabs>
          <w:tab w:leader="none" w:pos="987" w:val="left"/>
        </w:tabs>
        <w:numPr>
          <w:ilvl w:val="0"/>
          <w:numId w:val="5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The Board of Directors may, to the extent permitted by law, from time to time establish, modify, amend or rescind, by bylaw or otherwise, regulations and procedures not inconsistent with the provisions of this </w:t>
      </w:r>
      <w:r>
        <w:rPr>
          <w:rFonts w:ascii="Times New Roman" w:cs="Times New Roman" w:eastAsia="Times New Roman" w:hAnsi="Times New Roman"/>
          <w:sz w:val="18"/>
          <w:szCs w:val="18"/>
          <w:u w:val="single" w:color="auto"/>
          <w:color w:val="FF0000"/>
          <w:strike w:val="1"/>
        </w:rPr>
        <w:t>Section 4.6</w:t>
      </w:r>
      <w:r>
        <w:rPr>
          <w:rFonts w:ascii="Times New Roman" w:cs="Times New Roman" w:eastAsia="Times New Roman" w:hAnsi="Times New Roman"/>
          <w:sz w:val="18"/>
          <w:szCs w:val="18"/>
          <w:color w:val="FF0000"/>
          <w:strike w:val="1"/>
        </w:rPr>
        <w:t xml:space="preserve"> for determining whether any Transfer or acquisition of shares of Class B Common Stock is being made to a Person that is not in the same Permitted Ownership Group as the transferor, and for the orderly application, administration and implementation of the provisions of this </w:t>
      </w:r>
      <w:r>
        <w:rPr>
          <w:rFonts w:ascii="Times New Roman" w:cs="Times New Roman" w:eastAsia="Times New Roman" w:hAnsi="Times New Roman"/>
          <w:sz w:val="18"/>
          <w:szCs w:val="18"/>
          <w:u w:val="single" w:color="auto"/>
          <w:color w:val="FF0000"/>
          <w:strike w:val="1"/>
        </w:rPr>
        <w:t>Section 4.6</w:t>
      </w:r>
      <w:r>
        <w:rPr>
          <w:rFonts w:ascii="Times New Roman" w:cs="Times New Roman" w:eastAsia="Times New Roman" w:hAnsi="Times New Roman"/>
          <w:sz w:val="18"/>
          <w:szCs w:val="18"/>
          <w:color w:val="FF0000"/>
          <w:strike w:val="1"/>
        </w:rPr>
        <w:t>. Any such procedures and regulations shall be kept on file with the Secretary of the Corporation and with the transfer agent and shall be made available for inspection by and, upon written request shall be mailed to, any requesting holders of shares of Class B Common Stock.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FF0000"/>
          <w:strike w:val="1"/>
        </w:rPr>
        <w:t>Section 4.7</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Other Conversions of Class B Common Stock</w:t>
      </w:r>
      <w:r>
        <w:rPr>
          <w:rFonts w:ascii="Times New Roman" w:cs="Times New Roman" w:eastAsia="Times New Roman" w:hAnsi="Times New Roman"/>
          <w:sz w:val="18"/>
          <w:szCs w:val="18"/>
          <w:color w:val="FF0000"/>
        </w:rPr>
        <w:t>.</w:t>
      </w:r>
    </w:p>
    <w:p>
      <w:pPr>
        <w:spacing w:after="0" w:line="117" w:lineRule="exact"/>
        <w:rPr>
          <w:sz w:val="20"/>
          <w:szCs w:val="20"/>
          <w:color w:val="auto"/>
        </w:rPr>
      </w:pPr>
    </w:p>
    <w:p>
      <w:pPr>
        <w:jc w:val="both"/>
        <w:ind w:left="20" w:firstLine="721"/>
        <w:spacing w:after="0" w:line="253" w:lineRule="auto"/>
        <w:tabs>
          <w:tab w:leader="none" w:pos="984" w:val="left"/>
        </w:tabs>
        <w:numPr>
          <w:ilvl w:val="0"/>
          <w:numId w:val="5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Voluntary Conversion</w:t>
      </w:r>
      <w:r>
        <w:rPr>
          <w:rFonts w:ascii="Times New Roman" w:cs="Times New Roman" w:eastAsia="Times New Roman" w:hAnsi="Times New Roman"/>
          <w:sz w:val="18"/>
          <w:szCs w:val="18"/>
          <w:color w:val="FF0000"/>
          <w:strike w:val="1"/>
        </w:rPr>
        <w:t>. Each share of Class B Common Stock shall be convertible, at the option of the holder thereof,</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at any time after the Effective Time at the office of Corporation or any transfer agent for such stock, into one (1) fully paid and nonassessable share of Class A Common Stock. Before any holder of Class B Common Stock shall be entitled to voluntarily convert the same into shares of Class A Common Stock, he, she or it shall (i) if such holder’s shares are certificated, surrender the certificate or certificates therefor (or, if such holder alleges that such certificate(s) has been lost, stolen or destroyed, a lost certificate affidavit and agreement reasonably acceptable to the Corporation to indemnify the Corporation against any claim that may be made against the Corporation on account of the alleged loss, theft or destruction of such certificate), duly endorsed, at the office of the Corporation or of any transfer agent for the Common Stock, and (ii) give written notice to the Corporation at its principal corporate office, of the election to convert the same and, if applicable, any event on which such conversion is contingent. Such notice shall state such holder’s name or the names of the nominees (i) in which such holder wishes the certificate or certificates for shares of Class A Common Stock to be issued (if such shares of Class A Common Stock are to be certificated) or (ii) in which such shares of Class A Common Stock are</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FF0000"/>
          <w:strike w:val="1"/>
        </w:rPr>
        <w:t>to be registered in book entry (if such shares of Class A Common Stock are uncertificated). If required by the Corporation, such holder shall furnish, in a form satisfactory to the Corporation, a written instrument or instruments of transfer, duly executed by the holder or his, her or its attorney duly authorized in writing. As soon as practicable after the conversion of such shares, there shall be issued and delivered to such holder, or to his, her or its nominees, a certificate or certificates (if such shares are to be certificated) or a book entry or book entries (if such shares are to be uncertificated) for the number of shares of Class A Common Stock into which the shares of Class B Common Stock so surrendered were converted and a certificate (if such shares are to be certificated) or a book entry or book entries (if such shares are to be uncertificated) for the number (if any) of the shares of Class B Common Stock represented by the surrendered certificate or a book entry or book entries that were not converted into Class A Common Stock.</w:t>
      </w:r>
    </w:p>
    <w:p>
      <w:pPr>
        <w:spacing w:after="0" w:line="84" w:lineRule="exact"/>
        <w:rPr>
          <w:sz w:val="20"/>
          <w:szCs w:val="20"/>
          <w:color w:val="auto"/>
        </w:rPr>
      </w:pPr>
    </w:p>
    <w:p>
      <w:pPr>
        <w:jc w:val="both"/>
        <w:ind w:left="20" w:firstLine="721"/>
        <w:spacing w:after="0" w:line="255" w:lineRule="auto"/>
        <w:tabs>
          <w:tab w:leader="none" w:pos="1008" w:val="left"/>
        </w:tabs>
        <w:numPr>
          <w:ilvl w:val="1"/>
          <w:numId w:val="5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Mandatory Conversion</w:t>
      </w:r>
      <w:r>
        <w:rPr>
          <w:rFonts w:ascii="Times New Roman" w:cs="Times New Roman" w:eastAsia="Times New Roman" w:hAnsi="Times New Roman"/>
          <w:sz w:val="18"/>
          <w:szCs w:val="18"/>
          <w:color w:val="FF0000"/>
          <w:strike w:val="1"/>
        </w:rPr>
        <w:t>. Each share of Class B Common Stock held by any Permitted Class B Holder shall convert</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 xml:space="preserve">into one (1) fully paid and nonassessable share of Class A Common Stock upon the earlier of (i) the Transfer of such share to a Person that is not in the same Permitted Ownership Group as such Permitted Class B Holder, as contemplated by </w:t>
      </w:r>
      <w:r>
        <w:rPr>
          <w:rFonts w:ascii="Times New Roman" w:cs="Times New Roman" w:eastAsia="Times New Roman" w:hAnsi="Times New Roman"/>
          <w:sz w:val="18"/>
          <w:szCs w:val="18"/>
          <w:u w:val="single" w:color="auto"/>
          <w:color w:val="FF0000"/>
          <w:strike w:val="1"/>
        </w:rPr>
        <w:t>Section 4.6</w:t>
      </w:r>
      <w:r>
        <w:rPr>
          <w:rFonts w:ascii="Times New Roman" w:cs="Times New Roman" w:eastAsia="Times New Roman" w:hAnsi="Times New Roman"/>
          <w:sz w:val="18"/>
          <w:szCs w:val="18"/>
          <w:color w:val="FF0000"/>
          <w:strike w:val="1"/>
        </w:rPr>
        <w:t xml:space="preserve"> hereof, (ii) November 1, 2028, or (iii) with respect to any shares held by any Person in a Key Holder’s Permitted Ownership Group,</w:t>
      </w:r>
    </w:p>
    <w:p>
      <w:pPr>
        <w:spacing w:after="0" w:line="2" w:lineRule="exact"/>
        <w:rPr>
          <w:rFonts w:ascii="Times New Roman" w:cs="Times New Roman" w:eastAsia="Times New Roman" w:hAnsi="Times New Roman"/>
          <w:sz w:val="18"/>
          <w:szCs w:val="18"/>
          <w:color w:val="FF0000"/>
          <w:strike w:val="1"/>
        </w:rPr>
      </w:pPr>
    </w:p>
    <w:p>
      <w:pPr>
        <w:jc w:val="both"/>
        <w:ind w:left="20" w:firstLine="1"/>
        <w:spacing w:after="0" w:line="255" w:lineRule="auto"/>
        <w:tabs>
          <w:tab w:leader="none" w:pos="319" w:val="left"/>
        </w:tabs>
        <w:numPr>
          <w:ilvl w:val="0"/>
          <w:numId w:val="5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such time as a Key Holder is removed or resigns from the Board of Directors, or otherwise ceases to serve as a Director on the Board of Directors, (B) such time as a Key Holder ceases to be either an employee, officer or consultant of the Corporation or any of its subsidiaries, or (C) the date that is 12 months after the death or Disability of a Key Holder.</w:t>
      </w:r>
    </w:p>
    <w:p>
      <w:pPr>
        <w:spacing w:after="0" w:line="77" w:lineRule="exact"/>
        <w:rPr>
          <w:rFonts w:ascii="Times New Roman" w:cs="Times New Roman" w:eastAsia="Times New Roman" w:hAnsi="Times New Roman"/>
          <w:sz w:val="18"/>
          <w:szCs w:val="18"/>
          <w:color w:val="FF0000"/>
          <w:strike w:val="1"/>
        </w:rPr>
      </w:pPr>
    </w:p>
    <w:p>
      <w:pPr>
        <w:jc w:val="both"/>
        <w:ind w:left="20" w:firstLine="721"/>
        <w:spacing w:after="0" w:line="253" w:lineRule="auto"/>
        <w:tabs>
          <w:tab w:leader="none" w:pos="998" w:val="left"/>
        </w:tabs>
        <w:numPr>
          <w:ilvl w:val="1"/>
          <w:numId w:val="5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Record Holders</w:t>
      </w:r>
      <w:r>
        <w:rPr>
          <w:rFonts w:ascii="Times New Roman" w:cs="Times New Roman" w:eastAsia="Times New Roman" w:hAnsi="Times New Roman"/>
          <w:sz w:val="18"/>
          <w:szCs w:val="18"/>
          <w:color w:val="FF0000"/>
          <w:strike w:val="1"/>
        </w:rPr>
        <w:t>. The Persons entitled to shares of Class A Common Stock upon conversion of Class B Common</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Stock shall be treated for all purposes as the record holders of such shares of Class A Common Stock as of the date of conversion. Notwithstanding anything to the contrary in this Certificate of Incorporation, if the date on which any share of Class B Common Stock is converted into Class A Common Stock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that, notwithstanding any other provision of this Certificate of Incorporation, to the extent that any such dividend or distribution is payable in shares of Class B Common Stock (or other securities exercisable, exchangeable or convertible into such shares), such dividend or distribution shall be deemed to have been declared, and shall be payable in, shares of Class A Common Stock (or other securities exercisable, exchangeable or convertible into such shares) and no shares of Class B Common Stock (or other securities exercisable, exchangeable or convertible into such shares) shall be issued in payment thereof.</w:t>
      </w:r>
    </w:p>
    <w:p>
      <w:pPr>
        <w:spacing w:after="0" w:line="83" w:lineRule="exact"/>
        <w:rPr>
          <w:rFonts w:ascii="Times New Roman" w:cs="Times New Roman" w:eastAsia="Times New Roman" w:hAnsi="Times New Roman"/>
          <w:sz w:val="18"/>
          <w:szCs w:val="18"/>
          <w:color w:val="FF0000"/>
          <w:strike w:val="1"/>
        </w:rPr>
      </w:pPr>
    </w:p>
    <w:p>
      <w:pPr>
        <w:jc w:val="both"/>
        <w:ind w:left="20" w:firstLine="721"/>
        <w:spacing w:after="0" w:line="253" w:lineRule="auto"/>
        <w:tabs>
          <w:tab w:leader="none" w:pos="995" w:val="left"/>
        </w:tabs>
        <w:numPr>
          <w:ilvl w:val="1"/>
          <w:numId w:val="5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Reservation of Stock Issuable Upon Conversion</w:t>
      </w:r>
      <w:r>
        <w:rPr>
          <w:rFonts w:ascii="Times New Roman" w:cs="Times New Roman" w:eastAsia="Times New Roman" w:hAnsi="Times New Roman"/>
          <w:sz w:val="18"/>
          <w:szCs w:val="18"/>
          <w:color w:val="FF0000"/>
          <w:strike w:val="1"/>
        </w:rPr>
        <w:t>. The Corporation shall at all times reserve and keep available out of</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 outstanding shares of Class B Common Stock, in addition to such other remedies as shall be available to the holders of Class B Common Stock, the Corporation shall take such corporate action as may, in the opinion of its counsel, be necessary to increase its authorized but unissued shares of Class A Common Stock to such number of shares as shall be sufficient for such purposes, including, without limitation, engaging in commercially reasonable efforts to obtain the requisite stockholder approval of any necessary amendment to this Certificate of Incorporation.</w:t>
      </w:r>
    </w:p>
    <w:p>
      <w:pPr>
        <w:spacing w:after="0" w:line="86" w:lineRule="exact"/>
        <w:rPr>
          <w:rFonts w:ascii="Times New Roman" w:cs="Times New Roman" w:eastAsia="Times New Roman" w:hAnsi="Times New Roman"/>
          <w:sz w:val="18"/>
          <w:szCs w:val="18"/>
          <w:color w:val="FF0000"/>
          <w:strike w:val="1"/>
        </w:rPr>
      </w:pPr>
    </w:p>
    <w:p>
      <w:pPr>
        <w:jc w:val="both"/>
        <w:ind w:left="20" w:firstLine="721"/>
        <w:spacing w:after="0" w:line="266" w:lineRule="auto"/>
        <w:tabs>
          <w:tab w:leader="none" w:pos="984" w:val="left"/>
        </w:tabs>
        <w:numPr>
          <w:ilvl w:val="1"/>
          <w:numId w:val="5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Status of Converted Stock</w:t>
      </w:r>
      <w:r>
        <w:rPr>
          <w:rFonts w:ascii="Times New Roman" w:cs="Times New Roman" w:eastAsia="Times New Roman" w:hAnsi="Times New Roman"/>
          <w:sz w:val="18"/>
          <w:szCs w:val="18"/>
          <w:color w:val="FF0000"/>
          <w:strike w:val="1"/>
        </w:rPr>
        <w:t>. In the event any shares of Class B Common Stock shall be converted pursuant to the terms</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of this Certificate of Incorporation or otherwise acquired by the Corporation, the shares so converted shall be cancelled and shall not be reissued by the Corporation and the Corporation shall take all actions necessary to cancel and retire such shares.</w:t>
      </w:r>
    </w:p>
    <w:p>
      <w:pPr>
        <w:spacing w:after="0" w:line="67" w:lineRule="exact"/>
        <w:rPr>
          <w:rFonts w:ascii="Times New Roman" w:cs="Times New Roman" w:eastAsia="Times New Roman" w:hAnsi="Times New Roman"/>
          <w:sz w:val="18"/>
          <w:szCs w:val="18"/>
          <w:color w:val="FF0000"/>
          <w:strike w:val="1"/>
        </w:rPr>
      </w:pPr>
    </w:p>
    <w:p>
      <w:pPr>
        <w:jc w:val="both"/>
        <w:ind w:left="20" w:firstLine="721"/>
        <w:spacing w:after="0" w:line="258" w:lineRule="auto"/>
        <w:tabs>
          <w:tab w:leader="none" w:pos="965" w:val="left"/>
        </w:tabs>
        <w:numPr>
          <w:ilvl w:val="1"/>
          <w:numId w:val="5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Taxes Payable</w:t>
      </w:r>
      <w:r>
        <w:rPr>
          <w:rFonts w:ascii="Times New Roman" w:cs="Times New Roman" w:eastAsia="Times New Roman" w:hAnsi="Times New Roman"/>
          <w:sz w:val="18"/>
          <w:szCs w:val="18"/>
          <w:color w:val="FF0000"/>
          <w:strike w:val="1"/>
        </w:rPr>
        <w:t>. The Corporation shall not be required to pay any tax which may be payable in respect of any Transfer</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involved in the issuance and delivery of shares of Class A Common Stock in a name other than that in which the shares of Class B Common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 or is not otherwise payable.</w:t>
      </w:r>
    </w:p>
    <w:p>
      <w:pPr>
        <w:spacing w:after="0" w:line="75" w:lineRule="exact"/>
        <w:rPr>
          <w:sz w:val="20"/>
          <w:szCs w:val="20"/>
          <w:color w:val="auto"/>
        </w:rPr>
      </w:pPr>
    </w:p>
    <w:p>
      <w:pPr>
        <w:ind w:left="20" w:firstLine="360"/>
        <w:spacing w:after="0" w:line="282" w:lineRule="auto"/>
        <w:rPr>
          <w:sz w:val="20"/>
          <w:szCs w:val="20"/>
          <w:color w:val="auto"/>
        </w:rPr>
      </w:pPr>
      <w:r>
        <w:rPr>
          <w:rFonts w:ascii="Times New Roman" w:cs="Times New Roman" w:eastAsia="Times New Roman" w:hAnsi="Times New Roman"/>
          <w:sz w:val="18"/>
          <w:szCs w:val="18"/>
          <w:color w:val="FF0000"/>
          <w:strike w:val="1"/>
        </w:rPr>
        <w:t xml:space="preserve">Section 4.8 </w:t>
      </w:r>
      <w:r>
        <w:rPr>
          <w:rFonts w:ascii="Times New Roman" w:cs="Times New Roman" w:eastAsia="Times New Roman" w:hAnsi="Times New Roman"/>
          <w:sz w:val="18"/>
          <w:szCs w:val="18"/>
          <w:u w:val="single" w:color="auto"/>
          <w:color w:val="FF0000"/>
          <w:strike w:val="1"/>
        </w:rPr>
        <w:t>Certificates; Notice</w:t>
      </w:r>
      <w:r>
        <w:rPr>
          <w:rFonts w:ascii="Times New Roman" w:cs="Times New Roman" w:eastAsia="Times New Roman" w:hAnsi="Times New Roman"/>
          <w:sz w:val="18"/>
          <w:szCs w:val="18"/>
          <w:color w:val="FF0000"/>
          <w:strike w:val="1"/>
        </w:rPr>
        <w:t>. All certificates or book entries representing shares of Class B Common Stock shall bear a legend substantially in the following form (or in such other form as the Board of Directors may determine):</w:t>
      </w:r>
    </w:p>
    <w:p>
      <w:pPr>
        <w:spacing w:after="0" w:line="121" w:lineRule="exact"/>
        <w:rPr>
          <w:sz w:val="20"/>
          <w:szCs w:val="20"/>
          <w:color w:val="auto"/>
        </w:rPr>
      </w:pPr>
    </w:p>
    <w:p>
      <w:pPr>
        <w:ind w:left="740" w:right="240"/>
        <w:spacing w:after="0" w:line="258" w:lineRule="auto"/>
        <w:rPr>
          <w:sz w:val="20"/>
          <w:szCs w:val="20"/>
          <w:color w:val="auto"/>
        </w:rPr>
      </w:pPr>
      <w:r>
        <w:rPr>
          <w:rFonts w:ascii="Times New Roman" w:cs="Times New Roman" w:eastAsia="Times New Roman" w:hAnsi="Times New Roman"/>
          <w:sz w:val="18"/>
          <w:szCs w:val="18"/>
          <w:color w:val="FF0000"/>
          <w:strike w:val="1"/>
        </w:rPr>
        <w:t>THE SECURITIES REPRESENTED BY THIS [CERTIFICATE][BOOK ENTRY] ARE SUBJECT TO THE RESTRICTIONS (INCLUDING RESTRICTIONS ON TRANSFER) SET FORTH IN THE CERTIFICATE OF INCORPORATION OF THE CORPORATION, AS IT MAY BE AMENDED AND/OR RESTATED, (A COPY OF WHICH IS ON FILE WITH THE SECRETARY OF THE CORPORATION AND SHALL BE PROVIDED FREE OF CHARGE TO ANY STOCKHOLDER MAKING A REQUEST THEREFOR).</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18"/>
          <w:szCs w:val="18"/>
          <w:color w:val="FF0000"/>
          <w:strike w:val="1"/>
        </w:rPr>
        <w:t>All holders of uncertificated shares of Class B Common Stock shall be given notice within a reasonable time after the issuance or transfer of uncertificated shares of such stock, in writing or by electronic transmission, that the Class B Common Stock represented by book entry or book entries are subject to the restrictions (including restrictions on transfer) set forth in this Certificate of Incorporation (a copy of which is on file with the Secretary of the Corporation and shall be provided free of charge to any stockholder making a request therefor)</w:t>
      </w:r>
    </w:p>
    <w:p>
      <w:pPr>
        <w:spacing w:after="0" w:line="75" w:lineRule="exact"/>
        <w:rPr>
          <w:sz w:val="20"/>
          <w:szCs w:val="20"/>
          <w:color w:val="auto"/>
        </w:rPr>
      </w:pPr>
    </w:p>
    <w:p>
      <w:pPr>
        <w:jc w:val="both"/>
        <w:ind w:left="20" w:firstLine="360"/>
        <w:spacing w:after="0" w:line="261" w:lineRule="auto"/>
        <w:rPr>
          <w:sz w:val="20"/>
          <w:szCs w:val="20"/>
          <w:color w:val="auto"/>
        </w:rPr>
      </w:pPr>
      <w:r>
        <w:rPr>
          <w:rFonts w:ascii="Times New Roman" w:cs="Times New Roman" w:eastAsia="Times New Roman" w:hAnsi="Times New Roman"/>
          <w:sz w:val="18"/>
          <w:szCs w:val="18"/>
          <w:color w:val="FF0000"/>
          <w:strike w:val="1"/>
        </w:rPr>
        <w:t xml:space="preserve">Section 4.9 </w:t>
      </w:r>
      <w:r>
        <w:rPr>
          <w:rFonts w:ascii="Times New Roman" w:cs="Times New Roman" w:eastAsia="Times New Roman" w:hAnsi="Times New Roman"/>
          <w:sz w:val="18"/>
          <w:szCs w:val="18"/>
          <w:u w:val="single" w:color="auto"/>
          <w:color w:val="FF0000"/>
          <w:strike w:val="1"/>
        </w:rPr>
        <w:t>Fractions</w:t>
      </w:r>
      <w:r>
        <w:rPr>
          <w:rFonts w:ascii="Times New Roman" w:cs="Times New Roman" w:eastAsia="Times New Roman" w:hAnsi="Times New Roman"/>
          <w:sz w:val="18"/>
          <w:szCs w:val="18"/>
          <w:color w:val="FF0000"/>
          <w:strike w:val="1"/>
        </w:rPr>
        <w:t xml:space="preserve">. No fractional shares of Class A Common Stock shall be deliverable upon any conversion contemplated by this </w:t>
      </w:r>
      <w:r>
        <w:rPr>
          <w:rFonts w:ascii="Times New Roman" w:cs="Times New Roman" w:eastAsia="Times New Roman" w:hAnsi="Times New Roman"/>
          <w:sz w:val="18"/>
          <w:szCs w:val="18"/>
          <w:u w:val="single" w:color="auto"/>
          <w:color w:val="FF0000"/>
          <w:strike w:val="1"/>
        </w:rPr>
        <w:t>Section 4</w:t>
      </w:r>
      <w:r>
        <w:rPr>
          <w:rFonts w:ascii="Times New Roman" w:cs="Times New Roman" w:eastAsia="Times New Roman" w:hAnsi="Times New Roman"/>
          <w:sz w:val="18"/>
          <w:szCs w:val="18"/>
          <w:color w:val="FF0000"/>
          <w:strike w:val="1"/>
        </w:rPr>
        <w:t xml:space="preserve">. Stockholders who otherwise would have been entitled to receive any fractional share of Class A Common Stock pursuant to a conversion contemplated by this </w:t>
      </w:r>
      <w:r>
        <w:rPr>
          <w:rFonts w:ascii="Times New Roman" w:cs="Times New Roman" w:eastAsia="Times New Roman" w:hAnsi="Times New Roman"/>
          <w:sz w:val="18"/>
          <w:szCs w:val="18"/>
          <w:u w:val="single" w:color="auto"/>
          <w:color w:val="FF0000"/>
          <w:strike w:val="1"/>
        </w:rPr>
        <w:t>Section 4</w:t>
      </w:r>
      <w:r>
        <w:rPr>
          <w:rFonts w:ascii="Times New Roman" w:cs="Times New Roman" w:eastAsia="Times New Roman" w:hAnsi="Times New Roman"/>
          <w:sz w:val="18"/>
          <w:szCs w:val="18"/>
          <w:color w:val="FF0000"/>
          <w:strike w:val="1"/>
        </w:rPr>
        <w:t>, in lieu of receipt of such fractional interest, shall be entitled to receive from the Corporation an amount in cash equal to the fair value of such fractional share as of the time of conversion.</w:t>
      </w:r>
    </w:p>
    <w:p>
      <w:pPr>
        <w:spacing w:after="0" w:line="72"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18"/>
          <w:szCs w:val="18"/>
          <w:color w:val="FF0000"/>
          <w:strike w:val="1"/>
        </w:rPr>
        <w:t xml:space="preserve">Section 4.10 </w:t>
      </w:r>
      <w:r>
        <w:rPr>
          <w:rFonts w:ascii="Times New Roman" w:cs="Times New Roman" w:eastAsia="Times New Roman" w:hAnsi="Times New Roman"/>
          <w:sz w:val="18"/>
          <w:szCs w:val="18"/>
          <w:u w:val="single" w:color="auto"/>
          <w:color w:val="FF0000"/>
          <w:strike w:val="1"/>
        </w:rPr>
        <w:t>Amendment</w:t>
      </w:r>
      <w:r>
        <w:rPr>
          <w:rFonts w:ascii="Times New Roman" w:cs="Times New Roman" w:eastAsia="Times New Roman" w:hAnsi="Times New Roman"/>
          <w:sz w:val="18"/>
          <w:szCs w:val="18"/>
          <w:color w:val="FF0000"/>
          <w:strike w:val="1"/>
        </w:rPr>
        <w:t>. Except as otherwise required by law, holders of Class A Common Stock and Class B Common Stock shall not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w:t>
      </w:r>
    </w:p>
    <w:p>
      <w:pPr>
        <w:spacing w:after="0" w:line="75" w:lineRule="exact"/>
        <w:rPr>
          <w:sz w:val="20"/>
          <w:szCs w:val="20"/>
          <w:color w:val="auto"/>
        </w:rPr>
      </w:pPr>
    </w:p>
    <w:p>
      <w:pPr>
        <w:jc w:val="both"/>
        <w:ind w:left="20" w:firstLine="360"/>
        <w:spacing w:after="0" w:line="253" w:lineRule="auto"/>
        <w:rPr>
          <w:sz w:val="20"/>
          <w:szCs w:val="20"/>
          <w:color w:val="auto"/>
        </w:rPr>
      </w:pPr>
      <w:r>
        <w:rPr>
          <w:rFonts w:ascii="Times New Roman" w:cs="Times New Roman" w:eastAsia="Times New Roman" w:hAnsi="Times New Roman"/>
          <w:sz w:val="18"/>
          <w:szCs w:val="18"/>
          <w:color w:val="FF0000"/>
          <w:strike w:val="1"/>
        </w:rPr>
        <w:t xml:space="preserve">Section 4.11 </w:t>
      </w:r>
      <w:r>
        <w:rPr>
          <w:rFonts w:ascii="Times New Roman" w:cs="Times New Roman" w:eastAsia="Times New Roman" w:hAnsi="Times New Roman"/>
          <w:sz w:val="18"/>
          <w:szCs w:val="18"/>
          <w:u w:val="single" w:color="auto"/>
          <w:color w:val="FF0000"/>
          <w:strike w:val="1"/>
        </w:rPr>
        <w:t>Equal Treatment in a Change of Control Transaction</w:t>
      </w:r>
      <w:r>
        <w:rPr>
          <w:rFonts w:ascii="Times New Roman" w:cs="Times New Roman" w:eastAsia="Times New Roman" w:hAnsi="Times New Roman"/>
          <w:sz w:val="18"/>
          <w:szCs w:val="18"/>
          <w:color w:val="FF0000"/>
          <w:strike w:val="1"/>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w:t>
      </w:r>
    </w:p>
    <w:p>
      <w:pPr>
        <w:spacing w:after="0" w:line="99" w:lineRule="exact"/>
        <w:rPr>
          <w:sz w:val="20"/>
          <w:szCs w:val="20"/>
          <w:color w:val="auto"/>
        </w:rPr>
      </w:pPr>
    </w:p>
    <w:p>
      <w:pPr>
        <w:jc w:val="both"/>
        <w:ind w:left="20" w:firstLine="360"/>
        <w:spacing w:after="0" w:line="255" w:lineRule="auto"/>
        <w:rPr>
          <w:sz w:val="20"/>
          <w:szCs w:val="20"/>
          <w:color w:val="auto"/>
        </w:rPr>
      </w:pPr>
      <w:r>
        <w:rPr>
          <w:rFonts w:ascii="Times New Roman" w:cs="Times New Roman" w:eastAsia="Times New Roman" w:hAnsi="Times New Roman"/>
          <w:sz w:val="18"/>
          <w:szCs w:val="18"/>
          <w:color w:val="auto"/>
        </w:rPr>
        <w:t>Subject to any additional vote required by this Certificate of Incorporation, in furtherance and not in limitation of the powers conferred upon it by statute, the Board of Directors is expressly authorized to adopt, repeal, alter, amend or rescind the Bylaws of the Corporation (as may be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affirmative vote of at least a majority of the Whole Board of Directors shall be required in order for the Board of Directors to adopt, repeal, alter, amend or rescind the Bylaws. </w:t>
      </w:r>
      <w:r>
        <w:rPr>
          <w:rFonts w:ascii="Times New Roman" w:cs="Times New Roman" w:eastAsia="Times New Roman" w:hAnsi="Times New Roman"/>
          <w:sz w:val="18"/>
          <w:szCs w:val="18"/>
          <w:u w:val="single" w:color="auto"/>
          <w:color w:val="0000FF"/>
        </w:rPr>
        <w:t>For purposes of this Certificate of Incorporation, the term “</w:t>
      </w:r>
      <w:r>
        <w:rPr>
          <w:rFonts w:ascii="Times New Roman" w:cs="Times New Roman" w:eastAsia="Times New Roman" w:hAnsi="Times New Roman"/>
          <w:sz w:val="18"/>
          <w:szCs w:val="18"/>
          <w:b w:val="1"/>
          <w:bCs w:val="1"/>
          <w:i w:val="1"/>
          <w:iCs w:val="1"/>
          <w:u w:val="single" w:color="auto"/>
          <w:color w:val="0000FF"/>
        </w:rPr>
        <w:t>Whole Board of Directors</w:t>
      </w:r>
      <w:r>
        <w:rPr>
          <w:rFonts w:ascii="Times New Roman" w:cs="Times New Roman" w:eastAsia="Times New Roman" w:hAnsi="Times New Roman"/>
          <w:sz w:val="18"/>
          <w:szCs w:val="18"/>
          <w:u w:val="single" w:color="auto"/>
          <w:color w:val="0000FF"/>
        </w:rPr>
        <w:t>” shall mean the total number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authorized directors (from time to time) whether or not there exist any vacancies in previously authorized directorships or newly created directorships.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stockholders shall also have power</w:t>
      </w:r>
    </w:p>
    <w:p>
      <w:pPr>
        <w:spacing w:after="0" w:line="81"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18"/>
          <w:szCs w:val="18"/>
          <w:color w:val="auto"/>
        </w:rPr>
        <w:t xml:space="preserve">to adopt, repeal, alter, amend or rescind the Bylaws. In addition to any other vote of the holders of any class or series of stock of the Corporation required by applicable law or by this Certificate of Incorporation, </w:t>
      </w:r>
      <w:r>
        <w:rPr>
          <w:rFonts w:ascii="Times New Roman" w:cs="Times New Roman" w:eastAsia="Times New Roman" w:hAnsi="Times New Roman"/>
          <w:sz w:val="18"/>
          <w:szCs w:val="18"/>
          <w:color w:val="FF0000"/>
          <w:strike w:val="1"/>
        </w:rPr>
        <w:t>such</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auto"/>
        </w:rPr>
        <w:t xml:space="preserve"> adoption, repeal, alteration, amendment or rescission of the Bylaws by the stockholders shall require the affirmative vote of the holders of </w:t>
      </w:r>
      <w:r>
        <w:rPr>
          <w:rFonts w:ascii="Times New Roman" w:cs="Times New Roman" w:eastAsia="Times New Roman" w:hAnsi="Times New Roman"/>
          <w:sz w:val="18"/>
          <w:szCs w:val="18"/>
          <w:color w:val="FF0000"/>
          <w:strike w:val="1"/>
        </w:rPr>
        <w:t>at least two-thirds</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majority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voting power of all of the then outstanding shares of capital stock of the Corporation entitled to vote generally in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election of directors, voting together as a single class.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w:t>
      </w:r>
    </w:p>
    <w:p>
      <w:pPr>
        <w:spacing w:after="0" w:line="95" w:lineRule="exact"/>
        <w:rPr>
          <w:sz w:val="20"/>
          <w:szCs w:val="20"/>
          <w:color w:val="auto"/>
        </w:rPr>
      </w:pPr>
    </w:p>
    <w:p>
      <w:pPr>
        <w:jc w:val="both"/>
        <w:ind w:left="20" w:firstLine="360"/>
        <w:spacing w:after="0" w:line="28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Ballot</w:t>
      </w:r>
      <w:r>
        <w:rPr>
          <w:rFonts w:ascii="Times New Roman" w:cs="Times New Roman" w:eastAsia="Times New Roman" w:hAnsi="Times New Roman"/>
          <w:sz w:val="18"/>
          <w:szCs w:val="18"/>
          <w:color w:val="auto"/>
        </w:rPr>
        <w:t>. Elections of directors (each such director, in such capacity,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need not be by written ballot unless the Bylaws shall so provide.</w:t>
      </w:r>
    </w:p>
    <w:p>
      <w:pPr>
        <w:spacing w:after="0" w:line="51" w:lineRule="exact"/>
        <w:rPr>
          <w:sz w:val="20"/>
          <w:szCs w:val="20"/>
          <w:color w:val="auto"/>
        </w:rPr>
      </w:pPr>
    </w:p>
    <w:p>
      <w:pPr>
        <w:jc w:val="both"/>
        <w:ind w:left="20"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Classification of the Board of Directors</w:t>
      </w:r>
      <w:r>
        <w:rPr>
          <w:rFonts w:ascii="Times New Roman" w:cs="Times New Roman" w:eastAsia="Times New Roman" w:hAnsi="Times New Roman"/>
          <w:sz w:val="18"/>
          <w:szCs w:val="18"/>
          <w:color w:val="auto"/>
        </w:rPr>
        <w:t xml:space="preserve">. Except as </w:t>
      </w:r>
      <w:r>
        <w:rPr>
          <w:rFonts w:ascii="Times New Roman" w:cs="Times New Roman" w:eastAsia="Times New Roman" w:hAnsi="Times New Roman"/>
          <w:sz w:val="18"/>
          <w:szCs w:val="18"/>
          <w:color w:val="FF0000"/>
          <w:strike w:val="1"/>
        </w:rPr>
        <w:t>may be provided in a resolution or resolutions 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Directors providing for any series of Preferred Stock with respect to any directors elected (or to be elected) by the holders of such series and except as </w:t>
      </w:r>
      <w:r>
        <w:rPr>
          <w:rFonts w:ascii="Times New Roman" w:cs="Times New Roman" w:eastAsia="Times New Roman" w:hAnsi="Times New Roman"/>
          <w:sz w:val="18"/>
          <w:szCs w:val="18"/>
          <w:color w:val="000000"/>
          <w:strike w:val="1"/>
        </w:rPr>
        <w:t>otherwise required by applicable law, the Directors shall be divided into three classes, designated as Class I,</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Class II and Class III, as nearly equal in number as possible. Directors already in office shall be assigned to each class at the time such classification becomes effective, in accordance with a resolution or resolutions adopted by the Board of Directors. </w:t>
      </w:r>
      <w:r>
        <w:rPr>
          <w:rFonts w:ascii="Times New Roman" w:cs="Times New Roman" w:eastAsia="Times New Roman" w:hAnsi="Times New Roman"/>
          <w:sz w:val="18"/>
          <w:szCs w:val="18"/>
          <w:color w:val="FF0000"/>
          <w:strike w:val="1"/>
        </w:rPr>
        <w:t>Class I</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Directors shall initially serve for a term expiring at the first annual meeting of stockholders following the time at which the initial classification of the Board of Directors becomes effective, Class II Directors shall initially serve for a term expiring at the second annual meeting of stockholders following the time at which the initial classification of the Board of Directors becomes effective and Class III Directors shall initially serve for a term expiring at the third annual meeting of stockholders following the time at which the initial classification of the Board</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FF0000"/>
          <w:strike w:val="1"/>
        </w:rPr>
        <w:t>of Directors becomes effective.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At each annual meeting of stockholders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commencing with the first annual meeting of stockholders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following the time at which the initial classification of the Board of Directors becomes effective</w:t>
      </w:r>
      <w:r>
        <w:rPr>
          <w:rFonts w:ascii="Times New Roman" w:cs="Times New Roman" w:eastAsia="Times New Roman" w:hAnsi="Times New Roman"/>
          <w:sz w:val="18"/>
          <w:szCs w:val="18"/>
          <w:color w:val="000000"/>
        </w:rPr>
        <w:t>, the Directors of the class to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elected at each annual meeting of stockholders shall be elected for a three-year term. If the total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in accordance with </w:t>
      </w:r>
      <w:r>
        <w:rPr>
          <w:rFonts w:ascii="Times New Roman" w:cs="Times New Roman" w:eastAsia="Times New Roman" w:hAnsi="Times New Roman"/>
          <w:sz w:val="18"/>
          <w:szCs w:val="18"/>
          <w:u w:val="single" w:color="auto"/>
          <w:color w:val="000000"/>
        </w:rPr>
        <w:t>Section 6.4</w:t>
      </w:r>
      <w:r>
        <w:rPr>
          <w:rFonts w:ascii="Times New Roman" w:cs="Times New Roman" w:eastAsia="Times New Roman" w:hAnsi="Times New Roman"/>
          <w:sz w:val="18"/>
          <w:szCs w:val="18"/>
          <w:color w:val="000000"/>
        </w:rPr>
        <w:t xml:space="preserve">, shall hold office for a term that shall coincide with the remaining term of that class, but in no case shall a decrease in the total number of Directors remove or shorten the term of any incumbent Director. Notwithstanding the foregoing provisions of this </w:t>
      </w:r>
      <w:r>
        <w:rPr>
          <w:rFonts w:ascii="Times New Roman" w:cs="Times New Roman" w:eastAsia="Times New Roman" w:hAnsi="Times New Roman"/>
          <w:sz w:val="18"/>
          <w:szCs w:val="18"/>
          <w:u w:val="single" w:color="auto"/>
          <w:color w:val="000000"/>
        </w:rPr>
        <w:t>Section 6.2</w:t>
      </w:r>
      <w:r>
        <w:rPr>
          <w:rFonts w:ascii="Times New Roman" w:cs="Times New Roman" w:eastAsia="Times New Roman" w:hAnsi="Times New Roman"/>
          <w:sz w:val="18"/>
          <w:szCs w:val="18"/>
          <w:color w:val="000000"/>
        </w:rPr>
        <w:t xml:space="preserve">, each Director shall serve until his or her successor is duly elected and qualified or until his or her death, resignation, disqualification, retirement, or removal. </w:t>
      </w:r>
      <w:r>
        <w:rPr>
          <w:rFonts w:ascii="Times New Roman" w:cs="Times New Roman" w:eastAsia="Times New Roman" w:hAnsi="Times New Roman"/>
          <w:sz w:val="18"/>
          <w:szCs w:val="18"/>
          <w:color w:val="FF0000"/>
          <w:strike w:val="1"/>
        </w:rPr>
        <w:t>Subject to the rights of the holders of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series of Preferred Stock then outstanding in respect of Preferred Directors, each</w:t>
      </w:r>
      <w:r>
        <w:rPr>
          <w:rFonts w:ascii="Times New Roman" w:cs="Times New Roman" w:eastAsia="Times New Roman" w:hAnsi="Times New Roman"/>
          <w:sz w:val="18"/>
          <w:szCs w:val="18"/>
          <w:u w:val="single" w:color="auto"/>
          <w:color w:val="0000FF"/>
        </w:rPr>
        <w:t>Each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director shall hold office until the annual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meeting at which such Director’s term expires and until his or her successor is duly elected and qualified, or until his or her earlier death, resignation, disqualification or removal. No decrease in the number of Directors shall shorten the term of any incumbent Director.</w:t>
      </w:r>
    </w:p>
    <w:p>
      <w:pPr>
        <w:spacing w:after="0" w:line="79" w:lineRule="exact"/>
        <w:rPr>
          <w:sz w:val="20"/>
          <w:szCs w:val="20"/>
          <w:color w:val="auto"/>
        </w:rPr>
      </w:pPr>
    </w:p>
    <w:p>
      <w:pPr>
        <w:jc w:val="both"/>
        <w:ind w:left="20"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Number and Terms of the 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Subject to the rights of the holders of any series of 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to elect directors under specified circumstances (such directors, “</w:t>
      </w:r>
      <w:r>
        <w:rPr>
          <w:rFonts w:ascii="Times New Roman" w:cs="Times New Roman" w:eastAsia="Times New Roman" w:hAnsi="Times New Roman"/>
          <w:sz w:val="18"/>
          <w:szCs w:val="18"/>
          <w:b w:val="1"/>
          <w:bCs w:val="1"/>
          <w:i w:val="1"/>
          <w:iCs w:val="1"/>
          <w:color w:val="FF0000"/>
          <w:strike w:val="1"/>
        </w:rPr>
        <w:t>Preferred Stock Directors</w:t>
      </w:r>
      <w:r>
        <w:rPr>
          <w:rFonts w:ascii="Times New Roman" w:cs="Times New Roman" w:eastAsia="Times New Roman" w:hAnsi="Times New Roman"/>
          <w:sz w:val="18"/>
          <w:szCs w:val="18"/>
          <w:color w:val="FF0000"/>
          <w:strike w:val="1"/>
        </w:rPr>
        <w:t>”), the number of Directors shall be fixed from time to time exclusively by a majority of the Whole Board of Directors. For purposes of</w:t>
      </w:r>
    </w:p>
    <w:p>
      <w:pPr>
        <w:spacing w:after="0" w:line="108" w:lineRule="exact"/>
        <w:rPr>
          <w:sz w:val="20"/>
          <w:szCs w:val="20"/>
          <w:color w:val="auto"/>
        </w:rPr>
      </w:pPr>
    </w:p>
    <w:p>
      <w:pPr>
        <w:ind w:left="980" w:hanging="239"/>
        <w:spacing w:after="0"/>
        <w:tabs>
          <w:tab w:leader="none" w:pos="980" w:val="left"/>
        </w:tabs>
        <w:numPr>
          <w:ilvl w:val="0"/>
          <w:numId w:val="5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number of Directors shall be fixed from time to time in the manner provided in the Bylaws.</w:t>
      </w:r>
    </w:p>
    <w:p>
      <w:pPr>
        <w:spacing w:after="0" w:line="113" w:lineRule="exact"/>
        <w:rPr>
          <w:rFonts w:ascii="Times New Roman" w:cs="Times New Roman" w:eastAsia="Times New Roman" w:hAnsi="Times New Roman"/>
          <w:sz w:val="18"/>
          <w:szCs w:val="18"/>
          <w:u w:val="single" w:color="auto"/>
          <w:color w:val="0000FF"/>
        </w:rPr>
      </w:pPr>
    </w:p>
    <w:p>
      <w:pPr>
        <w:jc w:val="both"/>
        <w:ind w:left="20" w:firstLine="721"/>
        <w:spacing w:after="0" w:line="256" w:lineRule="auto"/>
        <w:tabs>
          <w:tab w:leader="none" w:pos="1002" w:val="left"/>
        </w:tabs>
        <w:numPr>
          <w:ilvl w:val="0"/>
          <w:numId w:val="5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Notwithstanding anything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this Certificate of Incorporation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term “</w:t>
      </w:r>
      <w:r>
        <w:rPr>
          <w:rFonts w:ascii="Times New Roman" w:cs="Times New Roman" w:eastAsia="Times New Roman" w:hAnsi="Times New Roman"/>
          <w:sz w:val="18"/>
          <w:szCs w:val="18"/>
          <w:b w:val="1"/>
          <w:bCs w:val="1"/>
          <w:i w:val="1"/>
          <w:iCs w:val="1"/>
          <w:color w:val="FF0000"/>
          <w:strike w:val="1"/>
        </w:rPr>
        <w:t>Whole</w:t>
      </w:r>
      <w:r>
        <w:rPr>
          <w:rFonts w:ascii="Times New Roman" w:cs="Times New Roman" w:eastAsia="Times New Roman" w:hAnsi="Times New Roman"/>
          <w:sz w:val="18"/>
          <w:szCs w:val="18"/>
          <w:u w:val="single" w:color="auto"/>
          <w:color w:val="0000FF"/>
        </w:rPr>
        <w:t>contrary, in the event that Nexus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STORY 3, as applicable, no longer has the right to designate a Director for appointment by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FF0000"/>
          <w:strike w:val="1"/>
        </w:rPr>
        <w:t>” shall mean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 xml:space="preserve">total number of authorized directors (from time to time) whether or not there exist any vacancies in previously authorized directorships or newly created directorships. </w:t>
      </w:r>
      <w:r>
        <w:rPr>
          <w:rFonts w:ascii="Times New Roman" w:cs="Times New Roman" w:eastAsia="Times New Roman" w:hAnsi="Times New Roman"/>
          <w:sz w:val="18"/>
          <w:szCs w:val="18"/>
          <w:u w:val="single" w:color="auto"/>
          <w:color w:val="0000FF"/>
          <w:strike w:val="1"/>
        </w:rPr>
        <w:t>pursuant to the Investor Rights Agreement (each such occurrence, a “</w:t>
      </w:r>
      <w:r>
        <w:rPr>
          <w:rFonts w:ascii="Times New Roman" w:cs="Times New Roman" w:eastAsia="Times New Roman" w:hAnsi="Times New Roman"/>
          <w:sz w:val="18"/>
          <w:szCs w:val="18"/>
          <w:b w:val="1"/>
          <w:bCs w:val="1"/>
          <w:i w:val="1"/>
          <w:iCs w:val="1"/>
          <w:u w:val="single" w:color="auto"/>
          <w:color w:val="0000FF"/>
          <w:strike w:val="1"/>
        </w:rPr>
        <w:t>Loss of</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i w:val="1"/>
          <w:iCs w:val="1"/>
          <w:u w:val="single" w:color="auto"/>
          <w:color w:val="0000FF"/>
          <w:strike w:val="1"/>
        </w:rPr>
        <w:t>Designation Rights</w:t>
      </w:r>
      <w:r>
        <w:rPr>
          <w:rFonts w:ascii="Times New Roman" w:cs="Times New Roman" w:eastAsia="Times New Roman" w:hAnsi="Times New Roman"/>
          <w:sz w:val="18"/>
          <w:szCs w:val="18"/>
          <w:u w:val="single" w:color="auto"/>
          <w:color w:val="0000FF"/>
          <w:strike w:val="1"/>
        </w:rPr>
        <w:t>”), then (unless a majority of Directors (with the affected party’s Board of Directors designees abstaining) agree</w:t>
      </w:r>
      <w:r>
        <w:rPr>
          <w:rFonts w:ascii="Times New Roman" w:cs="Times New Roman" w:eastAsia="Times New Roman" w:hAnsi="Times New Roman"/>
          <w:sz w:val="18"/>
          <w:szCs w:val="18"/>
          <w:b w:val="1"/>
          <w:bCs w:val="1"/>
          <w:i w:val="1"/>
          <w:iCs w:val="1"/>
          <w:u w:val="single" w:color="auto"/>
          <w:color w:val="0000FF"/>
          <w:strike w:val="1"/>
        </w:rPr>
        <w:t xml:space="preserve"> </w:t>
      </w:r>
      <w:r>
        <w:rPr>
          <w:rFonts w:ascii="Times New Roman" w:cs="Times New Roman" w:eastAsia="Times New Roman" w:hAnsi="Times New Roman"/>
          <w:sz w:val="18"/>
          <w:szCs w:val="18"/>
          <w:u w:val="single" w:color="auto"/>
          <w:color w:val="0000FF"/>
          <w:strike w:val="1"/>
        </w:rPr>
        <w:t>in writing that such Director’s term shall not expire as a result of a Loss of Designation Rights) the term of such Director designated for appointment by Nexus or STORY 3, as applicable, shall expire upon such Loss of Designation Rights.</w:t>
      </w:r>
    </w:p>
    <w:p>
      <w:pPr>
        <w:spacing w:after="0" w:line="79"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xml:space="preserve">. Except as otherwise required by law and </w:t>
      </w:r>
      <w:r>
        <w:rPr>
          <w:rFonts w:ascii="Times New Roman" w:cs="Times New Roman" w:eastAsia="Times New Roman" w:hAnsi="Times New Roman"/>
          <w:sz w:val="18"/>
          <w:szCs w:val="18"/>
          <w:color w:val="FF0000"/>
          <w:strike w:val="1"/>
        </w:rPr>
        <w:t>the separate rights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holders of any series of Preferred Stock then outstanding in respect of Preferred Stock Directors</w:t>
      </w:r>
      <w:r>
        <w:rPr>
          <w:rFonts w:ascii="Times New Roman" w:cs="Times New Roman" w:eastAsia="Times New Roman" w:hAnsi="Times New Roman"/>
          <w:sz w:val="18"/>
          <w:szCs w:val="18"/>
          <w:u w:val="single" w:color="auto"/>
          <w:color w:val="0000FF"/>
        </w:rPr>
        <w:t>this Certificate of 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only by a majority of the Directors then in office, though less than a quorum, or by a sole remaining Director, and shall not be filled by the stockholders unless the Board of Directors determines by resolution that any such vacancy or newly created directorship shall be filled by the stockholders</w:t>
      </w:r>
      <w:r>
        <w:rPr>
          <w:rFonts w:ascii="Times New Roman" w:cs="Times New Roman" w:eastAsia="Times New Roman" w:hAnsi="Times New Roman"/>
          <w:sz w:val="18"/>
          <w:szCs w:val="18"/>
          <w:color w:val="FF0000"/>
          <w:strike w:val="1"/>
        </w:rPr>
        <w:t>. Any director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that, in the event of a vacancy 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the Board of Directors resulting from the death, resignation, disqualification, removal from office or other cause with respect to a Director designated for appointment in accordance with the Investor Rights Agreement, the Person or Persons entitled to designate such Director in accordance with the Investor Rights Agreement shall have the exclusive right to identify a replacement Director for appointment by the Board of Directors to fill such vacancy. Any Director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elected to fill a newly created directorship or vacancy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in accordance with the preceding sentence shall hold office until the next annual meeting of stockholders held to elect the class of </w:t>
      </w:r>
      <w:r>
        <w:rPr>
          <w:rFonts w:ascii="Times New Roman" w:cs="Times New Roman" w:eastAsia="Times New Roman" w:hAnsi="Times New Roman"/>
          <w:sz w:val="18"/>
          <w:szCs w:val="18"/>
          <w:color w:val="FF0000"/>
          <w:strike w:val="1"/>
        </w:rPr>
        <w:t>directors</w:t>
      </w:r>
      <w:r>
        <w:rPr>
          <w:rFonts w:ascii="Times New Roman" w:cs="Times New Roman" w:eastAsia="Times New Roman" w:hAnsi="Times New Roman"/>
          <w:sz w:val="18"/>
          <w:szCs w:val="18"/>
          <w:u w:val="single" w:color="auto"/>
          <w:color w:val="0000FF"/>
        </w:rPr>
        <w:t>Directors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 which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director</w:t>
      </w:r>
      <w:r>
        <w:rPr>
          <w:rFonts w:ascii="Times New Roman" w:cs="Times New Roman" w:eastAsia="Times New Roman" w:hAnsi="Times New Roman"/>
          <w:sz w:val="18"/>
          <w:szCs w:val="18"/>
          <w:u w:val="single" w:color="auto"/>
          <w:color w:val="0000FF"/>
        </w:rPr>
        <w:t>Director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is elected and until his or her successor is duly elected and qualified or until his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her earlier death, resignation, retirement, disqualification, or removal. </w:t>
      </w:r>
      <w:r>
        <w:rPr>
          <w:rFonts w:ascii="Times New Roman" w:cs="Times New Roman" w:eastAsia="Times New Roman" w:hAnsi="Times New Roman"/>
          <w:sz w:val="18"/>
          <w:szCs w:val="18"/>
          <w:color w:val="0000FF"/>
        </w:rPr>
        <w:t>The Secretary of the Corporation shall maintain a copy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Investor Rights Agreement at the principal executive offices of the Corporation and a copy thereof shall be provided free of charge to any stockholder who makes a request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-283845</wp:posOffset>
            </wp:positionV>
            <wp:extent cx="28460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-300990</wp:posOffset>
            </wp:positionV>
            <wp:extent cx="28416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41625" cy="8255"/>
                    </a:xfrm>
                    <a:prstGeom prst="rect">
                      <a:avLst/>
                    </a:prstGeom>
                    <a:noFill/>
                  </pic:spPr>
                </pic:pic>
              </a:graphicData>
            </a:graphic>
          </wp:anchor>
        </w:drawing>
      </w:r>
    </w:p>
    <w:p>
      <w:pPr>
        <w:spacing w:after="0" w:line="1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Section 6.5 Quorum; Vote Required.</w:t>
      </w:r>
    </w:p>
    <w:p>
      <w:pPr>
        <w:spacing w:after="0" w:line="117" w:lineRule="exact"/>
        <w:rPr>
          <w:sz w:val="20"/>
          <w:szCs w:val="20"/>
          <w:color w:val="auto"/>
        </w:rPr>
      </w:pPr>
    </w:p>
    <w:p>
      <w:pPr>
        <w:jc w:val="both"/>
        <w:ind w:left="20" w:firstLine="721"/>
        <w:spacing w:after="0" w:line="256" w:lineRule="auto"/>
        <w:tabs>
          <w:tab w:leader="none" w:pos="994" w:val="left"/>
        </w:tabs>
        <w:numPr>
          <w:ilvl w:val="0"/>
          <w:numId w:val="5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Subject to Section 6.5(b), at all meetings of the Board of Directors a majority of the Whole Board of Directors shall constitute a quorum for the transaction of business. The affirmative vote of a majority of the Directors present at any meeting of the Board of Directors at which a quorum is present shall be the act of the Board of Directors, except as may be otherwise specifically required by applicable law or this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79" w:lineRule="exact"/>
        <w:rPr>
          <w:rFonts w:ascii="Times New Roman" w:cs="Times New Roman" w:eastAsia="Times New Roman" w:hAnsi="Times New Roman"/>
          <w:sz w:val="18"/>
          <w:szCs w:val="18"/>
          <w:u w:val="single" w:color="auto"/>
          <w:color w:val="0000FF"/>
        </w:rPr>
      </w:pPr>
    </w:p>
    <w:p>
      <w:pPr>
        <w:jc w:val="both"/>
        <w:ind w:left="20" w:firstLine="721"/>
        <w:spacing w:after="0" w:line="254" w:lineRule="auto"/>
        <w:tabs>
          <w:tab w:leader="none" w:pos="996" w:val="left"/>
        </w:tabs>
        <w:numPr>
          <w:ilvl w:val="0"/>
          <w:numId w:val="5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In addition to any requirements under the DGCL or this Certificate of Incorporation, (i) so long as Nexus has the right to appoint the Nexus Director in accordance with the Investor Rights Agreement, the Nexus Director must be present (in person or by means of conference telephone or other communications equipment by means of which all Persons participating in the meeting can hear each other) at any meeting of the Board of Directors for a quorum to exist and (ii) so long as STORY 3 has the right to appoint the STORY 3 Director in accordance with the Investor Rights Agreement, the STORY 3 Director must be present (in person or by means of conference telephone or other communications equipment by means of which all Persons participating in the meeting can hear each other) at any meeting of the Board of Directors for a quorum to exist;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however</w:t>
      </w:r>
      <w:r>
        <w:rPr>
          <w:rFonts w:ascii="Times New Roman" w:cs="Times New Roman" w:eastAsia="Times New Roman" w:hAnsi="Times New Roman"/>
          <w:sz w:val="18"/>
          <w:szCs w:val="18"/>
          <w:u w:val="single" w:color="auto"/>
          <w:color w:val="0000FF"/>
        </w:rPr>
        <w:t>, that if the Nexus Director or the STORY 3</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u w:val="single" w:color="auto"/>
          <w:color w:val="0000FF"/>
        </w:rPr>
        <w:t>Director, as applicable, fails to attend three (3) or more consecutive meetings of the Board of Directors that are held during ordinary business hours for which such Director has received notice at least two (2) business days prior to such meeting, quorum shall be deemed to be present at the next meeting immediately following such failure held during ordinary business hours for which such Director has received notice at least two (2) business days prior to such meeting so long as the other Directors required for quorum pursuant to this Section 6.5 are present.</w:t>
      </w:r>
    </w:p>
    <w:p>
      <w:pPr>
        <w:spacing w:after="0" w:line="75" w:lineRule="exact"/>
        <w:rPr>
          <w:sz w:val="20"/>
          <w:szCs w:val="20"/>
          <w:color w:val="auto"/>
        </w:rPr>
      </w:pPr>
    </w:p>
    <w:p>
      <w:pPr>
        <w:jc w:val="both"/>
        <w:ind w:left="20"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Removal</w:t>
      </w:r>
      <w:r>
        <w:rPr>
          <w:rFonts w:ascii="Times New Roman" w:cs="Times New Roman" w:eastAsia="Times New Roman" w:hAnsi="Times New Roman"/>
          <w:sz w:val="18"/>
          <w:szCs w:val="18"/>
          <w:color w:val="FF0000"/>
          <w:strike w:val="1"/>
        </w:rPr>
        <w:t>. Subject to the rights of the holders of any series of Preferred Stock then outstanding in respect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Preferred Stock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6.6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strike w:val="1"/>
        </w:rPr>
        <w:t>Removal</w:t>
      </w:r>
      <w:r>
        <w:rPr>
          <w:rFonts w:ascii="Times New Roman" w:cs="Times New Roman" w:eastAsia="Times New Roman" w:hAnsi="Times New Roman"/>
          <w:sz w:val="18"/>
          <w:szCs w:val="18"/>
          <w:u w:val="single" w:color="auto"/>
          <w:color w:val="0000FF"/>
        </w:rPr>
        <w:t>. For so long as the Board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Directors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FF"/>
        </w:rPr>
        <w:t>is classified</w:t>
      </w:r>
      <w:r>
        <w:rPr>
          <w:rFonts w:ascii="Times New Roman" w:cs="Times New Roman" w:eastAsia="Times New Roman" w:hAnsi="Times New Roman"/>
          <w:sz w:val="18"/>
          <w:szCs w:val="18"/>
          <w:color w:val="000000"/>
        </w:rPr>
        <w:t>, any Director may be removed for cause only by 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affirmative vote of the holders of </w:t>
      </w:r>
      <w:r>
        <w:rPr>
          <w:rFonts w:ascii="Times New Roman" w:cs="Times New Roman" w:eastAsia="Times New Roman" w:hAnsi="Times New Roman"/>
          <w:sz w:val="18"/>
          <w:szCs w:val="18"/>
          <w:color w:val="FF0000"/>
          <w:strike w:val="1"/>
        </w:rPr>
        <w:t>at least two-thirds</w:t>
      </w:r>
      <w:r>
        <w:rPr>
          <w:rFonts w:ascii="Times New Roman" w:cs="Times New Roman" w:eastAsia="Times New Roman" w:hAnsi="Times New Roman"/>
          <w:sz w:val="18"/>
          <w:szCs w:val="18"/>
          <w:u w:val="single" w:color="auto"/>
          <w:color w:val="0000FF"/>
        </w:rPr>
        <w:t>a majority</w:t>
      </w:r>
      <w:r>
        <w:rPr>
          <w:rFonts w:ascii="Times New Roman" w:cs="Times New Roman" w:eastAsia="Times New Roman" w:hAnsi="Times New Roman"/>
          <w:sz w:val="18"/>
          <w:szCs w:val="18"/>
          <w:color w:val="000000"/>
        </w:rPr>
        <w:t xml:space="preserve"> of the voting power of all of the then outstanding shares of capital stock entitled to vote generally in the election of </w:t>
      </w:r>
      <w:r>
        <w:rPr>
          <w:rFonts w:ascii="Times New Roman" w:cs="Times New Roman" w:eastAsia="Times New Roman" w:hAnsi="Times New Roman"/>
          <w:sz w:val="18"/>
          <w:szCs w:val="18"/>
          <w:color w:val="FF0000"/>
          <w:strike w:val="1"/>
        </w:rPr>
        <w:t>directors</w:t>
      </w:r>
      <w:r>
        <w:rPr>
          <w:rFonts w:ascii="Times New Roman" w:cs="Times New Roman" w:eastAsia="Times New Roman" w:hAnsi="Times New Roman"/>
          <w:sz w:val="18"/>
          <w:szCs w:val="18"/>
          <w:u w:val="single" w:color="auto"/>
          <w:color w:val="0000FF"/>
        </w:rPr>
        <w:t>Directors</w:t>
      </w:r>
      <w:r>
        <w:rPr>
          <w:rFonts w:ascii="Times New Roman" w:cs="Times New Roman" w:eastAsia="Times New Roman" w:hAnsi="Times New Roman"/>
          <w:sz w:val="18"/>
          <w:szCs w:val="18"/>
          <w:color w:val="000000"/>
        </w:rPr>
        <w:t>, at a meeting duly called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-294005</wp:posOffset>
            </wp:positionV>
            <wp:extent cx="5657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-311150</wp:posOffset>
            </wp:positionV>
            <wp:extent cx="5645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4515" cy="8890"/>
                    </a:xfrm>
                    <a:prstGeom prst="rect">
                      <a:avLst/>
                    </a:prstGeom>
                    <a:noFill/>
                  </pic:spPr>
                </pic:pic>
              </a:graphicData>
            </a:graphic>
          </wp:anchor>
        </w:drawing>
      </w:r>
    </w:p>
    <w:p>
      <w:pPr>
        <w:spacing w:after="0" w:line="52" w:lineRule="exact"/>
        <w:rPr>
          <w:sz w:val="20"/>
          <w:szCs w:val="20"/>
          <w:color w:val="auto"/>
        </w:rPr>
      </w:pPr>
    </w:p>
    <w:p>
      <w:pPr>
        <w:jc w:val="both"/>
        <w:ind w:left="20"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6.6</w:t>
      </w:r>
      <w:r>
        <w:rPr>
          <w:rFonts w:ascii="Times New Roman" w:cs="Times New Roman" w:eastAsia="Times New Roman" w:hAnsi="Times New Roman"/>
          <w:sz w:val="18"/>
          <w:szCs w:val="18"/>
          <w:u w:val="single" w:color="auto"/>
          <w:color w:val="0000FF"/>
        </w:rPr>
        <w:t>6.7 Notice</w:t>
      </w:r>
      <w:r>
        <w:rPr>
          <w:rFonts w:ascii="Times New Roman" w:cs="Times New Roman" w:eastAsia="Times New Roman" w:hAnsi="Times New Roman"/>
          <w:sz w:val="18"/>
          <w:szCs w:val="18"/>
          <w:color w:val="auto"/>
        </w:rPr>
        <w:t>. Advance notice of stockholder nominations for election of Directors and other business to be brought by stockholders before a meeting of stockholders shall be given in the manner provided by the Bylaws.</w:t>
      </w:r>
    </w:p>
    <w:p>
      <w:pPr>
        <w:spacing w:after="0" w:line="54" w:lineRule="exact"/>
        <w:rPr>
          <w:sz w:val="20"/>
          <w:szCs w:val="20"/>
          <w:color w:val="auto"/>
        </w:rPr>
      </w:pPr>
    </w:p>
    <w:p>
      <w:pPr>
        <w:jc w:val="both"/>
        <w:ind w:left="20" w:firstLine="360"/>
        <w:spacing w:after="0" w:line="261" w:lineRule="auto"/>
        <w:rPr>
          <w:sz w:val="20"/>
          <w:szCs w:val="20"/>
          <w:color w:val="auto"/>
        </w:rPr>
      </w:pPr>
      <w:r>
        <w:rPr>
          <w:rFonts w:ascii="Times New Roman" w:cs="Times New Roman" w:eastAsia="Times New Roman" w:hAnsi="Times New Roman"/>
          <w:sz w:val="18"/>
          <w:szCs w:val="18"/>
          <w:u w:val="single" w:color="auto"/>
          <w:color w:val="0000FF"/>
        </w:rPr>
        <w:t>Section 6.8 Special Meetings of Stockholders. Subject to applicable law, special meetings of stockholders of the Corporation may be called, for any purpose or purposes, at any time only by or at the direction of (i) a majority of the Whole Board of Directors, (ii) the chairperson of the Board of Directors or (iii) the holders of at least forty percent (40%) of the voting power of all of the then-outstanding shares of the Corporation, and may not be called by any other person or persons.</w:t>
      </w:r>
    </w:p>
    <w:p>
      <w:pPr>
        <w:spacing w:after="0" w:line="72" w:lineRule="exact"/>
        <w:rPr>
          <w:sz w:val="20"/>
          <w:szCs w:val="20"/>
          <w:color w:val="auto"/>
        </w:rPr>
      </w:pPr>
    </w:p>
    <w:p>
      <w:pPr>
        <w:jc w:val="both"/>
        <w:ind w:left="20" w:firstLine="360"/>
        <w:spacing w:after="0" w:line="253" w:lineRule="auto"/>
        <w:rPr>
          <w:sz w:val="20"/>
          <w:szCs w:val="20"/>
          <w:color w:val="auto"/>
        </w:rPr>
      </w:pPr>
      <w:r>
        <w:rPr>
          <w:rFonts w:ascii="Times New Roman" w:cs="Times New Roman" w:eastAsia="Times New Roman" w:hAnsi="Times New Roman"/>
          <w:sz w:val="18"/>
          <w:szCs w:val="18"/>
          <w:color w:val="FF0000"/>
          <w:strike w:val="1"/>
        </w:rPr>
        <w:t>Section 6.7</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Preferred Directors</w:t>
      </w:r>
      <w:r>
        <w:rPr>
          <w:rFonts w:ascii="Times New Roman" w:cs="Times New Roman" w:eastAsia="Times New Roman" w:hAnsi="Times New Roman"/>
          <w:sz w:val="18"/>
          <w:szCs w:val="18"/>
          <w:color w:val="FF0000"/>
        </w:rPr>
        <w:t xml:space="preserv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w:t>
      </w:r>
      <w:r>
        <w:rPr>
          <w:rFonts w:ascii="Times New Roman" w:cs="Times New Roman" w:eastAsia="Times New Roman" w:hAnsi="Times New Roman"/>
          <w:sz w:val="18"/>
          <w:szCs w:val="18"/>
          <w:color w:val="FF0000"/>
          <w:strike w:val="1"/>
        </w:rPr>
        <w:t>Certificate of Incorporation (including any Preferred Stock Designation) applicable thereto.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number of directors that may be elected by the holders of any such series of Preferred Stock shall be in addition to the</w:t>
      </w:r>
      <w:r>
        <w:rPr>
          <w:rFonts w:ascii="Times New Roman" w:cs="Times New Roman" w:eastAsia="Times New Roman" w:hAnsi="Times New Roman"/>
          <w:sz w:val="18"/>
          <w:szCs w:val="18"/>
          <w:color w:val="FF0000"/>
        </w:rPr>
        <w:t xml:space="preserve"> number fixed pursuant to Section 6.3 hereof, and the total number of directors constituting the Whole </w:t>
      </w:r>
      <w:r>
        <w:rPr>
          <w:rFonts w:ascii="Times New Roman" w:cs="Times New Roman" w:eastAsia="Times New Roman" w:hAnsi="Times New Roman"/>
          <w:sz w:val="18"/>
          <w:szCs w:val="18"/>
          <w:color w:val="FF0000"/>
          <w:strike w:val="1"/>
        </w:rPr>
        <w:t>Board of Directors shall be automatically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VII.</w:t>
      </w:r>
    </w:p>
    <w:p>
      <w:pPr>
        <w:spacing w:after="0" w:line="99" w:lineRule="exact"/>
        <w:rPr>
          <w:sz w:val="20"/>
          <w:szCs w:val="20"/>
          <w:color w:val="auto"/>
        </w:rPr>
      </w:pPr>
    </w:p>
    <w:p>
      <w:pPr>
        <w:jc w:val="both"/>
        <w:ind w:left="20" w:firstLine="360"/>
        <w:spacing w:after="0" w:line="253" w:lineRule="auto"/>
        <w:rPr>
          <w:sz w:val="20"/>
          <w:szCs w:val="20"/>
          <w:color w:val="auto"/>
        </w:rPr>
      </w:pPr>
      <w:r>
        <w:rPr>
          <w:rFonts w:ascii="Times New Roman" w:cs="Times New Roman" w:eastAsia="Times New Roman" w:hAnsi="Times New Roman"/>
          <w:sz w:val="18"/>
          <w:szCs w:val="18"/>
          <w:color w:val="FF0000"/>
          <w:strike w:val="1"/>
        </w:rPr>
        <w:t>No</w:t>
      </w:r>
      <w:r>
        <w:rPr>
          <w:rFonts w:ascii="Times New Roman" w:cs="Times New Roman" w:eastAsia="Times New Roman" w:hAnsi="Times New Roman"/>
          <w:sz w:val="18"/>
          <w:szCs w:val="18"/>
          <w:u w:val="single" w:color="auto"/>
          <w:color w:val="FF0000"/>
        </w:rPr>
        <w:t>Any</w:t>
      </w:r>
      <w:r>
        <w:rPr>
          <w:rFonts w:ascii="Times New Roman" w:cs="Times New Roman" w:eastAsia="Times New Roman" w:hAnsi="Times New Roman"/>
          <w:sz w:val="18"/>
          <w:szCs w:val="18"/>
          <w:color w:val="FF0000"/>
        </w:rPr>
        <w:t xml:space="preserve"> action required or permitted to be taken at any </w:t>
      </w:r>
      <w:r>
        <w:rPr>
          <w:rFonts w:ascii="Times New Roman" w:cs="Times New Roman" w:eastAsia="Times New Roman" w:hAnsi="Times New Roman"/>
          <w:sz w:val="18"/>
          <w:szCs w:val="18"/>
          <w:color w:val="FF0000"/>
          <w:strike w:val="1"/>
        </w:rPr>
        <w:t>annual or special</w:t>
      </w:r>
      <w:r>
        <w:rPr>
          <w:rFonts w:ascii="Times New Roman" w:cs="Times New Roman" w:eastAsia="Times New Roman" w:hAnsi="Times New Roman"/>
          <w:sz w:val="18"/>
          <w:szCs w:val="18"/>
          <w:color w:val="FF0000"/>
        </w:rPr>
        <w:t xml:space="preserve"> meeting of </w:t>
      </w:r>
      <w:r>
        <w:rPr>
          <w:rFonts w:ascii="Times New Roman" w:cs="Times New Roman" w:eastAsia="Times New Roman" w:hAnsi="Times New Roman"/>
          <w:sz w:val="18"/>
          <w:szCs w:val="18"/>
          <w:color w:val="FF0000"/>
          <w:strike w:val="1"/>
        </w:rPr>
        <w:t>stockholders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the holders of Class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Common Stock</w:t>
      </w:r>
      <w:r>
        <w:rPr>
          <w:rFonts w:ascii="Times New Roman" w:cs="Times New Roman" w:eastAsia="Times New Roman" w:hAnsi="Times New Roman"/>
          <w:sz w:val="18"/>
          <w:szCs w:val="18"/>
          <w:color w:val="FF0000"/>
        </w:rPr>
        <w:t xml:space="preserve"> may be taken without a meeting</w:t>
      </w:r>
      <w:r>
        <w:rPr>
          <w:rFonts w:ascii="Times New Roman" w:cs="Times New Roman" w:eastAsia="Times New Roman" w:hAnsi="Times New Roman"/>
          <w:sz w:val="18"/>
          <w:szCs w:val="18"/>
          <w:color w:val="FF0000"/>
          <w:strike w:val="1"/>
        </w:rPr>
        <w:t>. No action shall be taken by the stockholders of the Corporation by consent.</w:t>
      </w:r>
      <w:r>
        <w:rPr>
          <w:rFonts w:ascii="Times New Roman" w:cs="Times New Roman" w:eastAsia="Times New Roman" w:hAnsi="Times New Roman"/>
          <w:sz w:val="18"/>
          <w:szCs w:val="18"/>
          <w:u w:val="single" w:color="auto"/>
          <w:color w:val="FF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without prior notice and without a vote, if a written consent or consents, setting forth the action so taken, shall be signed by the holders of Class A Common Stock then outstanding having not less than the minimum number of votes that would be necessary to authorize or take such action at a meeting at which all shares of Class A Common Stock then outstanding were present and voted and shall be delivered to the Corporation in accordance with the DGCL. Prompt notice of the taking of corporate action without a meeting by less than unanimous consent of the holders of Class A Common Stock then outstanding shall, to the extent required by applicable law, be given to those holders of Class A Common Stock who have not consented and who, if the action had been taken at a meeting, would have been entitled to notice of the meeting if the record date for notice of such meeting had been the date that consents signed by a sufficient number of holders of Class A Common Stock to take the action were delivered to the Corporation in accordance with the DGCL.</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VIII.</w:t>
      </w:r>
    </w:p>
    <w:p>
      <w:pPr>
        <w:spacing w:after="0" w:line="99" w:lineRule="exact"/>
        <w:rPr>
          <w:sz w:val="20"/>
          <w:szCs w:val="20"/>
          <w:color w:val="auto"/>
        </w:rPr>
      </w:pPr>
    </w:p>
    <w:p>
      <w:pPr>
        <w:jc w:val="both"/>
        <w:ind w:left="20" w:firstLine="360"/>
        <w:spacing w:after="0" w:line="253" w:lineRule="auto"/>
        <w:rPr>
          <w:sz w:val="20"/>
          <w:szCs w:val="20"/>
          <w:color w:val="auto"/>
        </w:rPr>
      </w:pPr>
      <w:r>
        <w:rPr>
          <w:rFonts w:ascii="Times New Roman" w:cs="Times New Roman" w:eastAsia="Times New Roman" w:hAnsi="Times New Roman"/>
          <w:sz w:val="18"/>
          <w:szCs w:val="18"/>
          <w:color w:val="auto"/>
        </w:rPr>
        <w:t xml:space="preserve">Except with respect to </w:t>
      </w:r>
      <w:r>
        <w:rPr>
          <w:rFonts w:ascii="Times New Roman" w:cs="Times New Roman" w:eastAsia="Times New Roman" w:hAnsi="Times New Roman"/>
          <w:sz w:val="18"/>
          <w:szCs w:val="18"/>
          <w:u w:val="single" w:color="auto"/>
          <w:color w:val="auto"/>
        </w:rPr>
        <w:t>Articles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in addition to any vote of the holders of shares of any class or series of capital stock of the Corporation required by applicable law or by this Certificate of Incorporation </w:t>
      </w:r>
      <w:r>
        <w:rPr>
          <w:rFonts w:ascii="Times New Roman" w:cs="Times New Roman" w:eastAsia="Times New Roman" w:hAnsi="Times New Roman"/>
          <w:sz w:val="18"/>
          <w:szCs w:val="18"/>
          <w:color w:val="FF0000"/>
          <w:strike w:val="1"/>
        </w:rPr>
        <w:t>(including any Certificate of Designation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 respect of one or more series of Preferred Stock)</w:t>
      </w:r>
      <w:r>
        <w:rPr>
          <w:rFonts w:ascii="Times New Roman" w:cs="Times New Roman" w:eastAsia="Times New Roman" w:hAnsi="Times New Roman"/>
          <w:sz w:val="18"/>
          <w:szCs w:val="18"/>
          <w:color w:val="000000"/>
        </w:rPr>
        <w:t>, the adoption, amendment or repeal of the Certificate of Incorporation shall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require the affirmative vote of the holders of </w:t>
      </w:r>
      <w:r>
        <w:rPr>
          <w:rFonts w:ascii="Times New Roman" w:cs="Times New Roman" w:eastAsia="Times New Roman" w:hAnsi="Times New Roman"/>
          <w:sz w:val="18"/>
          <w:szCs w:val="18"/>
          <w:color w:val="FF0000"/>
          <w:strike w:val="1"/>
        </w:rPr>
        <w:t>at least two-thirds</w:t>
      </w:r>
      <w:r>
        <w:rPr>
          <w:rFonts w:ascii="Times New Roman" w:cs="Times New Roman" w:eastAsia="Times New Roman" w:hAnsi="Times New Roman"/>
          <w:sz w:val="18"/>
          <w:szCs w:val="18"/>
          <w:u w:val="single" w:color="auto"/>
          <w:color w:val="0000FF"/>
        </w:rPr>
        <w:t>a majority</w:t>
      </w:r>
      <w:r>
        <w:rPr>
          <w:rFonts w:ascii="Times New Roman" w:cs="Times New Roman" w:eastAsia="Times New Roman" w:hAnsi="Times New Roman"/>
          <w:sz w:val="18"/>
          <w:szCs w:val="18"/>
          <w:color w:val="000000"/>
        </w:rPr>
        <w:t xml:space="preserve"> of the voting power of all of the then outstanding shares of voting stock of the Corporation entitled to vote thereon. 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IX.</w:t>
      </w:r>
    </w:p>
    <w:p>
      <w:pPr>
        <w:spacing w:after="0" w:line="99" w:lineRule="exact"/>
        <w:rPr>
          <w:sz w:val="20"/>
          <w:szCs w:val="20"/>
          <w:color w:val="auto"/>
        </w:rPr>
      </w:pPr>
    </w:p>
    <w:p>
      <w:pPr>
        <w:jc w:val="both"/>
        <w:ind w:left="20"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w:t>
      </w:r>
      <w:r>
        <w:rPr>
          <w:rFonts w:ascii="Times New Roman" w:cs="Times New Roman" w:eastAsia="Times New Roman" w:hAnsi="Times New Roman"/>
          <w:sz w:val="18"/>
          <w:szCs w:val="18"/>
          <w:u w:val="single" w:color="auto"/>
          <w:color w:val="0000FF"/>
        </w:rPr>
        <w:t>or officer of the Corporation</w:t>
      </w:r>
      <w:r>
        <w:rPr>
          <w:rFonts w:ascii="Times New Roman" w:cs="Times New Roman" w:eastAsia="Times New Roman" w:hAnsi="Times New Roman"/>
          <w:sz w:val="18"/>
          <w:szCs w:val="18"/>
          <w:color w:val="auto"/>
        </w:rPr>
        <w:t xml:space="preserve"> shall be personally liable to the Corporation or its stockholders for monetary damages for any breach of his or her fiduciary duties as a </w:t>
      </w:r>
      <w:r>
        <w:rPr>
          <w:rFonts w:ascii="Times New Roman" w:cs="Times New Roman" w:eastAsia="Times New Roman" w:hAnsi="Times New Roman"/>
          <w:sz w:val="18"/>
          <w:szCs w:val="18"/>
          <w:color w:val="FF0000"/>
          <w:strike w:val="1"/>
        </w:rPr>
        <w:t>director</w:t>
      </w:r>
      <w:r>
        <w:rPr>
          <w:rFonts w:ascii="Times New Roman" w:cs="Times New Roman" w:eastAsia="Times New Roman" w:hAnsi="Times New Roman"/>
          <w:sz w:val="18"/>
          <w:szCs w:val="18"/>
          <w:u w:val="single" w:color="auto"/>
          <w:color w:val="0000FF"/>
        </w:rPr>
        <w:t>Director or officer of the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that the foregoing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clause shall not eliminate or limit the liability of any officer of the Corporation in any action by or in the right of the 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No amendment to, or modification or repeal of, this </w:t>
      </w:r>
      <w:r>
        <w:rPr>
          <w:rFonts w:ascii="Times New Roman" w:cs="Times New Roman" w:eastAsia="Times New Roman" w:hAnsi="Times New Roman"/>
          <w:sz w:val="18"/>
          <w:szCs w:val="18"/>
          <w:u w:val="single" w:color="auto"/>
          <w:color w:val="000000"/>
        </w:rPr>
        <w:t>Article IX</w:t>
      </w:r>
      <w:r>
        <w:rPr>
          <w:rFonts w:ascii="Times New Roman" w:cs="Times New Roman" w:eastAsia="Times New Roman" w:hAnsi="Times New Roman"/>
          <w:sz w:val="18"/>
          <w:szCs w:val="18"/>
          <w:color w:val="000000"/>
        </w:rPr>
        <w:t xml:space="preserve"> shall adversely affect any right or protection of a Director or of any officer, employee or agent of the Corporation existing hereunder with respect to any act or omission occurring prior to such amendment, modification or repeal.</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20" w:firstLine="721"/>
        <w:spacing w:after="0" w:line="252" w:lineRule="auto"/>
        <w:tabs>
          <w:tab w:leader="none" w:pos="10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 STORY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Director or the Nexus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Director (or his or her respective affiliates) who is not employed by the Corporation or its subsidiaries (each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such Person, an “</w:t>
      </w:r>
      <w:r>
        <w:rPr>
          <w:rFonts w:ascii="Times New Roman" w:cs="Times New Roman" w:eastAsia="Times New Roman" w:hAnsi="Times New Roman"/>
          <w:sz w:val="18"/>
          <w:szCs w:val="18"/>
          <w:b w:val="1"/>
          <w:bCs w:val="1"/>
          <w:i w:val="1"/>
          <w:iCs w:val="1"/>
          <w:color w:val="000000"/>
        </w:rPr>
        <w:t>Exempt Person</w:t>
      </w:r>
      <w:r>
        <w:rPr>
          <w:rFonts w:ascii="Times New Roman" w:cs="Times New Roman" w:eastAsia="Times New Roman" w:hAnsi="Times New Roman"/>
          <w:sz w:val="18"/>
          <w:szCs w:val="18"/>
          <w:color w:val="000000"/>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10.1(a)</w:t>
      </w:r>
      <w:r>
        <w:rPr>
          <w:rFonts w:ascii="Times New Roman" w:cs="Times New Roman" w:eastAsia="Times New Roman" w:hAnsi="Times New Roman"/>
          <w:sz w:val="18"/>
          <w:szCs w:val="18"/>
          <w:color w:val="000000"/>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87" w:lineRule="exact"/>
        <w:rPr>
          <w:rFonts w:ascii="Times New Roman" w:cs="Times New Roman" w:eastAsia="Times New Roman" w:hAnsi="Times New Roman"/>
          <w:sz w:val="18"/>
          <w:szCs w:val="18"/>
          <w:color w:val="auto"/>
        </w:rPr>
      </w:pPr>
    </w:p>
    <w:p>
      <w:pPr>
        <w:jc w:val="both"/>
        <w:ind w:left="20" w:firstLine="721"/>
        <w:spacing w:after="0" w:line="255" w:lineRule="auto"/>
        <w:tabs>
          <w:tab w:leader="none" w:pos="10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81" w:lineRule="exact"/>
        <w:rPr>
          <w:sz w:val="20"/>
          <w:szCs w:val="20"/>
          <w:color w:val="auto"/>
        </w:rPr>
      </w:pPr>
    </w:p>
    <w:p>
      <w:pPr>
        <w:jc w:val="both"/>
        <w:ind w:left="20" w:firstLine="360"/>
        <w:spacing w:after="0" w:line="266" w:lineRule="auto"/>
        <w:rPr>
          <w:sz w:val="20"/>
          <w:szCs w:val="20"/>
          <w:color w:val="auto"/>
        </w:rPr>
      </w:pPr>
      <w:r>
        <w:rPr>
          <w:rFonts w:ascii="Times New Roman" w:cs="Times New Roman" w:eastAsia="Times New Roman" w:hAnsi="Times New Roman"/>
          <w:sz w:val="18"/>
          <w:szCs w:val="18"/>
          <w:color w:val="FF0000"/>
          <w:strike w:val="1"/>
        </w:rPr>
        <w:t xml:space="preserve">Section 10.2 </w:t>
      </w:r>
      <w:r>
        <w:rPr>
          <w:rFonts w:ascii="Times New Roman" w:cs="Times New Roman" w:eastAsia="Times New Roman" w:hAnsi="Times New Roman"/>
          <w:sz w:val="18"/>
          <w:szCs w:val="18"/>
          <w:u w:val="single" w:color="auto"/>
          <w:color w:val="FF0000"/>
          <w:strike w:val="1"/>
        </w:rPr>
        <w:t>Liability</w:t>
      </w:r>
      <w:r>
        <w:rPr>
          <w:rFonts w:ascii="Times New Roman" w:cs="Times New Roman" w:eastAsia="Times New Roman" w:hAnsi="Times New Roman"/>
          <w:sz w:val="18"/>
          <w:szCs w:val="18"/>
          <w:color w:val="FF0000"/>
          <w:strike w:val="1"/>
        </w:rPr>
        <w:t xml:space="preserve">. To the fullest extent permitted by law, no stockholder and no Director will be liable to the Corporation or its subsidiaries or stockholders for breach of any duty solely by reason of any activities or omissions of the types referred to in this </w:t>
      </w:r>
      <w:r>
        <w:rPr>
          <w:rFonts w:ascii="Times New Roman" w:cs="Times New Roman" w:eastAsia="Times New Roman" w:hAnsi="Times New Roman"/>
          <w:sz w:val="18"/>
          <w:szCs w:val="18"/>
          <w:u w:val="single" w:color="auto"/>
          <w:color w:val="FF0000"/>
          <w:strike w:val="1"/>
        </w:rPr>
        <w:t>Article X</w:t>
      </w:r>
      <w:r>
        <w:rPr>
          <w:rFonts w:ascii="Times New Roman" w:cs="Times New Roman" w:eastAsia="Times New Roman" w:hAnsi="Times New Roman"/>
          <w:sz w:val="18"/>
          <w:szCs w:val="18"/>
          <w:color w:val="FF0000"/>
          <w:strike w:val="1"/>
        </w:rPr>
        <w:t xml:space="preserve">, except to the extent such actions or omissions are in breach of this </w:t>
      </w:r>
      <w:r>
        <w:rPr>
          <w:rFonts w:ascii="Times New Roman" w:cs="Times New Roman" w:eastAsia="Times New Roman" w:hAnsi="Times New Roman"/>
          <w:sz w:val="18"/>
          <w:szCs w:val="18"/>
          <w:u w:val="single" w:color="auto"/>
          <w:color w:val="FF0000"/>
          <w:strike w:val="1"/>
        </w:rPr>
        <w:t>Article X.</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XI.</w:t>
      </w:r>
    </w:p>
    <w:p>
      <w:pPr>
        <w:spacing w:after="0" w:line="99"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(i) any derivative action, suit or proceeding brought on behalf of the Corporation, (ii) any action, suit or proceeding asserting a claim of breach of a fiduciary duty owed by any current or former Director, officer or other employee or stockholder of the Corporation to the Corporation or the Corporation’s stockholders, creditors or other constituents, (iii) any action, suit or proceeding asserting a claim arising pursuant to any provision of the DGCL, this Certificate of Incorporation or the Bylaws (as either may be amended or restated) or as to which the DGCL confers exclusive jurisdiction on the Court of Chancery of the State of Delaware (the “</w:t>
      </w:r>
      <w:r>
        <w:rPr>
          <w:rFonts w:ascii="Times New Roman" w:cs="Times New Roman" w:eastAsia="Times New Roman" w:hAnsi="Times New Roman"/>
          <w:sz w:val="18"/>
          <w:szCs w:val="18"/>
          <w:b w:val="1"/>
          <w:bCs w:val="1"/>
          <w:i w:val="1"/>
          <w:iCs w:val="1"/>
          <w:color w:val="auto"/>
        </w:rPr>
        <w:t>Court of Chancery</w:t>
      </w:r>
      <w:r>
        <w:rPr>
          <w:rFonts w:ascii="Times New Roman" w:cs="Times New Roman" w:eastAsia="Times New Roman" w:hAnsi="Times New Roman"/>
          <w:sz w:val="18"/>
          <w:szCs w:val="18"/>
          <w:color w:val="auto"/>
        </w:rPr>
        <w:t>”), or (iv) any action, suit or proceeding asserting a claim governed by the internal affairs doctrine, shall be exclusively brought in the Court of Chancery or, if such court does not have subject matter jurisdiction thereof, the federal district court of the District of Delaware or other state courts of the State of Delaware; and (b) the federal district courts of the United States of America (the “</w:t>
      </w:r>
      <w:r>
        <w:rPr>
          <w:rFonts w:ascii="Times New Roman" w:cs="Times New Roman" w:eastAsia="Times New Roman" w:hAnsi="Times New Roman"/>
          <w:sz w:val="18"/>
          <w:szCs w:val="18"/>
          <w:b w:val="1"/>
          <w:bCs w:val="1"/>
          <w:i w:val="1"/>
          <w:iCs w:val="1"/>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Courts</w:t>
      </w:r>
      <w:r>
        <w:rPr>
          <w:rFonts w:ascii="Times New Roman" w:cs="Times New Roman" w:eastAsia="Times New Roman" w:hAnsi="Times New Roman"/>
          <w:sz w:val="18"/>
          <w:szCs w:val="18"/>
          <w:color w:val="auto"/>
        </w:rPr>
        <w:t>”) shall be the exclusive forum for the resolution of any complaint asserting a cause of action arising under the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Act. If any provision or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be held to be invalid, illegal or unenforceable as applied to any </w:t>
      </w:r>
      <w:r>
        <w:rPr>
          <w:rFonts w:ascii="Times New Roman" w:cs="Times New Roman" w:eastAsia="Times New Roman" w:hAnsi="Times New Roman"/>
          <w:sz w:val="18"/>
          <w:szCs w:val="18"/>
          <w:color w:val="FF0000"/>
          <w:strike w:val="1"/>
        </w:rPr>
        <w:t>person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entity</w:t>
      </w:r>
      <w:r>
        <w:rPr>
          <w:rFonts w:ascii="Times New Roman" w:cs="Times New Roman" w:eastAsia="Times New Roman" w:hAnsi="Times New Roman"/>
          <w:sz w:val="18"/>
          <w:szCs w:val="18"/>
          <w:u w:val="single" w:color="auto"/>
          <w:color w:val="0000FF"/>
        </w:rPr>
        <w:t>Person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circumstance for any reason whatsoever, then, to the fullest extent permitted by law, the validity, legality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enforceability of such provisions in any other circumstance and of the remaining provisions of this </w:t>
      </w:r>
      <w:r>
        <w:rPr>
          <w:rFonts w:ascii="Times New Roman" w:cs="Times New Roman" w:eastAsia="Times New Roman" w:hAnsi="Times New Roman"/>
          <w:sz w:val="18"/>
          <w:szCs w:val="18"/>
          <w:u w:val="single" w:color="auto"/>
          <w:color w:val="000000"/>
        </w:rPr>
        <w:t>Article XI</w:t>
      </w:r>
      <w:r>
        <w:rPr>
          <w:rFonts w:ascii="Times New Roman" w:cs="Times New Roman" w:eastAsia="Times New Roman" w:hAnsi="Times New Roman"/>
          <w:sz w:val="18"/>
          <w:szCs w:val="18"/>
          <w:color w:val="000000"/>
        </w:rPr>
        <w:t xml:space="preserve"> (including, without limitation, each portion of any sentence of this </w:t>
      </w:r>
      <w:r>
        <w:rPr>
          <w:rFonts w:ascii="Times New Roman" w:cs="Times New Roman" w:eastAsia="Times New Roman" w:hAnsi="Times New Roman"/>
          <w:sz w:val="18"/>
          <w:szCs w:val="18"/>
          <w:u w:val="single" w:color="auto"/>
          <w:color w:val="000000"/>
        </w:rPr>
        <w:t>Article XI</w:t>
      </w:r>
      <w:r>
        <w:rPr>
          <w:rFonts w:ascii="Times New Roman" w:cs="Times New Roman" w:eastAsia="Times New Roman" w:hAnsi="Times New Roman"/>
          <w:sz w:val="18"/>
          <w:szCs w:val="18"/>
          <w:color w:val="000000"/>
        </w:rPr>
        <w:t xml:space="preserve"> containing any such provision held to be invalid, illegal or unenforceable that is not itself held to be invalid, illegal or</w:t>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 xml:space="preserve">unenforceable) and the application of such provision to other </w:t>
      </w:r>
      <w:r>
        <w:rPr>
          <w:rFonts w:ascii="Times New Roman" w:cs="Times New Roman" w:eastAsia="Times New Roman" w:hAnsi="Times New Roman"/>
          <w:sz w:val="18"/>
          <w:szCs w:val="18"/>
          <w:color w:val="FF0000"/>
          <w:strike w:val="1"/>
        </w:rPr>
        <w:t>persons or entities</w:t>
      </w:r>
      <w:r>
        <w:rPr>
          <w:rFonts w:ascii="Times New Roman" w:cs="Times New Roman" w:eastAsia="Times New Roman" w:hAnsi="Times New Roman"/>
          <w:sz w:val="18"/>
          <w:szCs w:val="18"/>
          <w:u w:val="single" w:color="auto"/>
          <w:color w:val="0000FF"/>
        </w:rPr>
        <w:t>Persons</w:t>
      </w:r>
      <w:r>
        <w:rPr>
          <w:rFonts w:ascii="Times New Roman" w:cs="Times New Roman" w:eastAsia="Times New Roman" w:hAnsi="Times New Roman"/>
          <w:sz w:val="18"/>
          <w:szCs w:val="18"/>
          <w:color w:val="auto"/>
        </w:rPr>
        <w:t xml:space="preserve"> and circumstances shall not in any way be affected or impaired thereby. If any action, the subject matter of which is within the scope of the first sentence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is filed in a court other than the Court of Chancery or the Federal Courts, as applicable,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xml:space="preserve">”) in the name of any stockholder, such stockholder shall be deemed to have consented to (i) the personal jurisdiction of the Court of Chancery and the other state and federal courts in the State of Delaware or the Federal Courts, as applicable, in connection with any action brought in any such court to enforce the first sentence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(ii) having service of process made upon such stockholder in any such action by service upon such stockholder’s counsel in the Foreign Action as agent for such stockholder. To the fullest extent permitted by law, any </w:t>
      </w:r>
      <w:r>
        <w:rPr>
          <w:rFonts w:ascii="Times New Roman" w:cs="Times New Roman" w:eastAsia="Times New Roman" w:hAnsi="Times New Roman"/>
          <w:sz w:val="18"/>
          <w:szCs w:val="18"/>
          <w:color w:val="FF0000"/>
          <w:strike w:val="1"/>
        </w:rPr>
        <w:t>person or entity</w:t>
      </w:r>
      <w:r>
        <w:rPr>
          <w:rFonts w:ascii="Times New Roman" w:cs="Times New Roman" w:eastAsia="Times New Roman" w:hAnsi="Times New Roman"/>
          <w:sz w:val="18"/>
          <w:szCs w:val="18"/>
          <w:u w:val="single" w:color="auto"/>
          <w:color w:val="0000FF"/>
        </w:rPr>
        <w:t>Person</w:t>
      </w:r>
      <w:r>
        <w:rPr>
          <w:rFonts w:ascii="Times New Roman" w:cs="Times New Roman" w:eastAsia="Times New Roman" w:hAnsi="Times New Roman"/>
          <w:sz w:val="18"/>
          <w:szCs w:val="18"/>
          <w:color w:val="auto"/>
        </w:rPr>
        <w:t xml:space="preserve"> purchasing or otherwise acquiring or holding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shall not apply to suits brought to enforce any liability or duty created by the Exchange Act or any other claim for which the federal courts of the United States have exclusive jurisdiction.</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XII.</w:t>
      </w:r>
    </w:p>
    <w:p>
      <w:pPr>
        <w:spacing w:after="0" w:line="99" w:lineRule="exact"/>
        <w:rPr>
          <w:sz w:val="20"/>
          <w:szCs w:val="20"/>
          <w:color w:val="auto"/>
        </w:rPr>
      </w:pPr>
    </w:p>
    <w:p>
      <w:pPr>
        <w:jc w:val="both"/>
        <w:ind w:left="20" w:firstLine="360"/>
        <w:spacing w:after="0" w:line="282" w:lineRule="auto"/>
        <w:rPr>
          <w:sz w:val="20"/>
          <w:szCs w:val="20"/>
          <w:color w:val="auto"/>
        </w:rPr>
      </w:pPr>
      <w:r>
        <w:rPr>
          <w:rFonts w:ascii="Times New Roman" w:cs="Times New Roman" w:eastAsia="Times New Roman" w:hAnsi="Times New Roman"/>
          <w:sz w:val="18"/>
          <w:szCs w:val="18"/>
          <w:color w:val="FF0000"/>
          <w:strike w:val="1"/>
        </w:rPr>
        <w:t>Section 12.1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Section 203 of the DGCL.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Corporation expressly elects not to be governed by Section 203 of the DGCL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restrictions and limitations set forth therein.</w:t>
      </w:r>
    </w:p>
    <w:p>
      <w:pPr>
        <w:spacing w:after="0" w:line="54" w:lineRule="exact"/>
        <w:rPr>
          <w:sz w:val="20"/>
          <w:szCs w:val="20"/>
          <w:color w:val="auto"/>
        </w:rPr>
      </w:pPr>
    </w:p>
    <w:p>
      <w:pPr>
        <w:jc w:val="both"/>
        <w:ind w:left="20" w:firstLine="360"/>
        <w:spacing w:after="0" w:line="256" w:lineRule="auto"/>
        <w:rPr>
          <w:sz w:val="20"/>
          <w:szCs w:val="20"/>
          <w:color w:val="auto"/>
        </w:rPr>
      </w:pPr>
      <w:r>
        <w:rPr>
          <w:rFonts w:ascii="Times New Roman" w:cs="Times New Roman" w:eastAsia="Times New Roman" w:hAnsi="Times New Roman"/>
          <w:sz w:val="18"/>
          <w:szCs w:val="18"/>
          <w:color w:val="FF0000"/>
          <w:strike w:val="1"/>
        </w:rPr>
        <w:t xml:space="preserve">Section 12.2 </w:t>
      </w:r>
      <w:r>
        <w:rPr>
          <w:rFonts w:ascii="Times New Roman" w:cs="Times New Roman" w:eastAsia="Times New Roman" w:hAnsi="Times New Roman"/>
          <w:sz w:val="18"/>
          <w:szCs w:val="18"/>
          <w:u w:val="single" w:color="auto"/>
          <w:color w:val="FF0000"/>
          <w:strike w:val="1"/>
        </w:rPr>
        <w:t>Business Combinations with Interested Stockholders</w:t>
      </w:r>
      <w:r>
        <w:rPr>
          <w:rFonts w:ascii="Times New Roman" w:cs="Times New Roman" w:eastAsia="Times New Roman" w:hAnsi="Times New Roman"/>
          <w:sz w:val="18"/>
          <w:szCs w:val="18"/>
          <w:color w:val="FF0000"/>
          <w:strike w:val="1"/>
        </w:rPr>
        <w:t>. Notwithstanding anything to the contrary set forth in this Certificate of Incorporation, at any point in time at which the Class A Common Stock or Class B Common Stock is listed on a national securities exchange registered under the Exchange Act or if the Corporation’s Class A Common Stock or Class B Common stock was so listed but is no longer so listed as a result of action taken directly or indirectly by the Interested Stockholder (as defined below), the Corporation shall not engage in a Business Combination (as defined below) with any Interested Stockholder for a period of three (3) years following the time that such stockholder became an Interested Stockholder, unless:</w:t>
      </w:r>
    </w:p>
    <w:p>
      <w:pPr>
        <w:spacing w:after="0" w:line="79" w:lineRule="exact"/>
        <w:rPr>
          <w:sz w:val="20"/>
          <w:szCs w:val="20"/>
          <w:color w:val="auto"/>
        </w:rPr>
      </w:pPr>
    </w:p>
    <w:p>
      <w:pPr>
        <w:ind w:left="20" w:firstLine="721"/>
        <w:spacing w:after="0" w:line="282" w:lineRule="auto"/>
        <w:tabs>
          <w:tab w:leader="none" w:pos="989" w:val="left"/>
        </w:tabs>
        <w:numPr>
          <w:ilvl w:val="0"/>
          <w:numId w:val="6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prior to such time that such stockholder became an Interested Stockholder, the Board of Directors approved either the Business Combination or the transaction which resulted in such stockholder becoming an Interested Stockholder;</w:t>
      </w:r>
    </w:p>
    <w:p>
      <w:pPr>
        <w:spacing w:after="0" w:line="53" w:lineRule="exact"/>
        <w:rPr>
          <w:rFonts w:ascii="Times New Roman" w:cs="Times New Roman" w:eastAsia="Times New Roman" w:hAnsi="Times New Roman"/>
          <w:sz w:val="18"/>
          <w:szCs w:val="18"/>
          <w:color w:val="FF0000"/>
          <w:strike w:val="1"/>
        </w:rPr>
      </w:pPr>
    </w:p>
    <w:p>
      <w:pPr>
        <w:jc w:val="both"/>
        <w:ind w:left="20" w:firstLine="721"/>
        <w:spacing w:after="0" w:line="256" w:lineRule="auto"/>
        <w:tabs>
          <w:tab w:leader="none" w:pos="1024" w:val="left"/>
        </w:tabs>
        <w:numPr>
          <w:ilvl w:val="0"/>
          <w:numId w:val="6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79" w:lineRule="exact"/>
        <w:rPr>
          <w:rFonts w:ascii="Times New Roman" w:cs="Times New Roman" w:eastAsia="Times New Roman" w:hAnsi="Times New Roman"/>
          <w:sz w:val="18"/>
          <w:szCs w:val="18"/>
          <w:color w:val="FF0000"/>
          <w:strike w:val="1"/>
        </w:rPr>
      </w:pPr>
    </w:p>
    <w:p>
      <w:pPr>
        <w:jc w:val="both"/>
        <w:ind w:left="20" w:firstLine="721"/>
        <w:spacing w:after="0" w:line="261" w:lineRule="auto"/>
        <w:tabs>
          <w:tab w:leader="none" w:pos="1000" w:val="left"/>
        </w:tabs>
        <w:numPr>
          <w:ilvl w:val="0"/>
          <w:numId w:val="6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at or subsequent to such time that such stockholder became an Interested Stockholder, the Business Combination is approved by the Board of Directors and authorized at an annual or special meeting of stockholders by the affirmative vote of at least sixty-six and two-thirds percent (66 2/3%) of the voting power of the outstanding shares of capital stock of the Corporation which is not owned by such Interested Stockholder.</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FF0000"/>
          <w:strike w:val="1"/>
        </w:rPr>
        <w:t xml:space="preserve">Section 12.3 </w:t>
      </w:r>
      <w:r>
        <w:rPr>
          <w:rFonts w:ascii="Times New Roman" w:cs="Times New Roman" w:eastAsia="Times New Roman" w:hAnsi="Times New Roman"/>
          <w:sz w:val="18"/>
          <w:szCs w:val="18"/>
          <w:u w:val="single" w:color="auto"/>
          <w:color w:val="FF0000"/>
          <w:strike w:val="1"/>
        </w:rPr>
        <w:t>Definitions</w:t>
      </w:r>
      <w:r>
        <w:rPr>
          <w:rFonts w:ascii="Times New Roman" w:cs="Times New Roman" w:eastAsia="Times New Roman" w:hAnsi="Times New Roman"/>
          <w:sz w:val="18"/>
          <w:szCs w:val="18"/>
          <w:color w:val="FF0000"/>
          <w:strike w:val="1"/>
        </w:rPr>
        <w:t>. As used in this Certificate of Incorporation, the following terms shall have the following meaning:</w:t>
      </w:r>
    </w:p>
    <w:p>
      <w:pPr>
        <w:spacing w:after="0" w:line="113" w:lineRule="exact"/>
        <w:rPr>
          <w:sz w:val="20"/>
          <w:szCs w:val="20"/>
          <w:color w:val="auto"/>
        </w:rPr>
      </w:pPr>
    </w:p>
    <w:p>
      <w:pPr>
        <w:jc w:val="both"/>
        <w:ind w:left="20" w:firstLine="721"/>
        <w:spacing w:after="0" w:line="254" w:lineRule="auto"/>
        <w:tabs>
          <w:tab w:leader="none" w:pos="985" w:val="left"/>
        </w:tabs>
        <w:numPr>
          <w:ilvl w:val="0"/>
          <w:numId w:val="6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Affiliate</w:t>
      </w:r>
      <w:r>
        <w:rPr>
          <w:rFonts w:ascii="Times New Roman" w:cs="Times New Roman" w:eastAsia="Times New Roman" w:hAnsi="Times New Roman"/>
          <w:sz w:val="18"/>
          <w:szCs w:val="18"/>
          <w:color w:val="FF0000"/>
          <w:strike w:val="1"/>
        </w:rPr>
        <w:t>” means a Person that directly, or indirectly through one or more intermediaries, controls, or is controlled by, or is under common control with, another Person and, for purposes of the definition of Affiliate “control,”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XII, as an agent, bank, broker, nominee, custodian or trustee for one or more owners who do not individually or as a group have control of such entity.</w:t>
      </w:r>
    </w:p>
    <w:p>
      <w:pPr>
        <w:spacing w:after="0" w:line="77" w:lineRule="exact"/>
        <w:rPr>
          <w:rFonts w:ascii="Times New Roman" w:cs="Times New Roman" w:eastAsia="Times New Roman" w:hAnsi="Times New Roman"/>
          <w:sz w:val="18"/>
          <w:szCs w:val="18"/>
          <w:color w:val="FF0000"/>
          <w:strike w:val="1"/>
        </w:rPr>
      </w:pPr>
    </w:p>
    <w:p>
      <w:pPr>
        <w:jc w:val="both"/>
        <w:ind w:left="20" w:firstLine="721"/>
        <w:spacing w:after="0" w:line="259" w:lineRule="auto"/>
        <w:tabs>
          <w:tab w:leader="none" w:pos="1049" w:val="left"/>
        </w:tabs>
        <w:numPr>
          <w:ilvl w:val="0"/>
          <w:numId w:val="6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Associate</w:t>
      </w:r>
      <w:r>
        <w:rPr>
          <w:rFonts w:ascii="Times New Roman" w:cs="Times New Roman" w:eastAsia="Times New Roman" w:hAnsi="Times New Roman"/>
          <w:sz w:val="18"/>
          <w:szCs w:val="18"/>
          <w:color w:val="FF0000"/>
          <w:strike w:val="1"/>
        </w:rPr>
        <w:t>”, when used to indicate a relationship with any Person, means: (i) any corporation, partnership, unincorporated association or other entity of which such Person is a director, officer or partner or is, directly or indirectly, the owner of 20% or more of any class of shares of voting stock of the Corporation;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1" w:lineRule="exact"/>
        <w:rPr>
          <w:rFonts w:ascii="Times New Roman" w:cs="Times New Roman" w:eastAsia="Times New Roman" w:hAnsi="Times New Roman"/>
          <w:sz w:val="18"/>
          <w:szCs w:val="18"/>
          <w:color w:val="FF0000"/>
          <w:strike w:val="1"/>
        </w:rPr>
      </w:pPr>
    </w:p>
    <w:p>
      <w:pPr>
        <w:jc w:val="both"/>
        <w:ind w:left="20" w:firstLine="721"/>
        <w:spacing w:after="0" w:line="259" w:lineRule="auto"/>
        <w:tabs>
          <w:tab w:leader="none" w:pos="985" w:val="left"/>
        </w:tabs>
        <w:numPr>
          <w:ilvl w:val="0"/>
          <w:numId w:val="6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Business Combination</w:t>
      </w:r>
      <w:r>
        <w:rPr>
          <w:rFonts w:ascii="Times New Roman" w:cs="Times New Roman" w:eastAsia="Times New Roman" w:hAnsi="Times New Roman"/>
          <w:sz w:val="18"/>
          <w:szCs w:val="18"/>
          <w:color w:val="FF0000"/>
          <w:strike w:val="1"/>
        </w:rPr>
        <w:t>” means (i)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this Article XII is not applicable to the surviving entity; (ii) any sale, lease, exchange, mortgage, pledge,</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FF0000"/>
          <w:strike w:val="1"/>
        </w:rPr>
        <w:t>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shares of capital stock of the Corporation;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 (iv)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any receipt by the interested stockholder of the benefit, directly or indirectly (except proportionately as a stockholder of the Corporation), of any loans, advances, guarantees, pledges, or other financial benefits (other than those expressly permitted in subsections (i) through (iv) above) provided by or through the Corporation or any direct or indirect majority-owned subsidiary.</w:t>
      </w:r>
    </w:p>
    <w:p>
      <w:pPr>
        <w:spacing w:after="0" w:line="93" w:lineRule="exact"/>
        <w:rPr>
          <w:sz w:val="20"/>
          <w:szCs w:val="20"/>
          <w:color w:val="auto"/>
        </w:rPr>
      </w:pPr>
    </w:p>
    <w:p>
      <w:pPr>
        <w:jc w:val="both"/>
        <w:ind w:left="20" w:firstLine="721"/>
        <w:spacing w:after="0" w:line="251" w:lineRule="auto"/>
        <w:tabs>
          <w:tab w:leader="none" w:pos="1008" w:val="left"/>
        </w:tabs>
        <w:numPr>
          <w:ilvl w:val="0"/>
          <w:numId w:val="6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Interested Stockholder</w:t>
      </w:r>
      <w:r>
        <w:rPr>
          <w:rFonts w:ascii="Times New Roman" w:cs="Times New Roman" w:eastAsia="Times New Roman" w:hAnsi="Times New Roman"/>
          <w:sz w:val="18"/>
          <w:szCs w:val="18"/>
          <w:color w:val="FF0000"/>
          <w:strike w:val="1"/>
        </w:rPr>
        <w:t xml:space="preserve">” means any Person (other than the Corporation and any direct or indirect majority-owned subsidiary of the Corporation) that (i) is the owner of fifteen percent (15%) or more of the outstanding voting stock of the Corporation, or (ii) is an Affiliate of the Corporation and was the owner of fifteen percent (15%) or more of the outstanding voting stock of the Corporation at any time within the three-year period immediately prior to the date on which it is sought to be determined whether such Person is an Interested Stockholder, and the Affiliates and Associates of such Person. Notwithstanding anything in this </w:t>
      </w:r>
      <w:r>
        <w:rPr>
          <w:rFonts w:ascii="Times New Roman" w:cs="Times New Roman" w:eastAsia="Times New Roman" w:hAnsi="Times New Roman"/>
          <w:sz w:val="18"/>
          <w:szCs w:val="18"/>
          <w:u w:val="single" w:color="auto"/>
          <w:color w:val="FF0000"/>
          <w:strike w:val="1"/>
        </w:rPr>
        <w:t>Article XII</w:t>
      </w:r>
      <w:r>
        <w:rPr>
          <w:rFonts w:ascii="Times New Roman" w:cs="Times New Roman" w:eastAsia="Times New Roman" w:hAnsi="Times New Roman"/>
          <w:sz w:val="18"/>
          <w:szCs w:val="18"/>
          <w:color w:val="FF0000"/>
          <w:strike w:val="1"/>
        </w:rPr>
        <w:t xml:space="preserve"> to the contrary, the term “Interested Stockholder” shall not include: (v) the JYH Related Parties or any of their current and future Affiliates (so long as such affiliate remains an affiliate) or Associates, including any investment funds managed, directly or indirectly, by JYH or any other Person with whom any of the foregoing are acting as a group or in concert for the purpose of acquiring, holding, voting or disposing of shares of capital stock of the Corporation; (w) the Bain Capital Ventures Related Parties or any of their current and future Affiliates (so long as such affiliate remains an affiliate) or Associates, including any investment funds affiliated with Bain Capital Ventures or any other Person with whom any of the foregoing are acting as a group or in concert for the purpose of acquiring, holding, voting or disposing of shares of capital stock of the Corporation; (x) the HCP Related Parties or any of their current and future Affiliates (so long as such affiliate remains an affiliate) or Associates, including any investment funds managed, directly or indirectly, by HCP or any other Person with whom any of the foregoing are acting as a group or in concert for the purpose of acquiring, holding, voting or disposing of shares of capital stock of the Corporation; (y) any Person who acquires ownership of fifteen percent (15%) or more of the then-outstanding voting stock of the Corporation directly or indirectly from a JYH Related Party, Bain Capital Ventures Related Party or a HCP Related Party, and excluding, for the avoidance of doubt, any Person who acquires voting stock of the Corporation through a broker’s transaction executed on any securities exchange or other over-the-counter market or pursuant to an underwritten public offering; (z) a stockholder that becomes an Interested Stockholder inadvertently and (A) as soon as practicable divests itself of ownership of sufficient shares so that such stockholder ceases to be an Interested Stockholder and (B) would not, at any time within the three-year period immediately prior to a business combination between the Corporation and such stockholder, have been an Interested Stockholder but for the inadvertent acquisition of ownership or (aa) any person whose ownership of shares in excess of the fifteen percent (15%) limitation set forth herein is the result of any action taken solely by the Corporation;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 that such person specified in this clause (aa)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20" w:lineRule="exact"/>
        <w:rPr>
          <w:rFonts w:ascii="Times New Roman" w:cs="Times New Roman" w:eastAsia="Times New Roman" w:hAnsi="Times New Roman"/>
          <w:sz w:val="18"/>
          <w:szCs w:val="18"/>
          <w:color w:val="FF0000"/>
          <w:strike w:val="1"/>
        </w:rPr>
      </w:pPr>
    </w:p>
    <w:p>
      <w:pPr>
        <w:ind w:left="980" w:hanging="239"/>
        <w:spacing w:after="0"/>
        <w:tabs>
          <w:tab w:leader="none" w:pos="980" w:val="left"/>
        </w:tabs>
        <w:numPr>
          <w:ilvl w:val="0"/>
          <w:numId w:val="6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Bain Capital Ventures</w:t>
      </w:r>
      <w:r>
        <w:rPr>
          <w:rFonts w:ascii="Times New Roman" w:cs="Times New Roman" w:eastAsia="Times New Roman" w:hAnsi="Times New Roman"/>
          <w:sz w:val="18"/>
          <w:szCs w:val="18"/>
          <w:color w:val="FF0000"/>
          <w:strike w:val="1"/>
        </w:rPr>
        <w:t>” means Bain Capital Venture Investors, LLC, a Delaware limited liability company.</w:t>
      </w:r>
    </w:p>
    <w:p>
      <w:pPr>
        <w:spacing w:after="0" w:line="157" w:lineRule="exact"/>
        <w:rPr>
          <w:rFonts w:ascii="Times New Roman" w:cs="Times New Roman" w:eastAsia="Times New Roman" w:hAnsi="Times New Roman"/>
          <w:sz w:val="18"/>
          <w:szCs w:val="18"/>
          <w:color w:val="FF0000"/>
          <w:strike w:val="1"/>
        </w:rPr>
      </w:pPr>
    </w:p>
    <w:p>
      <w:pPr>
        <w:ind w:left="960" w:hanging="219"/>
        <w:spacing w:after="0"/>
        <w:tabs>
          <w:tab w:leader="none" w:pos="960" w:val="left"/>
        </w:tabs>
        <w:numPr>
          <w:ilvl w:val="0"/>
          <w:numId w:val="6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Bain Capital Ventures Related Parties</w:t>
      </w:r>
      <w:r>
        <w:rPr>
          <w:rFonts w:ascii="Times New Roman" w:cs="Times New Roman" w:eastAsia="Times New Roman" w:hAnsi="Times New Roman"/>
          <w:sz w:val="18"/>
          <w:szCs w:val="18"/>
          <w:color w:val="FF0000"/>
          <w:strike w:val="1"/>
        </w:rPr>
        <w:t>” means Bain Capital Ventures and its Affiliates.</w:t>
      </w:r>
    </w:p>
    <w:p>
      <w:pPr>
        <w:spacing w:after="0" w:line="157" w:lineRule="exact"/>
        <w:rPr>
          <w:rFonts w:ascii="Times New Roman" w:cs="Times New Roman" w:eastAsia="Times New Roman" w:hAnsi="Times New Roman"/>
          <w:sz w:val="18"/>
          <w:szCs w:val="18"/>
          <w:color w:val="FF0000"/>
          <w:strike w:val="1"/>
        </w:rPr>
      </w:pPr>
    </w:p>
    <w:p>
      <w:pPr>
        <w:ind w:left="1000" w:hanging="259"/>
        <w:spacing w:after="0"/>
        <w:tabs>
          <w:tab w:leader="none" w:pos="1000" w:val="left"/>
        </w:tabs>
        <w:numPr>
          <w:ilvl w:val="0"/>
          <w:numId w:val="6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HCP</w:t>
      </w:r>
      <w:r>
        <w:rPr>
          <w:rFonts w:ascii="Times New Roman" w:cs="Times New Roman" w:eastAsia="Times New Roman" w:hAnsi="Times New Roman"/>
          <w:sz w:val="18"/>
          <w:szCs w:val="18"/>
          <w:color w:val="FF0000"/>
          <w:strike w:val="1"/>
        </w:rPr>
        <w:t>” means Highland Management Partners VIII Ltd, a Cayman limited company.</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000" w:hanging="259"/>
        <w:spacing w:after="0"/>
        <w:tabs>
          <w:tab w:leader="none" w:pos="1000" w:val="left"/>
        </w:tabs>
        <w:numPr>
          <w:ilvl w:val="0"/>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HCP Related Parties</w:t>
      </w:r>
      <w:r>
        <w:rPr>
          <w:rFonts w:ascii="Times New Roman" w:cs="Times New Roman" w:eastAsia="Times New Roman" w:hAnsi="Times New Roman"/>
          <w:sz w:val="18"/>
          <w:szCs w:val="18"/>
          <w:color w:val="FF0000"/>
          <w:strike w:val="1"/>
        </w:rPr>
        <w:t>” means HCP and its Affiliates.</w:t>
      </w:r>
    </w:p>
    <w:p>
      <w:pPr>
        <w:spacing w:after="0" w:line="157" w:lineRule="exact"/>
        <w:rPr>
          <w:rFonts w:ascii="Times New Roman" w:cs="Times New Roman" w:eastAsia="Times New Roman" w:hAnsi="Times New Roman"/>
          <w:sz w:val="18"/>
          <w:szCs w:val="18"/>
          <w:color w:val="FF0000"/>
          <w:strike w:val="1"/>
        </w:rPr>
      </w:pPr>
    </w:p>
    <w:p>
      <w:pPr>
        <w:ind w:left="960" w:hanging="219"/>
        <w:spacing w:after="0"/>
        <w:tabs>
          <w:tab w:leader="none" w:pos="960" w:val="left"/>
        </w:tabs>
        <w:numPr>
          <w:ilvl w:val="0"/>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JYH</w:t>
      </w:r>
      <w:r>
        <w:rPr>
          <w:rFonts w:ascii="Times New Roman" w:cs="Times New Roman" w:eastAsia="Times New Roman" w:hAnsi="Times New Roman"/>
          <w:sz w:val="18"/>
          <w:szCs w:val="18"/>
          <w:color w:val="FF0000"/>
          <w:strike w:val="1"/>
        </w:rPr>
        <w:t>” means Jennifer Y. Hyman.</w:t>
      </w:r>
    </w:p>
    <w:p>
      <w:pPr>
        <w:spacing w:after="0" w:line="157" w:lineRule="exact"/>
        <w:rPr>
          <w:rFonts w:ascii="Times New Roman" w:cs="Times New Roman" w:eastAsia="Times New Roman" w:hAnsi="Times New Roman"/>
          <w:sz w:val="18"/>
          <w:szCs w:val="18"/>
          <w:color w:val="FF0000"/>
          <w:strike w:val="1"/>
        </w:rPr>
      </w:pPr>
    </w:p>
    <w:p>
      <w:pPr>
        <w:ind w:left="960" w:hanging="219"/>
        <w:spacing w:after="0"/>
        <w:tabs>
          <w:tab w:leader="none" w:pos="960" w:val="left"/>
        </w:tabs>
        <w:numPr>
          <w:ilvl w:val="0"/>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JYH Related Parties</w:t>
      </w:r>
      <w:r>
        <w:rPr>
          <w:rFonts w:ascii="Times New Roman" w:cs="Times New Roman" w:eastAsia="Times New Roman" w:hAnsi="Times New Roman"/>
          <w:sz w:val="18"/>
          <w:szCs w:val="18"/>
          <w:color w:val="FF0000"/>
          <w:strike w:val="1"/>
        </w:rPr>
        <w:t>” means JYH and her Affiliates.</w:t>
      </w:r>
    </w:p>
    <w:p>
      <w:pPr>
        <w:spacing w:after="0" w:line="117" w:lineRule="exact"/>
        <w:rPr>
          <w:rFonts w:ascii="Times New Roman" w:cs="Times New Roman" w:eastAsia="Times New Roman" w:hAnsi="Times New Roman"/>
          <w:sz w:val="18"/>
          <w:szCs w:val="18"/>
          <w:color w:val="FF0000"/>
          <w:strike w:val="1"/>
        </w:rPr>
      </w:pPr>
    </w:p>
    <w:p>
      <w:pPr>
        <w:ind w:left="20" w:firstLine="721"/>
        <w:spacing w:after="0" w:line="286" w:lineRule="auto"/>
        <w:tabs>
          <w:tab w:leader="none" w:pos="995" w:val="left"/>
        </w:tabs>
        <w:numPr>
          <w:ilvl w:val="0"/>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owner</w:t>
      </w:r>
      <w:r>
        <w:rPr>
          <w:rFonts w:ascii="Times New Roman" w:cs="Times New Roman" w:eastAsia="Times New Roman" w:hAnsi="Times New Roman"/>
          <w:sz w:val="18"/>
          <w:szCs w:val="18"/>
          <w:color w:val="FF0000"/>
          <w:strike w:val="1"/>
        </w:rPr>
        <w:t>,” including the terms “own” and “owned,” when used with respect to any stock, means, for purposes of this Article XII, a person that individually or with or through any of its affiliates or associates:</w:t>
      </w:r>
    </w:p>
    <w:p>
      <w:pPr>
        <w:spacing w:after="0" w:line="104" w:lineRule="exact"/>
        <w:rPr>
          <w:rFonts w:ascii="Times New Roman" w:cs="Times New Roman" w:eastAsia="Times New Roman" w:hAnsi="Times New Roman"/>
          <w:sz w:val="18"/>
          <w:szCs w:val="18"/>
          <w:color w:val="FF0000"/>
          <w:strike w:val="1"/>
        </w:rPr>
      </w:pPr>
    </w:p>
    <w:p>
      <w:pPr>
        <w:ind w:left="1320" w:hanging="219"/>
        <w:spacing w:after="0"/>
        <w:tabs>
          <w:tab w:leader="none" w:pos="1320" w:val="left"/>
        </w:tabs>
        <w:numPr>
          <w:ilvl w:val="1"/>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beneficially owns such stock, directly or indirectly;</w:t>
      </w:r>
    </w:p>
    <w:p>
      <w:pPr>
        <w:spacing w:after="0" w:line="117" w:lineRule="exact"/>
        <w:rPr>
          <w:rFonts w:ascii="Times New Roman" w:cs="Times New Roman" w:eastAsia="Times New Roman" w:hAnsi="Times New Roman"/>
          <w:sz w:val="18"/>
          <w:szCs w:val="18"/>
          <w:color w:val="FF0000"/>
          <w:strike w:val="1"/>
        </w:rPr>
      </w:pPr>
    </w:p>
    <w:p>
      <w:pPr>
        <w:jc w:val="both"/>
        <w:ind w:left="380" w:firstLine="721"/>
        <w:spacing w:after="0" w:line="254" w:lineRule="auto"/>
        <w:tabs>
          <w:tab w:leader="none" w:pos="1365" w:val="left"/>
        </w:tabs>
        <w:numPr>
          <w:ilvl w:val="1"/>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83" w:lineRule="exact"/>
        <w:rPr>
          <w:rFonts w:ascii="Times New Roman" w:cs="Times New Roman" w:eastAsia="Times New Roman" w:hAnsi="Times New Roman"/>
          <w:sz w:val="18"/>
          <w:szCs w:val="18"/>
          <w:color w:val="FF0000"/>
          <w:strike w:val="1"/>
        </w:rPr>
      </w:pPr>
    </w:p>
    <w:p>
      <w:pPr>
        <w:jc w:val="both"/>
        <w:ind w:left="380" w:firstLine="721"/>
        <w:spacing w:after="0" w:line="266" w:lineRule="auto"/>
        <w:tabs>
          <w:tab w:leader="none" w:pos="1427" w:val="left"/>
        </w:tabs>
        <w:numPr>
          <w:ilvl w:val="1"/>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has any agreement, arrangement or understanding for the purpose of acquiring, holding, voting (except voting pursuant to a revocable proxy or consent as described in clause (B) of subsection (ii) above), or disposing of such stock with any other person that beneficially owns, or whose affiliates or associates beneficially own, directly or indirectly, such stock.</w:t>
      </w:r>
    </w:p>
    <w:p>
      <w:pPr>
        <w:spacing w:after="0" w:line="63" w:lineRule="exact"/>
        <w:rPr>
          <w:rFonts w:ascii="Times New Roman" w:cs="Times New Roman" w:eastAsia="Times New Roman" w:hAnsi="Times New Roman"/>
          <w:sz w:val="18"/>
          <w:szCs w:val="18"/>
          <w:color w:val="FF0000"/>
          <w:strike w:val="1"/>
        </w:rPr>
      </w:pPr>
    </w:p>
    <w:p>
      <w:pPr>
        <w:ind w:left="980" w:hanging="239"/>
        <w:spacing w:after="0"/>
        <w:tabs>
          <w:tab w:leader="none" w:pos="980" w:val="left"/>
        </w:tabs>
        <w:numPr>
          <w:ilvl w:val="0"/>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Person</w:t>
      </w:r>
      <w:r>
        <w:rPr>
          <w:rFonts w:ascii="Times New Roman" w:cs="Times New Roman" w:eastAsia="Times New Roman" w:hAnsi="Times New Roman"/>
          <w:sz w:val="18"/>
          <w:szCs w:val="18"/>
          <w:color w:val="FF0000"/>
          <w:strike w:val="1"/>
        </w:rPr>
        <w:t>” means any individual, corporation, partnership, limited liability company, unincorporated association or</w:t>
      </w:r>
    </w:p>
    <w:p>
      <w:pPr>
        <w:spacing w:after="0" w:line="31" w:lineRule="exact"/>
        <w:rPr>
          <w:rFonts w:ascii="Times New Roman" w:cs="Times New Roman" w:eastAsia="Times New Roman" w:hAnsi="Times New Roman"/>
          <w:sz w:val="18"/>
          <w:szCs w:val="18"/>
          <w:color w:val="FF0000"/>
          <w:strike w:val="1"/>
        </w:rPr>
      </w:pPr>
    </w:p>
    <w:p>
      <w:pPr>
        <w:ind w:left="20"/>
        <w:spacing w:after="0"/>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other entity.</w:t>
      </w:r>
    </w:p>
    <w:p>
      <w:pPr>
        <w:spacing w:after="0" w:line="94" w:lineRule="exact"/>
        <w:rPr>
          <w:rFonts w:ascii="Times New Roman" w:cs="Times New Roman" w:eastAsia="Times New Roman" w:hAnsi="Times New Roman"/>
          <w:sz w:val="18"/>
          <w:szCs w:val="18"/>
          <w:color w:val="FF0000"/>
          <w:strike w:val="1"/>
        </w:rPr>
      </w:pPr>
    </w:p>
    <w:p>
      <w:pPr>
        <w:ind w:left="20" w:firstLine="721"/>
        <w:spacing w:after="0" w:line="286" w:lineRule="auto"/>
        <w:tabs>
          <w:tab w:leader="none" w:pos="1045" w:val="left"/>
        </w:tabs>
        <w:numPr>
          <w:ilvl w:val="0"/>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stock</w:t>
      </w:r>
      <w:r>
        <w:rPr>
          <w:rFonts w:ascii="Times New Roman" w:cs="Times New Roman" w:eastAsia="Times New Roman" w:hAnsi="Times New Roman"/>
          <w:sz w:val="18"/>
          <w:szCs w:val="18"/>
          <w:color w:val="FF0000"/>
          <w:strike w:val="1"/>
        </w:rPr>
        <w:t>” means, for purposes of this Article XII, with respect to any corporation, capital stock and, with respect to any other entity, any equity interest.</w:t>
      </w:r>
    </w:p>
    <w:p>
      <w:pPr>
        <w:spacing w:after="0" w:line="46" w:lineRule="exact"/>
        <w:rPr>
          <w:rFonts w:ascii="Times New Roman" w:cs="Times New Roman" w:eastAsia="Times New Roman" w:hAnsi="Times New Roman"/>
          <w:sz w:val="18"/>
          <w:szCs w:val="18"/>
          <w:color w:val="FF0000"/>
          <w:strike w:val="1"/>
        </w:rPr>
      </w:pPr>
    </w:p>
    <w:p>
      <w:pPr>
        <w:jc w:val="both"/>
        <w:ind w:left="20" w:firstLine="721"/>
        <w:spacing w:after="0" w:line="262" w:lineRule="auto"/>
        <w:tabs>
          <w:tab w:leader="none" w:pos="1008" w:val="left"/>
        </w:tabs>
        <w:numPr>
          <w:ilvl w:val="0"/>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voting stock</w:t>
      </w:r>
      <w:r>
        <w:rPr>
          <w:rFonts w:ascii="Times New Roman" w:cs="Times New Roman" w:eastAsia="Times New Roman" w:hAnsi="Times New Roman"/>
          <w:sz w:val="18"/>
          <w:szCs w:val="18"/>
          <w:color w:val="FF0000"/>
          <w:strike w:val="1"/>
        </w:rPr>
        <w:t>” means stock of any class or series entitled to vote generally in the election of directors and, with respect to any entity that is not a corporation, any equity interest entitled to vote generally in the election of the governing body of such entity. Every reference in this Article XII to a percentage or proportion of voting stock shall refer to such percentage or other proportion of the votes of such voting stock.</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XIII.</w:t>
      </w:r>
    </w:p>
    <w:p>
      <w:pPr>
        <w:spacing w:after="0" w:line="99" w:lineRule="exact"/>
        <w:rPr>
          <w:sz w:val="20"/>
          <w:szCs w:val="20"/>
          <w:color w:val="auto"/>
        </w:rPr>
      </w:pPr>
    </w:p>
    <w:p>
      <w:pPr>
        <w:ind w:left="20"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in this Certificate of Incorporation, the following terms shall have the following </w:t>
      </w:r>
      <w:r>
        <w:rPr>
          <w:rFonts w:ascii="Times New Roman" w:cs="Times New Roman" w:eastAsia="Times New Roman" w:hAnsi="Times New Roman"/>
          <w:sz w:val="18"/>
          <w:szCs w:val="18"/>
          <w:color w:val="FF0000"/>
          <w:strike w:val="1"/>
        </w:rPr>
        <w:t>meaning</w:t>
      </w:r>
      <w:r>
        <w:rPr>
          <w:rFonts w:ascii="Times New Roman" w:cs="Times New Roman" w:eastAsia="Times New Roman" w:hAnsi="Times New Roman"/>
          <w:sz w:val="18"/>
          <w:szCs w:val="18"/>
          <w:u w:val="single" w:color="auto"/>
          <w:color w:val="0000FF"/>
        </w:rPr>
        <w:t>meanings</w:t>
      </w:r>
      <w:r>
        <w:rPr>
          <w:rFonts w:ascii="Times New Roman" w:cs="Times New Roman" w:eastAsia="Times New Roman" w:hAnsi="Times New Roman"/>
          <w:sz w:val="18"/>
          <w:szCs w:val="18"/>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-31115</wp:posOffset>
            </wp:positionV>
            <wp:extent cx="4368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30" w:lineRule="exact"/>
        <w:rPr>
          <w:sz w:val="20"/>
          <w:szCs w:val="20"/>
          <w:color w:val="auto"/>
        </w:rPr>
      </w:pPr>
    </w:p>
    <w:p>
      <w:pPr>
        <w:ind w:left="20" w:firstLine="721"/>
        <w:spacing w:after="0" w:line="286" w:lineRule="auto"/>
        <w:tabs>
          <w:tab w:leader="none" w:pos="998" w:val="left"/>
        </w:tabs>
        <w:numPr>
          <w:ilvl w:val="0"/>
          <w:numId w:val="6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Affiliate</w:t>
      </w:r>
      <w:r>
        <w:rPr>
          <w:rFonts w:ascii="Times New Roman" w:cs="Times New Roman" w:eastAsia="Times New Roman" w:hAnsi="Times New Roman"/>
          <w:sz w:val="18"/>
          <w:szCs w:val="18"/>
          <w:color w:val="000000"/>
        </w:rPr>
        <w:t>” means, with respect to any Person, any other Person who or which, directly or indirectly, controls, 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controlled by, or is under common control with such specified Person;.</w:t>
      </w:r>
    </w:p>
    <w:p>
      <w:pPr>
        <w:spacing w:after="0" w:line="46" w:lineRule="exact"/>
        <w:rPr>
          <w:rFonts w:ascii="Times New Roman" w:cs="Times New Roman" w:eastAsia="Times New Roman" w:hAnsi="Times New Roman"/>
          <w:sz w:val="18"/>
          <w:szCs w:val="18"/>
          <w:u w:val="single" w:color="auto"/>
          <w:color w:val="0000FF"/>
        </w:rPr>
      </w:pPr>
    </w:p>
    <w:p>
      <w:pPr>
        <w:jc w:val="both"/>
        <w:ind w:left="20" w:firstLine="721"/>
        <w:spacing w:after="0" w:line="262" w:lineRule="auto"/>
        <w:tabs>
          <w:tab w:leader="none" w:pos="1022" w:val="left"/>
        </w:tabs>
        <w:numPr>
          <w:ilvl w:val="0"/>
          <w:numId w:val="64"/>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Change of Control Transaction</w:t>
      </w:r>
      <w:r>
        <w:rPr>
          <w:rFonts w:ascii="Times New Roman" w:cs="Times New Roman" w:eastAsia="Times New Roman" w:hAnsi="Times New Roman"/>
          <w:sz w:val="18"/>
          <w:szCs w:val="18"/>
          <w:color w:val="FF0000"/>
          <w:strike w:val="1"/>
        </w:rPr>
        <w:t>” means (i) a merger or consolidation of the Corporation into or with another corporation or entity (except one in which the holders of capital stock of the Corporation immediately prior to such merger or consolidation and/or the Affiliates of such holders collectively continue to hold at least a majority of the voting power of the capital stock of the surviving corporation) or (ii) the sale, transfer or license of all or substantially of the assets of the Corporation.</w:t>
      </w:r>
    </w:p>
    <w:p>
      <w:pPr>
        <w:spacing w:after="0" w:line="68" w:lineRule="exact"/>
        <w:rPr>
          <w:rFonts w:ascii="Times New Roman" w:cs="Times New Roman" w:eastAsia="Times New Roman" w:hAnsi="Times New Roman"/>
          <w:sz w:val="18"/>
          <w:szCs w:val="18"/>
          <w:color w:val="FF0000"/>
        </w:rPr>
      </w:pPr>
    </w:p>
    <w:p>
      <w:pPr>
        <w:jc w:val="both"/>
        <w:ind w:left="20" w:firstLine="721"/>
        <w:spacing w:after="0" w:line="253" w:lineRule="auto"/>
        <w:tabs>
          <w:tab w:leader="none" w:pos="984" w:val="left"/>
        </w:tabs>
        <w:numPr>
          <w:ilvl w:val="0"/>
          <w:numId w:val="64"/>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Disability</w:t>
      </w:r>
      <w:r>
        <w:rPr>
          <w:rFonts w:ascii="Times New Roman" w:cs="Times New Roman" w:eastAsia="Times New Roman" w:hAnsi="Times New Roman"/>
          <w:sz w:val="18"/>
          <w:szCs w:val="18"/>
          <w:color w:val="FF0000"/>
          <w:strike w:val="1"/>
        </w:rPr>
        <w:t>” means, with respect to a Key Holder, the permanent and total disability of such Key Holder, as the case may be, such that such Key Holder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Whole Board of Directors and such Key Holder. If such Key Holder is incapable of selecting a licensed physician, then the spouse of such Key Holder, as applicable, shall make the selection on behalf of such Key Holder, or in the absence or incapacity of such spouse, the adult children of such Key Holder, by majority vote, shall make the selection on behalf of such Key Holder, or in the absence such adult children or their inability to act by majority vote, a natural person then acting as the successor trustee of a revocable living trust which was created by such Key Holder, and which holds more shares of all classes of capital stock of the Corporation than any other revocable living trust created by such Key Holder, shall make the selection on behalf of such Key Holder, or in absence of any such successor trustee, the legal guardian or conservator of the estate of such Key Holder, shall make the selection on behalf of such Key Holder.</w:t>
      </w:r>
    </w:p>
    <w:p>
      <w:pPr>
        <w:spacing w:after="0" w:line="82" w:lineRule="exact"/>
        <w:rPr>
          <w:sz w:val="20"/>
          <w:szCs w:val="20"/>
          <w:color w:val="auto"/>
        </w:rPr>
      </w:pPr>
    </w:p>
    <w:p>
      <w:pPr>
        <w:ind w:left="20" w:firstLine="721"/>
        <w:spacing w:after="0" w:line="286" w:lineRule="auto"/>
        <w:tabs>
          <w:tab w:leader="none" w:pos="1008" w:val="left"/>
        </w:tabs>
        <w:numPr>
          <w:ilvl w:val="0"/>
          <w:numId w:val="6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Exchange Act</w:t>
      </w:r>
      <w:r>
        <w:rPr>
          <w:rFonts w:ascii="Times New Roman" w:cs="Times New Roman" w:eastAsia="Times New Roman" w:hAnsi="Times New Roman"/>
          <w:sz w:val="18"/>
          <w:szCs w:val="18"/>
          <w:color w:val="000000"/>
        </w:rPr>
        <w:t>” means the U.S. Securities Exchange Act of 1934, as amended, and any applicable rules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regulations promulgated thereunder, and any successor to such statute, rules or regulations.</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0" w:firstLine="721"/>
        <w:spacing w:after="0" w:line="286" w:lineRule="auto"/>
        <w:tabs>
          <w:tab w:leader="none" w:pos="998" w:val="left"/>
        </w:tabs>
        <w:numPr>
          <w:ilvl w:val="0"/>
          <w:numId w:val="6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Investor Rights Agreement</w:t>
      </w:r>
      <w:r>
        <w:rPr>
          <w:rFonts w:ascii="Times New Roman" w:cs="Times New Roman" w:eastAsia="Times New Roman" w:hAnsi="Times New Roman"/>
          <w:sz w:val="18"/>
          <w:szCs w:val="18"/>
          <w:u w:val="single" w:color="auto"/>
          <w:color w:val="0000FF"/>
        </w:rPr>
        <w:t>” means that certain Investor Rights Agreement, dated as of August 20, 2025, by and among the Corporation, CHS US Investments LLC, Nexus and STORY 3.</w:t>
      </w:r>
    </w:p>
    <w:p>
      <w:pPr>
        <w:spacing w:after="0" w:line="73" w:lineRule="exact"/>
        <w:rPr>
          <w:rFonts w:ascii="Times New Roman" w:cs="Times New Roman" w:eastAsia="Times New Roman" w:hAnsi="Times New Roman"/>
          <w:sz w:val="18"/>
          <w:szCs w:val="18"/>
          <w:u w:val="single" w:color="auto"/>
          <w:color w:val="0000FF"/>
        </w:rPr>
      </w:pPr>
    </w:p>
    <w:p>
      <w:pPr>
        <w:ind w:left="1000" w:hanging="259"/>
        <w:spacing w:after="0"/>
        <w:tabs>
          <w:tab w:leader="none" w:pos="1000" w:val="left"/>
        </w:tabs>
        <w:numPr>
          <w:ilvl w:val="0"/>
          <w:numId w:val="6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Nexus</w:t>
      </w:r>
      <w:r>
        <w:rPr>
          <w:rFonts w:ascii="Times New Roman" w:cs="Times New Roman" w:eastAsia="Times New Roman" w:hAnsi="Times New Roman"/>
          <w:sz w:val="18"/>
          <w:szCs w:val="18"/>
          <w:u w:val="single" w:color="auto"/>
          <w:color w:val="0000FF"/>
        </w:rPr>
        <w:t>” means Gateway Runway, LLC, a Delaware limited liability company, together with its Affiliates.</w:t>
      </w:r>
    </w:p>
    <w:p>
      <w:pPr>
        <w:spacing w:after="0" w:line="117" w:lineRule="exact"/>
        <w:rPr>
          <w:rFonts w:ascii="Times New Roman" w:cs="Times New Roman" w:eastAsia="Times New Roman" w:hAnsi="Times New Roman"/>
          <w:sz w:val="18"/>
          <w:szCs w:val="18"/>
          <w:u w:val="single" w:color="auto"/>
          <w:color w:val="0000FF"/>
        </w:rPr>
      </w:pPr>
    </w:p>
    <w:p>
      <w:pPr>
        <w:ind w:left="20" w:firstLine="721"/>
        <w:spacing w:after="0" w:line="286" w:lineRule="auto"/>
        <w:tabs>
          <w:tab w:leader="none" w:pos="998" w:val="left"/>
        </w:tabs>
        <w:numPr>
          <w:ilvl w:val="0"/>
          <w:numId w:val="6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Nexus Director</w:t>
      </w:r>
      <w:r>
        <w:rPr>
          <w:rFonts w:ascii="Times New Roman" w:cs="Times New Roman" w:eastAsia="Times New Roman" w:hAnsi="Times New Roman"/>
          <w:sz w:val="18"/>
          <w:szCs w:val="18"/>
          <w:u w:val="single" w:color="auto"/>
          <w:color w:val="0000FF"/>
        </w:rPr>
        <w:t>” means a Director appointed to the Board of Directors by Nexus in accordance with the Investor Rights Agreement.</w:t>
      </w:r>
    </w:p>
    <w:p>
      <w:pPr>
        <w:spacing w:after="0" w:line="47" w:lineRule="exact"/>
        <w:rPr>
          <w:sz w:val="20"/>
          <w:szCs w:val="20"/>
          <w:color w:val="auto"/>
        </w:rPr>
      </w:pPr>
    </w:p>
    <w:p>
      <w:pPr>
        <w:jc w:val="both"/>
        <w:ind w:left="20" w:firstLine="721"/>
        <w:spacing w:after="0" w:line="268" w:lineRule="auto"/>
        <w:tabs>
          <w:tab w:leader="none" w:pos="1025" w:val="left"/>
        </w:tabs>
        <w:numPr>
          <w:ilvl w:val="0"/>
          <w:numId w:val="6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Family Member</w:t>
      </w:r>
      <w:r>
        <w:rPr>
          <w:rFonts w:ascii="Times New Roman" w:cs="Times New Roman" w:eastAsia="Times New Roman" w:hAnsi="Times New Roman"/>
          <w:sz w:val="18"/>
          <w:szCs w:val="18"/>
          <w:color w:val="FF0000"/>
          <w:strike w:val="1"/>
        </w:rPr>
        <w:t>” means, in respect of any Person, the spouse, domestic partner, parents, grandparents, lineal descendants, siblings and lineal descendants of siblings of such Person (including adopted persons, former spouses or former domestic partners of such Person).</w:t>
      </w:r>
    </w:p>
    <w:p>
      <w:pPr>
        <w:spacing w:after="0" w:line="103" w:lineRule="exact"/>
        <w:rPr>
          <w:rFonts w:ascii="Times New Roman" w:cs="Times New Roman" w:eastAsia="Times New Roman" w:hAnsi="Times New Roman"/>
          <w:sz w:val="18"/>
          <w:szCs w:val="18"/>
          <w:color w:val="FF0000"/>
          <w:strike w:val="1"/>
        </w:rPr>
      </w:pPr>
    </w:p>
    <w:p>
      <w:pPr>
        <w:ind w:left="960" w:hanging="219"/>
        <w:spacing w:after="0"/>
        <w:tabs>
          <w:tab w:leader="none" w:pos="960" w:val="left"/>
        </w:tabs>
        <w:numPr>
          <w:ilvl w:val="0"/>
          <w:numId w:val="6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Key Holder</w:t>
      </w:r>
      <w:r>
        <w:rPr>
          <w:rFonts w:ascii="Times New Roman" w:cs="Times New Roman" w:eastAsia="Times New Roman" w:hAnsi="Times New Roman"/>
          <w:sz w:val="18"/>
          <w:szCs w:val="18"/>
          <w:color w:val="FF0000"/>
          <w:strike w:val="1"/>
        </w:rPr>
        <w:t>” means each of Jennifer Y. Hyman and Jennifer C. Fleiss.</w:t>
      </w:r>
    </w:p>
    <w:p>
      <w:pPr>
        <w:spacing w:after="0" w:line="117" w:lineRule="exact"/>
        <w:rPr>
          <w:rFonts w:ascii="Times New Roman" w:cs="Times New Roman" w:eastAsia="Times New Roman" w:hAnsi="Times New Roman"/>
          <w:sz w:val="18"/>
          <w:szCs w:val="18"/>
          <w:color w:val="FF0000"/>
          <w:strike w:val="1"/>
        </w:rPr>
      </w:pPr>
    </w:p>
    <w:p>
      <w:pPr>
        <w:ind w:left="1000" w:hanging="259"/>
        <w:spacing w:after="0"/>
        <w:tabs>
          <w:tab w:leader="none" w:pos="1000" w:val="left"/>
        </w:tabs>
        <w:numPr>
          <w:ilvl w:val="0"/>
          <w:numId w:val="6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Permitted Ownership Group</w:t>
      </w:r>
      <w:r>
        <w:rPr>
          <w:rFonts w:ascii="Times New Roman" w:cs="Times New Roman" w:eastAsia="Times New Roman" w:hAnsi="Times New Roman"/>
          <w:sz w:val="18"/>
          <w:szCs w:val="18"/>
          <w:color w:val="FF0000"/>
          <w:strike w:val="1"/>
        </w:rPr>
        <w:t>” means, (i) with respect to any Key Holder that is an individual, each of the following</w:t>
      </w:r>
    </w:p>
    <w:p>
      <w:pPr>
        <w:spacing w:after="0" w:line="31" w:lineRule="exact"/>
        <w:rPr>
          <w:rFonts w:ascii="Times New Roman" w:cs="Times New Roman" w:eastAsia="Times New Roman" w:hAnsi="Times New Roman"/>
          <w:sz w:val="18"/>
          <w:szCs w:val="18"/>
          <w:color w:val="FF0000"/>
          <w:strike w:val="1"/>
        </w:rPr>
      </w:pPr>
    </w:p>
    <w:p>
      <w:pPr>
        <w:jc w:val="both"/>
        <w:ind w:left="20"/>
        <w:spacing w:after="0" w:line="251" w:lineRule="auto"/>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Persons: (A) such Key Holder, (B) any Affiliate of such Key Holder, (C) a trust which is directly or indirectly controlled by such Key Holder and the income from which may be paid only to beneficiaries who are such Key Holder and her Family Members, (D) a corporation, partnership or limited liability company, which is directly or indirectly controlled by such Key Holder and the other equityholders of which (if any) are only such Key Holder and her Family Members, in the case of clauses (C) and (D), which is established for bona fide estate planning purposes of such individual, or a limited liability company wholly owned by a trust described in clause (C) or (ii), and (E) a private foundation, organization or similar entity established by a Key Holder and/or one or more of her Family Members and controlled (directly or indirectly) by such Key Holder, (ii) each of BS 2021 Family Trust, JYH 2021 Family Trust and Trust Under Article Second U/A dtd 9/19/2012, or any successor in interest to any such trust, (iii) Linda S. Hyman and Dov I. Hyman, jointly and (iv) Ben Stauffer.</w:t>
      </w:r>
    </w:p>
    <w:p>
      <w:pPr>
        <w:spacing w:after="0" w:line="81" w:lineRule="exact"/>
        <w:rPr>
          <w:sz w:val="20"/>
          <w:szCs w:val="20"/>
          <w:color w:val="auto"/>
        </w:rPr>
      </w:pPr>
    </w:p>
    <w:p>
      <w:pPr>
        <w:ind w:left="20" w:firstLine="721"/>
        <w:spacing w:after="0" w:line="286" w:lineRule="auto"/>
        <w:tabs>
          <w:tab w:leader="none" w:pos="1019" w:val="left"/>
        </w:tabs>
        <w:numPr>
          <w:ilvl w:val="0"/>
          <w:numId w:val="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Person</w:t>
      </w:r>
      <w:r>
        <w:rPr>
          <w:rFonts w:ascii="Times New Roman" w:cs="Times New Roman" w:eastAsia="Times New Roman" w:hAnsi="Times New Roman"/>
          <w:sz w:val="18"/>
          <w:szCs w:val="18"/>
          <w:color w:val="000000"/>
        </w:rPr>
        <w:t>” means any individual, corporation, partnership, limited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partnerships,</w:t>
      </w:r>
      <w:r>
        <w:rPr>
          <w:rFonts w:ascii="Times New Roman" w:cs="Times New Roman" w:eastAsia="Times New Roman" w:hAnsi="Times New Roman"/>
          <w:sz w:val="18"/>
          <w:szCs w:val="18"/>
          <w:u w:val="single" w:color="auto"/>
          <w:color w:val="0000FF"/>
        </w:rPr>
        <w:t>partnership,</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limited liability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company, unincorporated association, trusts or other entity.</w:t>
      </w:r>
    </w:p>
    <w:p>
      <w:pPr>
        <w:spacing w:after="0" w:line="46" w:lineRule="exact"/>
        <w:rPr>
          <w:rFonts w:ascii="Times New Roman" w:cs="Times New Roman" w:eastAsia="Times New Roman" w:hAnsi="Times New Roman"/>
          <w:sz w:val="18"/>
          <w:szCs w:val="18"/>
          <w:u w:val="single" w:color="auto"/>
          <w:color w:val="0000FF"/>
        </w:rPr>
      </w:pPr>
    </w:p>
    <w:p>
      <w:pPr>
        <w:ind w:left="20" w:firstLine="721"/>
        <w:spacing w:after="0" w:line="286" w:lineRule="auto"/>
        <w:tabs>
          <w:tab w:leader="none" w:pos="1035" w:val="left"/>
        </w:tabs>
        <w:numPr>
          <w:ilvl w:val="0"/>
          <w:numId w:val="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Securities Act</w:t>
      </w:r>
      <w:r>
        <w:rPr>
          <w:rFonts w:ascii="Times New Roman" w:cs="Times New Roman" w:eastAsia="Times New Roman" w:hAnsi="Times New Roman"/>
          <w:sz w:val="18"/>
          <w:szCs w:val="18"/>
          <w:color w:val="000000"/>
        </w:rPr>
        <w:t>” means the U.S. Securities Act of 1933, as amended, and applicable rules and regulations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promulgated thereunder, and any successor to such statute, rules or regulations.</w:t>
      </w:r>
    </w:p>
    <w:p>
      <w:pPr>
        <w:spacing w:after="0" w:line="47" w:lineRule="exact"/>
        <w:rPr>
          <w:sz w:val="20"/>
          <w:szCs w:val="20"/>
          <w:color w:val="auto"/>
        </w:rPr>
      </w:pPr>
    </w:p>
    <w:p>
      <w:pPr>
        <w:jc w:val="both"/>
        <w:ind w:left="20" w:firstLine="721"/>
        <w:spacing w:after="0" w:line="252" w:lineRule="auto"/>
        <w:tabs>
          <w:tab w:leader="none" w:pos="968" w:val="left"/>
        </w:tabs>
        <w:numPr>
          <w:ilvl w:val="0"/>
          <w:numId w:val="6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Transfer</w:t>
      </w:r>
      <w:r>
        <w:rPr>
          <w:rFonts w:ascii="Times New Roman" w:cs="Times New Roman" w:eastAsia="Times New Roman" w:hAnsi="Times New Roman"/>
          <w:sz w:val="18"/>
          <w:szCs w:val="18"/>
          <w:color w:val="FF0000"/>
          <w:strike w:val="1"/>
        </w:rPr>
        <w:t>” (and, with a correlative meaning, “</w:t>
      </w:r>
      <w:r>
        <w:rPr>
          <w:rFonts w:ascii="Times New Roman" w:cs="Times New Roman" w:eastAsia="Times New Roman" w:hAnsi="Times New Roman"/>
          <w:sz w:val="18"/>
          <w:szCs w:val="18"/>
          <w:b w:val="1"/>
          <w:bCs w:val="1"/>
          <w:i w:val="1"/>
          <w:iCs w:val="1"/>
          <w:color w:val="FF0000"/>
          <w:strike w:val="1"/>
        </w:rPr>
        <w:t>Transferring</w:t>
      </w:r>
      <w:r>
        <w:rPr>
          <w:rFonts w:ascii="Times New Roman" w:cs="Times New Roman" w:eastAsia="Times New Roman" w:hAnsi="Times New Roman"/>
          <w:sz w:val="18"/>
          <w:szCs w:val="18"/>
          <w:color w:val="FF0000"/>
          <w:strike w:val="1"/>
        </w:rPr>
        <w:t xml:space="preserve">”) means any sale, transfer, assignment, redemption or other disposition of (whether directly or indirectly, whether with or without consideration and whether voluntarily or involuntarily or by operation of Law) (a) any interest (legal or beneficial) in any shares of capital of stock of the Corporation or (b) any equity or other interest (legal or beneficial) in any stockholder if substantially all of the assets of such stockholder consist solely of shares of capital stock of the Corporation. In addition, the entry into a binding agreement conveying voting control over any shares of capital stock (or over equity or other interest (legal or beneficial) in any stockholder if substantially all of the assets of such stockholder consist solely of shares of capital stock of the Corporation) shall constitute a “Transfer” of such stock for all purposes hereof, except in connection with (i) the grant of a proxy to officers or directors of the Corporation at the request of the Board of Directors of the Corporation in connection with actions to be taken at an annual or special meeting of stockholders or (ii) the entering into a support, voting, tender or similar agreement, arrangement or understanding (with or without granting a proxy) in connection with a Change of Control Transaction; </w:t>
      </w:r>
      <w:r>
        <w:rPr>
          <w:rFonts w:ascii="Times New Roman" w:cs="Times New Roman" w:eastAsia="Times New Roman" w:hAnsi="Times New Roman"/>
          <w:sz w:val="18"/>
          <w:szCs w:val="18"/>
          <w:i w:val="1"/>
          <w:iCs w:val="1"/>
          <w:color w:val="FF0000"/>
          <w:strike w:val="1"/>
        </w:rPr>
        <w:t>provided, however,</w:t>
      </w:r>
      <w:r>
        <w:rPr>
          <w:rFonts w:ascii="Times New Roman" w:cs="Times New Roman" w:eastAsia="Times New Roman" w:hAnsi="Times New Roman"/>
          <w:sz w:val="18"/>
          <w:szCs w:val="18"/>
          <w:color w:val="FF0000"/>
          <w:strike w:val="1"/>
        </w:rPr>
        <w:t xml:space="preserve"> that such Change of Control Transaction was approved by a majority of the Whole Board of Directors. Notwithstanding the foregoing, (A) in the event that a Key Holder or any Person in a Key Holder’s Permitted Ownership Group enters into or consummates a transaction that would otherwise constitute a “Transfer” under the first sentence of this definition involving a transferee other than such Key Holder or any Person in such Key Holder’s Permitted Ownership Group, and in connection with such transaction, such transferee conveys voting control, directly or indirectly, over the applicable shares of capital stock or equity or other interest back to such Key Holder or such transferring Person in such Key Holder’s Permitted Ownership Group, then such transaction shall not be deemed a Transfer for purposes hereof until such time as such Key Holder or such transferring Person ceases to retain such voting control, and (B) “Transfer” shall not be deemed to include any bona fide pledge or collateralization by a holder thereof to a financial institution in connection with any bona fide loan or debt transaction, but such term shall include any foreclosure on such shares by such financial institution following or in connection with any such pledge or collateralization.</w:t>
      </w:r>
    </w:p>
    <w:p>
      <w:pPr>
        <w:spacing w:after="0" w:line="120" w:lineRule="exact"/>
        <w:rPr>
          <w:sz w:val="20"/>
          <w:szCs w:val="20"/>
          <w:color w:val="auto"/>
        </w:rPr>
      </w:pPr>
    </w:p>
    <w:p>
      <w:pPr>
        <w:ind w:left="1000" w:hanging="259"/>
        <w:spacing w:after="0"/>
        <w:tabs>
          <w:tab w:leader="none" w:pos="1000" w:val="left"/>
        </w:tabs>
        <w:numPr>
          <w:ilvl w:val="0"/>
          <w:numId w:val="7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STORY 3</w:t>
      </w:r>
      <w:r>
        <w:rPr>
          <w:rFonts w:ascii="Times New Roman" w:cs="Times New Roman" w:eastAsia="Times New Roman" w:hAnsi="Times New Roman"/>
          <w:sz w:val="18"/>
          <w:szCs w:val="18"/>
          <w:u w:val="single" w:color="auto"/>
          <w:color w:val="0000FF"/>
        </w:rPr>
        <w:t>” means S3 RR Aggregator, LLC, a Delaware limited liability company, together with its Affiliates.</w:t>
      </w:r>
    </w:p>
    <w:p>
      <w:pPr>
        <w:spacing w:after="0" w:line="117" w:lineRule="exact"/>
        <w:rPr>
          <w:rFonts w:ascii="Times New Roman" w:cs="Times New Roman" w:eastAsia="Times New Roman" w:hAnsi="Times New Roman"/>
          <w:sz w:val="18"/>
          <w:szCs w:val="18"/>
          <w:u w:val="single" w:color="auto"/>
          <w:color w:val="0000FF"/>
        </w:rPr>
      </w:pPr>
    </w:p>
    <w:p>
      <w:pPr>
        <w:ind w:left="20" w:firstLine="721"/>
        <w:spacing w:after="0" w:line="286" w:lineRule="auto"/>
        <w:tabs>
          <w:tab w:leader="none" w:pos="982" w:val="left"/>
        </w:tabs>
        <w:numPr>
          <w:ilvl w:val="0"/>
          <w:numId w:val="7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STORY 3 Director</w:t>
      </w:r>
      <w:r>
        <w:rPr>
          <w:rFonts w:ascii="Times New Roman" w:cs="Times New Roman" w:eastAsia="Times New Roman" w:hAnsi="Times New Roman"/>
          <w:sz w:val="18"/>
          <w:szCs w:val="18"/>
          <w:u w:val="single" w:color="auto"/>
          <w:color w:val="0000FF"/>
        </w:rPr>
        <w:t>” means a Director appointed to the Board of Directors by STORY 3 in accordance with the Investor Rights Agreement.</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90170</wp:posOffset>
            </wp:positionV>
            <wp:extent cx="6038850" cy="578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8850" cy="578485"/>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SECOND AMENDED AND RESTATED 2021 INCENTIVE AWARD PLAN</w:t>
      </w:r>
    </w:p>
    <w:p>
      <w:pPr>
        <w:spacing w:after="0" w:line="200" w:lineRule="exact"/>
        <w:rPr>
          <w:sz w:val="20"/>
          <w:szCs w:val="20"/>
          <w:color w:val="auto"/>
        </w:rPr>
      </w:pPr>
    </w:p>
    <w:p>
      <w:pPr>
        <w:spacing w:after="0" w:line="228" w:lineRule="exact"/>
        <w:rPr>
          <w:sz w:val="20"/>
          <w:szCs w:val="20"/>
          <w:color w:val="auto"/>
        </w:rPr>
      </w:pPr>
    </w:p>
    <w:p>
      <w:pPr>
        <w:jc w:val="right"/>
        <w:ind w:right="424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right"/>
        <w:ind w:right="4280"/>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58"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If approved by the Company’s stockholders at the special meeting of the Company’s stockholders to be held on October 21, 2025, the Plan will amend and restate the 2021 Plan, and any Awards granted under the 2021 Plan prior to the Closing Date (the “</w:t>
      </w:r>
      <w:r>
        <w:rPr>
          <w:rFonts w:ascii="Times New Roman" w:cs="Times New Roman" w:eastAsia="Times New Roman" w:hAnsi="Times New Roman"/>
          <w:sz w:val="18"/>
          <w:szCs w:val="18"/>
          <w:b w:val="1"/>
          <w:bCs w:val="1"/>
          <w:i w:val="1"/>
          <w:iCs w:val="1"/>
          <w:color w:val="auto"/>
        </w:rPr>
        <w:t>Existing Awards</w:t>
      </w:r>
      <w:r>
        <w:rPr>
          <w:rFonts w:ascii="Times New Roman" w:cs="Times New Roman" w:eastAsia="Times New Roman" w:hAnsi="Times New Roman"/>
          <w:sz w:val="18"/>
          <w:szCs w:val="18"/>
          <w:color w:val="auto"/>
        </w:rPr>
        <w:t>”) shall continue to be governed by the terms and conditions of the 2021 Plan in effect before this amendment and restatement and the applicable Award Agreement. The Plan is being amended and restated as set forth herein in anticipation of the Closing and will not become effective unless (i) the Plan is approved by the Company’s stockholders at the special meeting of the Company’s stockholders to be held on October 21, 2025, and (ii) the Closing occurs. Capitalized terms used in the Plan are defined in Article XI.</w:t>
      </w:r>
    </w:p>
    <w:p>
      <w:pPr>
        <w:spacing w:after="0" w:line="28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ADMINISTRATION AND DELEGATION</w:t>
      </w:r>
    </w:p>
    <w:p>
      <w:pPr>
        <w:spacing w:after="0" w:line="171" w:lineRule="exact"/>
        <w:rPr>
          <w:sz w:val="20"/>
          <w:szCs w:val="20"/>
          <w:color w:val="auto"/>
        </w:rPr>
      </w:pPr>
    </w:p>
    <w:p>
      <w:pPr>
        <w:ind w:left="20" w:right="12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51"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xml:space="preserve">. To the extent Applicable Laws permit, the Board or the Administrator may delegate any or all of its powers under the Plan to one or more Committees or one or more committees of directors or officers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STOCK AVAILABLE FOR AWARDS</w:t>
      </w:r>
    </w:p>
    <w:p>
      <w:pPr>
        <w:spacing w:after="0" w:line="171"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VIII and the terms of this Article IV, the maximum number of Shares that may be issued pursuant to Awards under the Plan following the Closing shall be equal to the Overall Share Limit. As of the Effective Date, the Company ceased granting awards under the Prior Plans; however, Prior Plan Awards will remain subject to the terms of the applicable Prior Plan. Shares issued under the Plan may consist of authorized but unissued Shares, Shares purchased on the open market or treasury Shares.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0"/>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 If all or any part of an Award (which shall include any Existing Awards) or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with respect to Shares, other than with respect to any Shares subject to a Forfeited Section 16 Officer Award. In addition, Shares delivered (either by actual delivery or attestation) to the Company by a Participant to satisfy the applicable exercise or purchase price of an Award (which shall include any Existing Awards)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with respect to Shares.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(i) Shares subject to a Stock Appreciation Right that are not issued in connection with the stock settlement of the Stock Appreciation Right on exercise thereof; (ii) Shares purchased on the open market by the Company with the cash proceeds from the exercise of Options; and (iii) Shares subject to any Forfeited Section 16 Officer Award.</w:t>
      </w:r>
    </w:p>
    <w:p>
      <w:pPr>
        <w:spacing w:after="0" w:line="153"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no more than 15,665,544 Shares may be issued pursuant to the exercise of Incentive Stock Options.</w:t>
      </w:r>
    </w:p>
    <w:p>
      <w:pPr>
        <w:spacing w:after="0" w:line="121" w:lineRule="exact"/>
        <w:rPr>
          <w:sz w:val="20"/>
          <w:szCs w:val="20"/>
          <w:color w:val="auto"/>
        </w:rPr>
      </w:pPr>
    </w:p>
    <w:p>
      <w:pPr>
        <w:jc w:val="both"/>
        <w:ind w:left="20" w:right="180"/>
        <w:spacing w:after="0" w:line="270"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In connection with an entity’s merger or consolidation with the Company or the Company’s acquisition of an entity’s property or stock, the Administrator may grant Substitute Awards for any options or other stock or stock-based awards granted before such merger or consolidation by such entity or its affiliate in accordance with Applicable Laws. Substitute Awards may be granted on such terms as the Administrator deems appropriate, notwithstanding limitations on Awards in the Plan.</w:t>
      </w:r>
    </w:p>
    <w:p>
      <w:pPr>
        <w:spacing w:after="0" w:line="3" w:lineRule="exact"/>
        <w:rPr>
          <w:sz w:val="20"/>
          <w:szCs w:val="20"/>
          <w:color w:val="auto"/>
        </w:rPr>
      </w:pPr>
    </w:p>
    <w:p>
      <w:pPr>
        <w:ind w:left="20" w:right="20"/>
        <w:spacing w:after="0" w:line="251" w:lineRule="auto"/>
        <w:rPr>
          <w:sz w:val="20"/>
          <w:szCs w:val="20"/>
          <w:color w:val="auto"/>
        </w:rPr>
      </w:pPr>
      <w:r>
        <w:rPr>
          <w:rFonts w:ascii="Times New Roman" w:cs="Times New Roman" w:eastAsia="Times New Roman" w:hAnsi="Times New Roman"/>
          <w:sz w:val="18"/>
          <w:szCs w:val="18"/>
          <w:color w:val="auto"/>
        </w:rPr>
        <w:t>Substitute Awards will not count against the Overall Share Limit (nor shall Shares subject to a Substitute Award be added back to the Shares available for Awards under the Plan as provided in Section 4.2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count against the Overall Share Limit (and Shares subject to such Awards shall not be added to the Shares available for Awards under the Plan as provided in Section 4.2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65" w:lineRule="exact"/>
        <w:rPr>
          <w:sz w:val="20"/>
          <w:szCs w:val="20"/>
          <w:color w:val="auto"/>
        </w:rPr>
      </w:pPr>
    </w:p>
    <w:p>
      <w:pPr>
        <w:ind w:left="20" w:right="60"/>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Non-Employee Director Compensation</w:t>
      </w:r>
      <w:r>
        <w:rPr>
          <w:rFonts w:ascii="Times New Roman" w:cs="Times New Roman" w:eastAsia="Times New Roman" w:hAnsi="Times New Roman"/>
          <w:sz w:val="18"/>
          <w:szCs w:val="18"/>
          <w:color w:val="auto"/>
        </w:rPr>
        <w:t>. Notwithstanding any provision to the contrary in the Plan, the Administrator may, pursuant to the exercise of its business judgment, taking into account such factors, circumstances and considerations as it deems relevant from time to time, establish compensation for some or all Non-Employee Directors from time to time, subject to the limitations in the Plan and/or pursuant to a written nondiscretionary formula established by the Administrator (the “</w:t>
      </w:r>
      <w:r>
        <w:rPr>
          <w:rFonts w:ascii="Times New Roman" w:cs="Times New Roman" w:eastAsia="Times New Roman" w:hAnsi="Times New Roman"/>
          <w:sz w:val="18"/>
          <w:szCs w:val="18"/>
          <w:b w:val="1"/>
          <w:bCs w:val="1"/>
          <w:i w:val="1"/>
          <w:iCs w:val="1"/>
          <w:color w:val="auto"/>
        </w:rPr>
        <w:t>Non-Employee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 Compensation Program</w:t>
      </w:r>
      <w:r>
        <w:rPr>
          <w:rFonts w:ascii="Times New Roman" w:cs="Times New Roman" w:eastAsia="Times New Roman" w:hAnsi="Times New Roman"/>
          <w:sz w:val="18"/>
          <w:szCs w:val="18"/>
          <w:color w:val="auto"/>
        </w:rPr>
        <w:t>”). The sum of any cash compensation, or other compensation, and the value (determined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Non-Employee Director’s initial service as a Non-Employee Director (the “</w:t>
      </w:r>
      <w:r>
        <w:rPr>
          <w:rFonts w:ascii="Times New Roman" w:cs="Times New Roman" w:eastAsia="Times New Roman" w:hAnsi="Times New Roman"/>
          <w:sz w:val="18"/>
          <w:szCs w:val="18"/>
          <w:b w:val="1"/>
          <w:bCs w:val="1"/>
          <w:i w:val="1"/>
          <w:iCs w:val="1"/>
          <w:color w:val="auto"/>
        </w:rPr>
        <w:t>Director Limits</w:t>
      </w:r>
      <w:r>
        <w:rPr>
          <w:rFonts w:ascii="Times New Roman" w:cs="Times New Roman" w:eastAsia="Times New Roman" w:hAnsi="Times New Roman"/>
          <w:sz w:val="18"/>
          <w:szCs w:val="18"/>
          <w:color w:val="auto"/>
        </w:rPr>
        <w:t>”). The Administrator may make exceptions to the Director Limits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STOCK OPTIONS AND STOCK APPRECIATION RIGHTS</w:t>
      </w:r>
    </w:p>
    <w:p>
      <w:pPr>
        <w:spacing w:after="0" w:line="158"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51"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price of any Substitute Award shall be determined in accordance with the applicable requirements of Sections 424 and 409A of the Code.</w:t>
      </w:r>
    </w:p>
    <w:p>
      <w:pPr>
        <w:spacing w:after="0" w:line="162" w:lineRule="exact"/>
        <w:rPr>
          <w:sz w:val="20"/>
          <w:szCs w:val="20"/>
          <w:color w:val="auto"/>
        </w:rPr>
      </w:pPr>
    </w:p>
    <w:p>
      <w:pPr>
        <w:ind w:left="20" w:right="20"/>
        <w:spacing w:after="0" w:line="25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xml:space="preserve">.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shall the extension last beyond the ten year term of the applicable Option or Stock Appreciation Right. Unless otherwise determined by the Administrator in the Award Agreement or by action of the Administrator following the grant of the Option or Stock Appreciation Right, (i) no portion of an Option or Stock Appreciation Right which is unexercisable at a Participant’s Termination of Service shall thereafter become exercisable and (ii) the portion of an Option or Stock Appreciation Right that is unexercisable at a Participant’s Termination of Service shall automatically expire thirty (30) days following such Termination of Service.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Subsidiary, the right of the Participant and the Participant’s transferees to exercise any Option or Stock Appreciation Right issued to the Participant shall terminate immediately upon such violation, unless the Company otherwise determines.</w:t>
      </w:r>
    </w:p>
    <w:p>
      <w:pPr>
        <w:spacing w:after="0" w:line="150" w:lineRule="exact"/>
        <w:rPr>
          <w:sz w:val="20"/>
          <w:szCs w:val="20"/>
          <w:color w:val="auto"/>
        </w:rPr>
      </w:pPr>
    </w:p>
    <w:p>
      <w:pPr>
        <w:ind w:left="20" w:right="60"/>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Subject to Section 10.8, any Company insider trading policy (including blackout periods) and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Applicable Laws, the exercise price of an Option must be paid by:</w:t>
      </w:r>
    </w:p>
    <w:p>
      <w:pPr>
        <w:spacing w:after="0" w:line="180" w:lineRule="exact"/>
        <w:rPr>
          <w:sz w:val="20"/>
          <w:szCs w:val="20"/>
          <w:color w:val="auto"/>
        </w:rPr>
      </w:pPr>
    </w:p>
    <w:p>
      <w:pPr>
        <w:ind w:left="380" w:right="180" w:firstLine="1"/>
        <w:spacing w:after="0" w:line="282" w:lineRule="auto"/>
        <w:tabs>
          <w:tab w:leader="none" w:pos="6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21" w:lineRule="exact"/>
        <w:rPr>
          <w:rFonts w:ascii="Times New Roman" w:cs="Times New Roman" w:eastAsia="Times New Roman" w:hAnsi="Times New Roman"/>
          <w:sz w:val="18"/>
          <w:szCs w:val="18"/>
          <w:color w:val="auto"/>
        </w:rPr>
      </w:pPr>
    </w:p>
    <w:p>
      <w:pPr>
        <w:ind w:left="380" w:right="120" w:firstLine="1"/>
        <w:spacing w:after="0" w:line="256" w:lineRule="auto"/>
        <w:tabs>
          <w:tab w:leader="none" w:pos="6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80" w:right="440" w:firstLine="1"/>
        <w:spacing w:after="0" w:line="282" w:lineRule="auto"/>
        <w:tabs>
          <w:tab w:leader="none" w:pos="62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(either by actual delivery or attestation) of Shares owned by the Participant valued at their Fair Market Value;</w:t>
      </w:r>
    </w:p>
    <w:p>
      <w:pPr>
        <w:spacing w:after="0" w:line="121" w:lineRule="exact"/>
        <w:rPr>
          <w:rFonts w:ascii="Times New Roman" w:cs="Times New Roman" w:eastAsia="Times New Roman" w:hAnsi="Times New Roman"/>
          <w:sz w:val="18"/>
          <w:szCs w:val="18"/>
          <w:color w:val="auto"/>
        </w:rPr>
      </w:pPr>
    </w:p>
    <w:p>
      <w:pPr>
        <w:ind w:left="380" w:right="180" w:firstLine="1"/>
        <w:spacing w:after="0" w:line="282"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surrendering Shares then issuable upon the Option’s exercise valued at their Fair Market Value on the exercise date;</w:t>
      </w:r>
    </w:p>
    <w:p>
      <w:pPr>
        <w:spacing w:after="0" w:line="121" w:lineRule="exact"/>
        <w:rPr>
          <w:rFonts w:ascii="Times New Roman" w:cs="Times New Roman" w:eastAsia="Times New Roman" w:hAnsi="Times New Roman"/>
          <w:sz w:val="18"/>
          <w:szCs w:val="18"/>
          <w:color w:val="auto"/>
        </w:rPr>
      </w:pPr>
    </w:p>
    <w:p>
      <w:pPr>
        <w:ind w:left="380" w:right="320" w:firstLine="1"/>
        <w:spacing w:after="0" w:line="282" w:lineRule="auto"/>
        <w:tabs>
          <w:tab w:leader="none" w:pos="62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of a promissory note or any other property that the Administrator determines is good and valuable consideration; or</w:t>
      </w:r>
    </w:p>
    <w:p>
      <w:pPr>
        <w:spacing w:after="0" w:line="175" w:lineRule="exact"/>
        <w:rPr>
          <w:rFonts w:ascii="Times New Roman" w:cs="Times New Roman" w:eastAsia="Times New Roman" w:hAnsi="Times New Roman"/>
          <w:sz w:val="18"/>
          <w:szCs w:val="18"/>
          <w:color w:val="auto"/>
        </w:rPr>
      </w:pPr>
    </w:p>
    <w:p>
      <w:pPr>
        <w:ind w:left="600" w:hanging="219"/>
        <w:spacing w:after="0"/>
        <w:tabs>
          <w:tab w:leader="none" w:pos="6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Company, any combination of the above payment forms approved by the Administrator.</w:t>
      </w:r>
    </w:p>
    <w:p>
      <w:pPr>
        <w:spacing w:after="0" w:line="185" w:lineRule="exact"/>
        <w:rPr>
          <w:sz w:val="20"/>
          <w:szCs w:val="20"/>
          <w:color w:val="auto"/>
        </w:rPr>
      </w:pPr>
    </w:p>
    <w:p>
      <w:pPr>
        <w:ind w:left="20" w:right="80"/>
        <w:spacing w:after="0" w:line="25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RESTRICTED STOCK; RESTRICTED STOCK UNITS</w:t>
      </w:r>
    </w:p>
    <w:p>
      <w:pPr>
        <w:spacing w:after="0" w:line="158"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80" w:right="20" w:firstLine="1"/>
        <w:spacing w:after="0" w:line="266" w:lineRule="auto"/>
        <w:tabs>
          <w:tab w:leader="none" w:pos="6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Stockholders</w:t>
      </w:r>
      <w:r>
        <w:rPr>
          <w:rFonts w:ascii="Times New Roman" w:cs="Times New Roman" w:eastAsia="Times New Roman" w:hAnsi="Times New Roman"/>
          <w:sz w:val="18"/>
          <w:szCs w:val="18"/>
          <w:color w:val="auto"/>
        </w:rPr>
        <w:t>. Subject to the Company’s right of repurchase as described above, upon issuance of Restricted Stock, the Participant shall have, unless otherwise provided by the Administrator, all of the rights of a stockholder with respect to said Shares, subject to the restrictions in the Plan.</w:t>
      </w:r>
    </w:p>
    <w:p>
      <w:pPr>
        <w:spacing w:after="0" w:line="135" w:lineRule="exact"/>
        <w:rPr>
          <w:rFonts w:ascii="Times New Roman" w:cs="Times New Roman" w:eastAsia="Times New Roman" w:hAnsi="Times New Roman"/>
          <w:sz w:val="18"/>
          <w:szCs w:val="18"/>
          <w:color w:val="auto"/>
        </w:rPr>
      </w:pPr>
    </w:p>
    <w:p>
      <w:pPr>
        <w:ind w:left="380" w:right="80" w:firstLine="1"/>
        <w:spacing w:after="0" w:line="254"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61" w:lineRule="exact"/>
        <w:rPr>
          <w:rFonts w:ascii="Times New Roman" w:cs="Times New Roman" w:eastAsia="Times New Roman" w:hAnsi="Times New Roman"/>
          <w:sz w:val="18"/>
          <w:szCs w:val="18"/>
          <w:color w:val="auto"/>
        </w:rPr>
      </w:pPr>
    </w:p>
    <w:p>
      <w:pPr>
        <w:ind w:left="380" w:firstLine="1"/>
        <w:spacing w:after="0" w:line="282" w:lineRule="auto"/>
        <w:tabs>
          <w:tab w:leader="none" w:pos="6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Restricted Stock Units.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80" w:right="640" w:firstLine="1"/>
        <w:spacing w:after="0" w:line="266" w:lineRule="auto"/>
        <w:tabs>
          <w:tab w:leader="none" w:pos="6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35" w:lineRule="exact"/>
        <w:rPr>
          <w:rFonts w:ascii="Times New Roman" w:cs="Times New Roman" w:eastAsia="Times New Roman" w:hAnsi="Times New Roman"/>
          <w:sz w:val="18"/>
          <w:szCs w:val="18"/>
          <w:color w:val="auto"/>
        </w:rPr>
      </w:pPr>
    </w:p>
    <w:p>
      <w:pPr>
        <w:ind w:left="380" w:right="420" w:firstLine="1"/>
        <w:spacing w:after="0" w:line="282"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OTHER STOCK OR CASH BASED AWARDS; DIVIDEND EQUIVALENTS</w:t>
      </w:r>
    </w:p>
    <w:p>
      <w:pPr>
        <w:spacing w:after="0" w:line="171"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147"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Dividend Equivalents with respect to an Award shall only be paid out to the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ADJUSTMENTS FOR CHANGES IN COMMON STOCK</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 CERTAIN OTHER EVENTS</w:t>
      </w:r>
    </w:p>
    <w:p>
      <w:pPr>
        <w:spacing w:after="0" w:line="158" w:lineRule="exact"/>
        <w:rPr>
          <w:sz w:val="20"/>
          <w:szCs w:val="20"/>
          <w:color w:val="auto"/>
        </w:rPr>
      </w:pPr>
    </w:p>
    <w:p>
      <w:pPr>
        <w:ind w:left="20" w:right="600"/>
        <w:spacing w:after="0" w:line="25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47" w:lineRule="exact"/>
        <w:rPr>
          <w:sz w:val="20"/>
          <w:szCs w:val="20"/>
          <w:color w:val="auto"/>
        </w:rPr>
      </w:pPr>
    </w:p>
    <w:p>
      <w:pPr>
        <w:ind w:left="20" w:right="80"/>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facilitate such transaction or event or (z) give effect to such changes in Applicable Laws or accounting principles:</w:t>
      </w:r>
    </w:p>
    <w:p>
      <w:pPr>
        <w:spacing w:after="0" w:line="160" w:lineRule="exact"/>
        <w:rPr>
          <w:sz w:val="20"/>
          <w:szCs w:val="20"/>
          <w:color w:val="auto"/>
        </w:rPr>
      </w:pPr>
    </w:p>
    <w:p>
      <w:pPr>
        <w:ind w:left="380" w:firstLine="1"/>
        <w:spacing w:after="0" w:line="258" w:lineRule="auto"/>
        <w:tabs>
          <w:tab w:leader="none" w:pos="62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80" w:right="620" w:firstLine="1"/>
        <w:spacing w:after="0" w:line="282" w:lineRule="auto"/>
        <w:tabs>
          <w:tab w:leader="none" w:pos="6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21" w:lineRule="exact"/>
        <w:rPr>
          <w:rFonts w:ascii="Times New Roman" w:cs="Times New Roman" w:eastAsia="Times New Roman" w:hAnsi="Times New Roman"/>
          <w:sz w:val="18"/>
          <w:szCs w:val="18"/>
          <w:color w:val="auto"/>
        </w:rPr>
      </w:pPr>
    </w:p>
    <w:p>
      <w:pPr>
        <w:jc w:val="both"/>
        <w:ind w:left="380" w:right="20" w:firstLine="1"/>
        <w:spacing w:after="0" w:line="261" w:lineRule="auto"/>
        <w:tabs>
          <w:tab w:leader="none" w:pos="62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39" w:lineRule="exact"/>
        <w:rPr>
          <w:rFonts w:ascii="Times New Roman" w:cs="Times New Roman" w:eastAsia="Times New Roman" w:hAnsi="Times New Roman"/>
          <w:sz w:val="18"/>
          <w:szCs w:val="18"/>
          <w:color w:val="auto"/>
        </w:rPr>
      </w:pPr>
    </w:p>
    <w:p>
      <w:pPr>
        <w:ind w:left="380" w:right="280" w:firstLine="1"/>
        <w:spacing w:after="0" w:line="258" w:lineRule="auto"/>
        <w:tabs>
          <w:tab w:leader="none" w:pos="6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including pursuant to any Non-Employee Director Compensation Program) and/or in the terms and conditions of (including the grant or exercise price or applicable performance goals), and the criteria included in, outstanding Awards;</w:t>
      </w:r>
    </w:p>
    <w:p>
      <w:pPr>
        <w:spacing w:after="0" w:line="196" w:lineRule="exact"/>
        <w:rPr>
          <w:rFonts w:ascii="Times New Roman" w:cs="Times New Roman" w:eastAsia="Times New Roman" w:hAnsi="Times New Roman"/>
          <w:sz w:val="18"/>
          <w:szCs w:val="18"/>
          <w:color w:val="auto"/>
        </w:rPr>
      </w:pPr>
    </w:p>
    <w:p>
      <w:pPr>
        <w:ind w:left="620" w:hanging="239"/>
        <w:spacing w:after="0"/>
        <w:tabs>
          <w:tab w:leader="none" w:pos="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238" w:lineRule="exact"/>
        <w:rPr>
          <w:rFonts w:ascii="Times New Roman" w:cs="Times New Roman" w:eastAsia="Times New Roman" w:hAnsi="Times New Roman"/>
          <w:sz w:val="18"/>
          <w:szCs w:val="18"/>
          <w:color w:val="auto"/>
        </w:rPr>
      </w:pPr>
    </w:p>
    <w:p>
      <w:pPr>
        <w:ind w:left="600" w:hanging="219"/>
        <w:spacing w:after="0"/>
        <w:tabs>
          <w:tab w:leader="none" w:pos="6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185" w:lineRule="exact"/>
        <w:rPr>
          <w:sz w:val="20"/>
          <w:szCs w:val="20"/>
          <w:color w:val="auto"/>
        </w:rPr>
      </w:pPr>
    </w:p>
    <w:p>
      <w:pPr>
        <w:ind w:left="20"/>
        <w:spacing w:after="0" w:line="25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Effect of Non-Assumption in a Change in Control</w:t>
      </w:r>
      <w:r>
        <w:rPr>
          <w:rFonts w:ascii="Times New Roman" w:cs="Times New Roman" w:eastAsia="Times New Roman" w:hAnsi="Times New Roman"/>
          <w:sz w:val="18"/>
          <w:szCs w:val="18"/>
          <w:color w:val="auto"/>
        </w:rPr>
        <w:t>. Notwithstanding the provisions of Section 8.2, if a Change in Control occurs and a Participant’s Award is not continued, converted, assumed or replaced with a substantially similar award by (i) the Company, or (ii) a successor entity or its parent or subsidiary (an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and provided that the Participant has not had a Termination of Service,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(A)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(B) determined by reference to the number of Shares subject to such Award and net of any applicable exercise price; provided that to the extent that any Award constitutes “nonqualified deferred compensation” that may not be paid upon the Change in Control under Section 409A without the imposition of taxes thereon under Section 409A (including payments as a result of any termination of “nonqualified deferred compensation” Awards permitted under Section 409A in connection with a Change in Control), the timing of such payments shall be governed by the applicable Award Agreement (subject to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51" w:lineRule="exact"/>
        <w:rPr>
          <w:sz w:val="20"/>
          <w:szCs w:val="20"/>
          <w:color w:val="auto"/>
        </w:rPr>
      </w:pPr>
    </w:p>
    <w:p>
      <w:pPr>
        <w:ind w:left="20" w:right="120"/>
        <w:spacing w:after="0" w:line="25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Administrative Stand Still</w:t>
      </w:r>
      <w:r>
        <w:rPr>
          <w:rFonts w:ascii="Times New Roman" w:cs="Times New Roman" w:eastAsia="Times New Roman" w:hAnsi="Times New Roman"/>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60 days before or after such transaction.</w:t>
      </w:r>
    </w:p>
    <w:p>
      <w:pPr>
        <w:spacing w:after="0" w:line="156" w:lineRule="exact"/>
        <w:rPr>
          <w:sz w:val="20"/>
          <w:szCs w:val="20"/>
          <w:color w:val="auto"/>
        </w:rPr>
      </w:pPr>
    </w:p>
    <w:p>
      <w:pPr>
        <w:ind w:left="20"/>
        <w:spacing w:after="0" w:line="269"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price or exercise price (if applicable).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PROVISIONS APPLICABLE TO AWARDS</w:t>
      </w:r>
    </w:p>
    <w:p>
      <w:pPr>
        <w:spacing w:after="0" w:line="158" w:lineRule="exact"/>
        <w:rPr>
          <w:sz w:val="20"/>
          <w:szCs w:val="20"/>
          <w:color w:val="auto"/>
        </w:rPr>
      </w:pPr>
    </w:p>
    <w:p>
      <w:pPr>
        <w:ind w:left="20" w:right="100"/>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and such Award 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pacing w:after="0" w:line="148" w:lineRule="exact"/>
        <w:rPr>
          <w:sz w:val="20"/>
          <w:szCs w:val="20"/>
          <w:color w:val="auto"/>
        </w:rPr>
      </w:pPr>
    </w:p>
    <w:p>
      <w:pPr>
        <w:ind w:left="20" w:right="200"/>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49" w:lineRule="exact"/>
        <w:rPr>
          <w:sz w:val="20"/>
          <w:szCs w:val="20"/>
          <w:color w:val="auto"/>
        </w:rPr>
      </w:pPr>
    </w:p>
    <w:p>
      <w:pPr>
        <w:ind w:left="20" w:right="80"/>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Discretion</w:t>
      </w:r>
      <w:r>
        <w:rPr>
          <w:rFonts w:ascii="Times New Roman" w:cs="Times New Roman" w:eastAsia="Times New Roman" w:hAnsi="Times New Roman"/>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35"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Change in Status</w:t>
      </w:r>
      <w:r>
        <w:rPr>
          <w:rFonts w:ascii="Times New Roman" w:cs="Times New Roman" w:eastAsia="Times New Roman" w:hAnsi="Times New Roman"/>
          <w:sz w:val="18"/>
          <w:szCs w:val="18"/>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39"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(b) below with respect to Awards held by individuals subject to 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(a) in cash, by wire transfer of immediately available funds, by check made payable to the order of the Company, provided that the Company may limit the use of the foregoing payment forms if one or more of the payment forms below is permitted, (b) to the extent permitted by the Administrator, in whole or in part by delivery of Shares, including Shares delivered by attestation and Shares retained from the Award creating the tax obligation, valued at their Fair Market Value on the date of delivery, (c) if there is a public market for Shares at the time the tax obligations are satisfied, unless the Company otherwise determines, (i) delivery (including electronically or telephonically to the extent permitted by the Company) of an irrevocable and unconditional undertaking by a broker acceptable to the Company to deliver promptly to the Company sufficient funds to satisfy the tax obligations, or (ii)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(d) to the extent permitted by the Company, any combination of the foregoing payment forms approved by the Administrator. 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 (b)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0" w:right="160"/>
        <w:spacing w:after="0" w:line="266" w:lineRule="auto"/>
        <w:rPr>
          <w:sz w:val="20"/>
          <w:szCs w:val="20"/>
          <w:color w:val="auto"/>
        </w:rPr>
      </w:pPr>
      <w:r>
        <w:rPr>
          <w:rFonts w:ascii="Times New Roman" w:cs="Times New Roman" w:eastAsia="Times New Roman" w:hAnsi="Times New Roman"/>
          <w:sz w:val="18"/>
          <w:szCs w:val="18"/>
          <w:color w:val="auto"/>
        </w:rPr>
        <w:t>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35"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VIII or pursuant to Section 10.6.</w:t>
      </w:r>
    </w:p>
    <w:p>
      <w:pPr>
        <w:spacing w:after="0" w:line="143" w:lineRule="exact"/>
        <w:rPr>
          <w:sz w:val="20"/>
          <w:szCs w:val="20"/>
          <w:color w:val="auto"/>
        </w:rPr>
      </w:pPr>
    </w:p>
    <w:p>
      <w:pPr>
        <w:ind w:left="20" w:right="140"/>
        <w:spacing w:after="0" w:line="270"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Conditions on Delivery of Stock</w:t>
      </w:r>
      <w:r>
        <w:rPr>
          <w:rFonts w:ascii="Times New Roman" w:cs="Times New Roman" w:eastAsia="Times New Roman" w:hAnsi="Times New Roman"/>
          <w:sz w:val="17"/>
          <w:szCs w:val="17"/>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any applicable securities laws and stock exchange or stock market rules and regulations, and</w:t>
      </w:r>
    </w:p>
    <w:p>
      <w:pPr>
        <w:spacing w:after="0" w:line="3" w:lineRule="exact"/>
        <w:rPr>
          <w:sz w:val="20"/>
          <w:szCs w:val="20"/>
          <w:color w:val="auto"/>
        </w:rPr>
      </w:pPr>
    </w:p>
    <w:p>
      <w:pPr>
        <w:ind w:left="20" w:right="180" w:firstLine="1"/>
        <w:spacing w:after="0" w:line="253" w:lineRule="auto"/>
        <w:tabs>
          <w:tab w:leader="none" w:pos="2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62" w:lineRule="exact"/>
        <w:rPr>
          <w:sz w:val="20"/>
          <w:szCs w:val="20"/>
          <w:color w:val="auto"/>
        </w:rPr>
      </w:pPr>
    </w:p>
    <w:p>
      <w:pPr>
        <w:ind w:left="20" w:right="40"/>
        <w:spacing w:after="0" w:line="28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21"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Cash Settlement</w:t>
      </w:r>
      <w:r>
        <w:rPr>
          <w:rFonts w:ascii="Times New Roman" w:cs="Times New Roman" w:eastAsia="Times New Roman" w:hAnsi="Times New Roman"/>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35" w:lineRule="exact"/>
        <w:rPr>
          <w:sz w:val="20"/>
          <w:szCs w:val="20"/>
          <w:color w:val="auto"/>
        </w:rPr>
      </w:pPr>
    </w:p>
    <w:p>
      <w:pPr>
        <w:ind w:left="20" w:right="60"/>
        <w:spacing w:after="0" w:line="253"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27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58" w:lineRule="exact"/>
        <w:rPr>
          <w:sz w:val="20"/>
          <w:szCs w:val="20"/>
          <w:color w:val="auto"/>
        </w:rPr>
      </w:pPr>
    </w:p>
    <w:p>
      <w:pPr>
        <w:ind w:left="20" w:right="100"/>
        <w:spacing w:after="0" w:line="25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continued employment or any other relationship with the Company or any Subsidiary. The Company and its Subsidiaries expressly reserve the right at any time to dismiss or otherwise terminate its relationship with a Participant free from any liability or claim under the Plan or any Award, except as expressly provided in an Award Agreement or in the Plan.</w:t>
      </w:r>
    </w:p>
    <w:p>
      <w:pPr>
        <w:spacing w:after="0" w:line="156" w:lineRule="exact"/>
        <w:rPr>
          <w:sz w:val="20"/>
          <w:szCs w:val="20"/>
          <w:color w:val="auto"/>
        </w:rPr>
      </w:pPr>
    </w:p>
    <w:p>
      <w:pPr>
        <w:ind w:left="20" w:right="40"/>
        <w:spacing w:after="0" w:line="25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48" w:lineRule="exact"/>
        <w:rPr>
          <w:sz w:val="20"/>
          <w:szCs w:val="20"/>
          <w:color w:val="auto"/>
        </w:rPr>
      </w:pPr>
    </w:p>
    <w:p>
      <w:pPr>
        <w:ind w:left="20" w:right="240"/>
        <w:spacing w:after="0" w:line="312"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Effective Date and Term of Plan</w:t>
      </w:r>
      <w:r>
        <w:rPr>
          <w:rFonts w:ascii="Times New Roman" w:cs="Times New Roman" w:eastAsia="Times New Roman" w:hAnsi="Times New Roman"/>
          <w:sz w:val="17"/>
          <w:szCs w:val="17"/>
          <w:color w:val="auto"/>
        </w:rPr>
        <w:t>. The Plan became effective on October 26, 2021, which was the day prior to the Public Trading Date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and, unless terminated earlier by the Board, shall remain in effect until the tenth anniversary</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of the Closing Date, but Awards previously granted may extend beyond that date in accordance with the Plan. Notwithstanding anything to the contrary in the Plan, an Incentive Stock Option may not be granted under the Plan after the tenth anniversary of the earlier of (a) the date the Board adopted the amendment and restatement of the 2021 Plan pursuant to the Plan or (b) the date the Company’s stockholders approved the amendment and restatement of the 2021 Plan pursuant to the Plan, but Incentive Stock Options previously granted may extend beyond that date in accordance with the Plan. If the Plan is not approved by the Company’s stockholders at the special meeting of the Company’s stockholders to be held on October 21, 2025, or if the Closing does not occur as a result of the termination of the Exchange Agreement, the Plan will not become effective, no Awards will be granted under the Plan, and the 2021 Plan and the Prior Plans (to the extent in effect as of the date that the Exchange Agreement is terminated) will continue in full force and effect in accordance with their respective terms.</w:t>
      </w:r>
    </w:p>
    <w:p>
      <w:pPr>
        <w:spacing w:after="0" w:line="148" w:lineRule="exact"/>
        <w:rPr>
          <w:sz w:val="20"/>
          <w:szCs w:val="20"/>
          <w:color w:val="auto"/>
        </w:rPr>
      </w:pPr>
    </w:p>
    <w:p>
      <w:pPr>
        <w:ind w:left="20" w:right="100"/>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Amendment and Termination of Plan</w:t>
      </w:r>
      <w:r>
        <w:rPr>
          <w:rFonts w:ascii="Times New Roman" w:cs="Times New Roman" w:eastAsia="Times New Roman" w:hAnsi="Times New Roman"/>
          <w:sz w:val="18"/>
          <w:szCs w:val="18"/>
          <w:color w:val="auto"/>
        </w:rPr>
        <w:t>. The Board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47" w:lineRule="exact"/>
        <w:rPr>
          <w:sz w:val="20"/>
          <w:szCs w:val="20"/>
          <w:color w:val="auto"/>
        </w:rPr>
      </w:pPr>
    </w:p>
    <w:p>
      <w:pPr>
        <w:ind w:left="20" w:right="120"/>
        <w:spacing w:after="0" w:line="281" w:lineRule="auto"/>
        <w:rPr>
          <w:sz w:val="20"/>
          <w:szCs w:val="20"/>
          <w:color w:val="auto"/>
        </w:rPr>
      </w:pPr>
      <w:r>
        <w:rPr>
          <w:rFonts w:ascii="Times New Roman" w:cs="Times New Roman" w:eastAsia="Times New Roman" w:hAnsi="Times New Roman"/>
          <w:sz w:val="17"/>
          <w:szCs w:val="17"/>
          <w:color w:val="auto"/>
        </w:rPr>
        <w:t xml:space="preserve">10.5 </w:t>
      </w:r>
      <w:r>
        <w:rPr>
          <w:rFonts w:ascii="Times New Roman" w:cs="Times New Roman" w:eastAsia="Times New Roman" w:hAnsi="Times New Roman"/>
          <w:sz w:val="17"/>
          <w:szCs w:val="17"/>
          <w:u w:val="single" w:color="auto"/>
          <w:color w:val="auto"/>
        </w:rPr>
        <w:t>Provisions for Foreign Participants</w:t>
      </w:r>
      <w:r>
        <w:rPr>
          <w:rFonts w:ascii="Times New Roman" w:cs="Times New Roman" w:eastAsia="Times New Roman" w:hAnsi="Times New Roman"/>
          <w:sz w:val="17"/>
          <w:szCs w:val="17"/>
          <w:color w:val="auto"/>
        </w:rPr>
        <w:t xml:space="preserve">.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such subplans and/or modifications shall increase the Overall Share Limit or the Director Limit.</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80" w:right="20" w:firstLine="1"/>
        <w:spacing w:after="0" w:line="253" w:lineRule="auto"/>
        <w:tabs>
          <w:tab w:leader="none" w:pos="6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62" w:lineRule="exact"/>
        <w:rPr>
          <w:rFonts w:ascii="Times New Roman" w:cs="Times New Roman" w:eastAsia="Times New Roman" w:hAnsi="Times New Roman"/>
          <w:sz w:val="18"/>
          <w:szCs w:val="18"/>
          <w:color w:val="auto"/>
        </w:rPr>
      </w:pPr>
    </w:p>
    <w:p>
      <w:pPr>
        <w:ind w:left="380" w:firstLine="1"/>
        <w:spacing w:after="0" w:line="256" w:lineRule="auto"/>
        <w:tabs>
          <w:tab w:leader="none" w:pos="6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46" w:lineRule="exact"/>
        <w:rPr>
          <w:rFonts w:ascii="Times New Roman" w:cs="Times New Roman" w:eastAsia="Times New Roman" w:hAnsi="Times New Roman"/>
          <w:sz w:val="18"/>
          <w:szCs w:val="18"/>
          <w:color w:val="auto"/>
        </w:rPr>
      </w:pPr>
    </w:p>
    <w:p>
      <w:pPr>
        <w:ind w:left="380" w:right="80" w:firstLine="1"/>
        <w:spacing w:after="0" w:line="254" w:lineRule="auto"/>
        <w:tabs>
          <w:tab w:leader="none" w:pos="6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48"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39" w:lineRule="exact"/>
        <w:rPr>
          <w:sz w:val="20"/>
          <w:szCs w:val="20"/>
          <w:color w:val="auto"/>
        </w:rPr>
      </w:pPr>
    </w:p>
    <w:p>
      <w:pPr>
        <w:ind w:left="20" w:right="40"/>
        <w:spacing w:after="0" w:line="251"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any Subsidiary and any of their respective affiliates exclusively for implementing, administering and managing the Participant’s participation in the Plan. The Company and the Subsidiaries and their respective affiliates may hold certain personal information about a Participant, including the Participant’s name, address and telephone number; birthdate; social security, insurance number or other identification number; salary; nationality; job title(s); any Shares held in the Company or any Subsidiaries or any of their respective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the Subsidiaries and their respective affiliates may transfer the Data amongst themselves as necessary to implement, administer and manage a Participant’s participation in the Plan, and the Company and the Subsidiaries and their respective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any Subsidiary or the Participant may elect to deposit any Shares. The Data related to a Participant will be held only as long as necessary to implement, administer, and manage the Participant’s participation in the Plan. A Participant may, at any time, view the Data that the Company and any Subsidiary hold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78" w:lineRule="exact"/>
        <w:rPr>
          <w:sz w:val="20"/>
          <w:szCs w:val="20"/>
          <w:color w:val="auto"/>
        </w:rPr>
      </w:pPr>
    </w:p>
    <w:p>
      <w:pPr>
        <w:ind w:left="20" w:right="240"/>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35" w:lineRule="exact"/>
        <w:rPr>
          <w:sz w:val="20"/>
          <w:szCs w:val="20"/>
          <w:color w:val="auto"/>
        </w:rPr>
      </w:pPr>
    </w:p>
    <w:p>
      <w:pPr>
        <w:jc w:val="both"/>
        <w:ind w:left="20" w:right="180"/>
        <w:spacing w:after="0" w:line="289" w:lineRule="auto"/>
        <w:rPr>
          <w:sz w:val="20"/>
          <w:szCs w:val="20"/>
          <w:color w:val="auto"/>
        </w:rPr>
      </w:pPr>
      <w:r>
        <w:rPr>
          <w:rFonts w:ascii="Times New Roman" w:cs="Times New Roman" w:eastAsia="Times New Roman" w:hAnsi="Times New Roman"/>
          <w:sz w:val="17"/>
          <w:szCs w:val="17"/>
          <w:color w:val="auto"/>
        </w:rPr>
        <w:t xml:space="preserve">10.11 </w:t>
      </w:r>
      <w:r>
        <w:rPr>
          <w:rFonts w:ascii="Times New Roman" w:cs="Times New Roman" w:eastAsia="Times New Roman" w:hAnsi="Times New Roman"/>
          <w:sz w:val="17"/>
          <w:szCs w:val="17"/>
          <w:u w:val="single" w:color="auto"/>
          <w:color w:val="auto"/>
        </w:rPr>
        <w:t>Governing Documents</w:t>
      </w:r>
      <w:r>
        <w:rPr>
          <w:rFonts w:ascii="Times New Roman" w:cs="Times New Roman" w:eastAsia="Times New Roman" w:hAnsi="Times New Roman"/>
          <w:sz w:val="17"/>
          <w:szCs w:val="17"/>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17" w:lineRule="exact"/>
        <w:rPr>
          <w:sz w:val="20"/>
          <w:szCs w:val="20"/>
          <w:color w:val="auto"/>
        </w:rPr>
      </w:pPr>
    </w:p>
    <w:p>
      <w:pPr>
        <w:ind w:left="20" w:right="100"/>
        <w:spacing w:after="0" w:line="26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49"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without limitation, any proceeds, gains or other economic benefit actually or constructively received by Participant upon any receipt or exercise of any Award or upon the receipt or resale of any Shares underlying the Award) shall be subject to the provisions of any claw-back policy implemented by the Company, including, without limitation, the Company’s Policy Relating to Recovery of Erroneously Awarded Compensation and any other claw back policy adopted to comply with Applicable Laws, as and to the extent set forth in such claw-back policy or the Award Agreement.</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121" w:lineRule="exact"/>
        <w:rPr>
          <w:sz w:val="20"/>
          <w:szCs w:val="20"/>
          <w:color w:val="auto"/>
        </w:rPr>
      </w:pPr>
    </w:p>
    <w:p>
      <w:pPr>
        <w:ind w:left="20" w:right="240"/>
        <w:spacing w:after="0" w:line="261"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39"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27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means the Amended and Restated 2021 Incentive Award Plan.</w:t>
      </w:r>
    </w:p>
    <w:p>
      <w:pPr>
        <w:spacing w:after="0" w:line="185" w:lineRule="exact"/>
        <w:rPr>
          <w:sz w:val="20"/>
          <w:szCs w:val="20"/>
          <w:color w:val="auto"/>
        </w:rPr>
      </w:pPr>
    </w:p>
    <w:p>
      <w:pPr>
        <w:ind w:left="20" w:right="100"/>
        <w:spacing w:after="0" w:line="26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to the extent that the Board’s powers or authority under the Plan have been delegated to such Committee. Notwithstanding the foregoing, the full Board, acting by a majority of its members in office, shall conduct the general administration of the Plan with respect to Awards granted to Directors and, with respect to such Awards, the term “Administrator” as used in the Plan shall be deemed to refer to the Board.</w:t>
      </w:r>
    </w:p>
    <w:p>
      <w:pPr>
        <w:spacing w:after="0" w:line="136" w:lineRule="exact"/>
        <w:rPr>
          <w:sz w:val="20"/>
          <w:szCs w:val="20"/>
          <w:color w:val="auto"/>
        </w:rPr>
      </w:pPr>
    </w:p>
    <w:p>
      <w:pPr>
        <w:ind w:left="20" w:right="20"/>
        <w:spacing w:after="0" w:line="262"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49" w:lineRule="exact"/>
        <w:rPr>
          <w:sz w:val="20"/>
          <w:szCs w:val="20"/>
          <w:color w:val="auto"/>
        </w:rPr>
      </w:pPr>
    </w:p>
    <w:p>
      <w:pPr>
        <w:ind w:left="20" w:right="220"/>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or the 2021 Plan of Options, Stock Appreciation Rights, Restricted Stock, Restricted Stock Units, Dividend Equivalents, or Other Stock or Cash Based Awards.</w:t>
      </w:r>
    </w:p>
    <w:p>
      <w:pPr>
        <w:spacing w:after="0" w:line="114" w:lineRule="exact"/>
        <w:rPr>
          <w:sz w:val="20"/>
          <w:szCs w:val="20"/>
          <w:color w:val="auto"/>
        </w:rPr>
      </w:pPr>
    </w:p>
    <w:p>
      <w:pPr>
        <w:jc w:val="both"/>
        <w:ind w:left="20" w:right="60"/>
        <w:spacing w:after="0" w:line="268"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evidencing an Award, which may be electronic, that contains such terms and conditions as the Administrator determines, consistent with and subject to the terms and conditions of the Plan or the 2021 Plan (as applicable).</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202" w:lineRule="exact"/>
        <w:rPr>
          <w:sz w:val="20"/>
          <w:szCs w:val="20"/>
          <w:color w:val="auto"/>
        </w:rPr>
      </w:pPr>
    </w:p>
    <w:p>
      <w:pPr>
        <w:ind w:left="380" w:right="40" w:firstLine="1"/>
        <w:spacing w:after="0" w:line="254" w:lineRule="auto"/>
        <w:tabs>
          <w:tab w:leader="none" w:pos="6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the Subsidiaries, an employee benefit plan maintained by the Company or any of the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47" w:lineRule="exact"/>
        <w:rPr>
          <w:rFonts w:ascii="Times New Roman" w:cs="Times New Roman" w:eastAsia="Times New Roman" w:hAnsi="Times New Roman"/>
          <w:sz w:val="18"/>
          <w:szCs w:val="18"/>
          <w:color w:val="auto"/>
        </w:rPr>
      </w:pPr>
    </w:p>
    <w:p>
      <w:pPr>
        <w:ind w:left="380" w:right="20" w:firstLine="1"/>
        <w:spacing w:after="0" w:line="256" w:lineRule="auto"/>
        <w:tabs>
          <w:tab w:leader="none" w:pos="6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24 consecutive months,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24-month period or whose election or nomination for election was previously so approved, cease for any reason to constitute a majority thereof; or</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80" w:right="80" w:firstLine="1"/>
        <w:spacing w:after="0" w:line="272" w:lineRule="auto"/>
        <w:tabs>
          <w:tab w:leader="none" w:pos="62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w:t>
      </w:r>
    </w:p>
    <w:p>
      <w:pPr>
        <w:spacing w:after="0" w:line="1" w:lineRule="exact"/>
        <w:rPr>
          <w:rFonts w:ascii="Times New Roman" w:cs="Times New Roman" w:eastAsia="Times New Roman" w:hAnsi="Times New Roman"/>
          <w:sz w:val="17"/>
          <w:szCs w:val="17"/>
          <w:color w:val="auto"/>
        </w:rPr>
      </w:pPr>
    </w:p>
    <w:p>
      <w:pPr>
        <w:ind w:left="620" w:hanging="239"/>
        <w:spacing w:after="0"/>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assets or stock of another entity, in each case other than a transaction:</w:t>
      </w:r>
    </w:p>
    <w:p>
      <w:pPr>
        <w:spacing w:after="0" w:line="166" w:lineRule="exact"/>
        <w:rPr>
          <w:rFonts w:ascii="Times New Roman" w:cs="Times New Roman" w:eastAsia="Times New Roman" w:hAnsi="Times New Roman"/>
          <w:sz w:val="18"/>
          <w:szCs w:val="18"/>
          <w:color w:val="auto"/>
        </w:rPr>
      </w:pPr>
    </w:p>
    <w:p>
      <w:pPr>
        <w:ind w:left="740" w:firstLine="1"/>
        <w:spacing w:after="0" w:line="256" w:lineRule="auto"/>
        <w:tabs>
          <w:tab w:leader="none" w:pos="95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146" w:lineRule="exact"/>
        <w:rPr>
          <w:rFonts w:ascii="Times New Roman" w:cs="Times New Roman" w:eastAsia="Times New Roman" w:hAnsi="Times New Roman"/>
          <w:sz w:val="18"/>
          <w:szCs w:val="18"/>
          <w:color w:val="auto"/>
        </w:rPr>
      </w:pPr>
    </w:p>
    <w:p>
      <w:pPr>
        <w:jc w:val="both"/>
        <w:ind w:left="740" w:right="40" w:firstLine="1"/>
        <w:spacing w:after="0" w:line="261" w:lineRule="auto"/>
        <w:tabs>
          <w:tab w:leader="none" w:pos="100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53"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43"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consummation of the Recapitalization Transactions.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that the Closing occurs.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regulations issued thereunder.</w:t>
      </w:r>
    </w:p>
    <w:p>
      <w:pPr>
        <w:spacing w:after="0" w:line="185" w:lineRule="exact"/>
        <w:rPr>
          <w:sz w:val="20"/>
          <w:szCs w:val="20"/>
          <w:color w:val="auto"/>
        </w:rPr>
      </w:pPr>
    </w:p>
    <w:p>
      <w:pPr>
        <w:ind w:left="20" w:right="20"/>
        <w:spacing w:after="0" w:line="257" w:lineRule="auto"/>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directors or executive officers of the Company,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Rent the Runway, Inc., a Delaware corporation, or any successor.</w:t>
      </w:r>
    </w:p>
    <w:p>
      <w:pPr>
        <w:spacing w:after="0" w:line="185"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any adviser, engaged by the Company or any Subsidiary to render services to such entity if the consultant or adviser: (a) renders bona fide services to the Company or the Subsidiary; (b) renders services not in connection with the offer or sale of securities in a capital-raising transaction and does not directly or indirectly promote or maintain a market for the Company’s securities; and (c) is a natural person.</w:t>
      </w:r>
    </w:p>
    <w:p>
      <w:pPr>
        <w:spacing w:after="0" w:line="136" w:lineRule="exact"/>
        <w:rPr>
          <w:sz w:val="20"/>
          <w:szCs w:val="20"/>
          <w:color w:val="auto"/>
        </w:rPr>
      </w:pPr>
    </w:p>
    <w:p>
      <w:pPr>
        <w:jc w:val="both"/>
        <w:ind w:left="20" w:right="220"/>
        <w:spacing w:after="0" w:line="268" w:lineRule="auto"/>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Board member.</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20" w:right="420"/>
        <w:spacing w:after="0" w:line="268" w:lineRule="auto"/>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30" w:lineRule="exact"/>
        <w:rPr>
          <w:sz w:val="20"/>
          <w:szCs w:val="20"/>
          <w:color w:val="auto"/>
        </w:rPr>
      </w:pPr>
    </w:p>
    <w:p>
      <w:pPr>
        <w:ind w:left="20" w:right="440"/>
        <w:spacing w:after="0" w:line="286" w:lineRule="auto"/>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its Subsidiaries.</w:t>
      </w:r>
    </w:p>
    <w:p>
      <w:pPr>
        <w:spacing w:after="0" w:line="185" w:lineRule="exact"/>
        <w:rPr>
          <w:sz w:val="20"/>
          <w:szCs w:val="20"/>
          <w:color w:val="auto"/>
        </w:rPr>
      </w:pPr>
    </w:p>
    <w:p>
      <w:pPr>
        <w:ind w:left="20" w:right="20"/>
        <w:spacing w:after="0" w:line="259" w:lineRule="auto"/>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85"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or another source the Administrator deems reliable; or (c) without an established market for the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will determine the Fair Market Value in its discretion.</w:t>
      </w:r>
    </w:p>
    <w:p>
      <w:pPr>
        <w:spacing w:after="0" w:line="148"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45" w:lineRule="exact"/>
        <w:rPr>
          <w:sz w:val="20"/>
          <w:szCs w:val="20"/>
          <w:color w:val="auto"/>
        </w:rPr>
      </w:pPr>
    </w:p>
    <w:p>
      <w:pPr>
        <w:ind w:left="20" w:right="20"/>
        <w:spacing w:after="0" w:line="262" w:lineRule="auto"/>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i w:val="1"/>
          <w:iCs w:val="1"/>
          <w:color w:val="auto"/>
        </w:rPr>
        <w:t>Forfeited Section 16 Officer Award</w:t>
      </w:r>
      <w:r>
        <w:rPr>
          <w:rFonts w:ascii="Times New Roman" w:cs="Times New Roman" w:eastAsia="Times New Roman" w:hAnsi="Times New Roman"/>
          <w:sz w:val="18"/>
          <w:szCs w:val="18"/>
          <w:color w:val="auto"/>
        </w:rPr>
        <w:t>” means any Prior Plan Award or Existing Award, in each case, that is held by any individual who was an “officer” within the meaning of Section 16 of the Exchange Act prior to, as of and immediately following the Closing which is forfeited by such individual following the Closing pursuant to an Award Agreement granted to such individual following the Closing.</w:t>
      </w:r>
    </w:p>
    <w:p>
      <w:pPr>
        <w:spacing w:after="0" w:line="136" w:lineRule="exact"/>
        <w:rPr>
          <w:sz w:val="20"/>
          <w:szCs w:val="20"/>
          <w:color w:val="auto"/>
        </w:rPr>
      </w:pPr>
    </w:p>
    <w:p>
      <w:pPr>
        <w:ind w:left="20" w:right="40"/>
        <w:spacing w:after="0" w:line="268" w:lineRule="auto"/>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i w:val="1"/>
          <w:iCs w:val="1"/>
          <w:color w:val="auto"/>
        </w:rPr>
        <w:t>Greater Than 10% Stockholder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30"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intended to qualify as an “incentive stock option” as defined in Section 422 of the Code.</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11.26 “</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each Director that is not an Employee.</w:t>
      </w:r>
    </w:p>
    <w:p>
      <w:pPr>
        <w:spacing w:after="0" w:line="185" w:lineRule="exact"/>
        <w:rPr>
          <w:sz w:val="20"/>
          <w:szCs w:val="20"/>
          <w:color w:val="auto"/>
        </w:rPr>
      </w:pPr>
    </w:p>
    <w:p>
      <w:pPr>
        <w:ind w:left="20" w:right="360"/>
        <w:spacing w:after="0" w:line="286" w:lineRule="auto"/>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or portion thereof, not intended or not qualifying as an Incentive Stock Option.</w:t>
      </w:r>
    </w:p>
    <w:p>
      <w:pPr>
        <w:spacing w:after="0" w:line="128" w:lineRule="exact"/>
        <w:rPr>
          <w:sz w:val="20"/>
          <w:szCs w:val="20"/>
          <w:color w:val="auto"/>
        </w:rPr>
      </w:pPr>
    </w:p>
    <w:p>
      <w:pPr>
        <w:ind w:left="20" w:right="440"/>
        <w:spacing w:after="0" w:line="286" w:lineRule="auto"/>
        <w:rPr>
          <w:sz w:val="20"/>
          <w:szCs w:val="20"/>
          <w:color w:val="auto"/>
        </w:rPr>
      </w:pPr>
      <w:r>
        <w:rPr>
          <w:rFonts w:ascii="Times New Roman" w:cs="Times New Roman" w:eastAsia="Times New Roman" w:hAnsi="Times New Roman"/>
          <w:sz w:val="18"/>
          <w:szCs w:val="18"/>
          <w:color w:val="auto"/>
        </w:rPr>
        <w:t>11.28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 which will either be an Incentive Stock Option or a Non-Qualified Stock Option.</w:t>
      </w:r>
    </w:p>
    <w:p>
      <w:pPr>
        <w:spacing w:after="0" w:line="114" w:lineRule="exact"/>
        <w:rPr>
          <w:sz w:val="20"/>
          <w:szCs w:val="20"/>
          <w:color w:val="auto"/>
        </w:rPr>
      </w:pPr>
    </w:p>
    <w:p>
      <w:pPr>
        <w:ind w:left="20" w:right="100"/>
        <w:spacing w:after="0" w:line="286" w:lineRule="auto"/>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 awarded to a Participant under Article VII.</w:t>
      </w:r>
    </w:p>
    <w:p>
      <w:pPr>
        <w:spacing w:after="0" w:line="114" w:lineRule="exact"/>
        <w:rPr>
          <w:sz w:val="20"/>
          <w:szCs w:val="20"/>
          <w:color w:val="auto"/>
        </w:rPr>
      </w:pPr>
    </w:p>
    <w:p>
      <w:pPr>
        <w:ind w:left="20" w:right="340"/>
        <w:spacing w:after="0" w:line="286" w:lineRule="auto"/>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18.3% of the Shares as of immediately following the Closing determined on a fully diluted basis.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Service Provider who has been granted an Award.</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0" w:right="60"/>
        <w:spacing w:after="0" w:line="267" w:lineRule="auto"/>
        <w:rPr>
          <w:sz w:val="20"/>
          <w:szCs w:val="20"/>
          <w:color w:val="auto"/>
        </w:rPr>
      </w:pPr>
      <w:r>
        <w:rPr>
          <w:rFonts w:ascii="Times New Roman" w:cs="Times New Roman" w:eastAsia="Times New Roman" w:hAnsi="Times New Roman"/>
          <w:sz w:val="17"/>
          <w:szCs w:val="17"/>
          <w:color w:val="auto"/>
        </w:rPr>
        <w:t>11.32 “</w:t>
      </w:r>
      <w:r>
        <w:rPr>
          <w:rFonts w:ascii="Times New Roman" w:cs="Times New Roman" w:eastAsia="Times New Roman" w:hAnsi="Times New Roman"/>
          <w:sz w:val="17"/>
          <w:szCs w:val="17"/>
          <w:b w:val="1"/>
          <w:bCs w:val="1"/>
          <w:i w:val="1"/>
          <w:iCs w:val="1"/>
          <w:color w:val="auto"/>
        </w:rPr>
        <w:t>Performance Criteria”</w:t>
      </w:r>
      <w:r>
        <w:rPr>
          <w:rFonts w:ascii="Times New Roman" w:cs="Times New Roman" w:eastAsia="Times New Roman" w:hAnsi="Times New Roman"/>
          <w:sz w:val="17"/>
          <w:szCs w:val="17"/>
          <w:color w:val="auto"/>
        </w:rPr>
        <w:t xml:space="preserve"> mean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Second Amended and Restated 2021 Incentive Award Plan.</w:t>
      </w:r>
    </w:p>
    <w:p>
      <w:pPr>
        <w:spacing w:after="0" w:line="198" w:lineRule="exact"/>
        <w:rPr>
          <w:sz w:val="20"/>
          <w:szCs w:val="20"/>
          <w:color w:val="auto"/>
        </w:rPr>
      </w:pPr>
    </w:p>
    <w:p>
      <w:pPr>
        <w:ind w:left="20" w:right="60"/>
        <w:spacing w:after="0" w:line="286" w:lineRule="auto"/>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i w:val="1"/>
          <w:iCs w:val="1"/>
          <w:color w:val="auto"/>
        </w:rPr>
        <w:t>Prior Plans</w:t>
      </w:r>
      <w:r>
        <w:rPr>
          <w:rFonts w:ascii="Times New Roman" w:cs="Times New Roman" w:eastAsia="Times New Roman" w:hAnsi="Times New Roman"/>
          <w:sz w:val="18"/>
          <w:szCs w:val="18"/>
          <w:color w:val="auto"/>
        </w:rPr>
        <w:t>” means the Rent the Runway, Inc. 2009 Stock Incentive Plan, as amended, and the Rent the Runway, Inc. 2019 Stock Incentive Plan, as amended.</w:t>
      </w:r>
    </w:p>
    <w:p>
      <w:pPr>
        <w:spacing w:after="0" w:line="114" w:lineRule="exact"/>
        <w:rPr>
          <w:sz w:val="20"/>
          <w:szCs w:val="20"/>
          <w:color w:val="auto"/>
        </w:rPr>
      </w:pPr>
    </w:p>
    <w:p>
      <w:pPr>
        <w:ind w:left="20" w:right="320"/>
        <w:spacing w:after="0" w:line="286" w:lineRule="auto"/>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i w:val="1"/>
          <w:iCs w:val="1"/>
          <w:color w:val="auto"/>
        </w:rPr>
        <w:t>Prior Plan Award</w:t>
      </w:r>
      <w:r>
        <w:rPr>
          <w:rFonts w:ascii="Times New Roman" w:cs="Times New Roman" w:eastAsia="Times New Roman" w:hAnsi="Times New Roman"/>
          <w:sz w:val="18"/>
          <w:szCs w:val="18"/>
          <w:color w:val="auto"/>
        </w:rPr>
        <w:t>” means an award with respect to Common Stock outstanding under any Prior Plan as of the Effective Date.</w:t>
      </w:r>
    </w:p>
    <w:p>
      <w:pPr>
        <w:spacing w:after="0" w:line="114" w:lineRule="exact"/>
        <w:rPr>
          <w:sz w:val="20"/>
          <w:szCs w:val="20"/>
          <w:color w:val="auto"/>
        </w:rPr>
      </w:pPr>
    </w:p>
    <w:p>
      <w:pPr>
        <w:ind w:left="20" w:right="120"/>
        <w:spacing w:after="0" w:line="268" w:lineRule="auto"/>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i w:val="1"/>
          <w:iCs w:val="1"/>
          <w:color w:val="auto"/>
        </w:rPr>
        <w:t>Public Trading Date</w:t>
      </w:r>
      <w:r>
        <w:rPr>
          <w:rFonts w:ascii="Times New Roman" w:cs="Times New Roman" w:eastAsia="Times New Roman" w:hAnsi="Times New Roman"/>
          <w:sz w:val="18"/>
          <w:szCs w:val="18"/>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w:t>
      </w:r>
    </w:p>
    <w:p>
      <w:pPr>
        <w:spacing w:after="0" w:line="144" w:lineRule="exact"/>
        <w:rPr>
          <w:sz w:val="20"/>
          <w:szCs w:val="20"/>
          <w:color w:val="auto"/>
        </w:rPr>
      </w:pPr>
    </w:p>
    <w:p>
      <w:pPr>
        <w:ind w:left="20" w:right="220"/>
        <w:spacing w:after="0" w:line="268" w:lineRule="auto"/>
        <w:rPr>
          <w:sz w:val="20"/>
          <w:szCs w:val="20"/>
          <w:color w:val="auto"/>
        </w:rPr>
      </w:pPr>
      <w:r>
        <w:rPr>
          <w:rFonts w:ascii="Times New Roman" w:cs="Times New Roman" w:eastAsia="Times New Roman" w:hAnsi="Times New Roman"/>
          <w:sz w:val="18"/>
          <w:szCs w:val="18"/>
          <w:color w:val="auto"/>
        </w:rPr>
        <w:t>11.37 “</w:t>
      </w:r>
      <w:r>
        <w:rPr>
          <w:rFonts w:ascii="Times New Roman" w:cs="Times New Roman" w:eastAsia="Times New Roman" w:hAnsi="Times New Roman"/>
          <w:sz w:val="18"/>
          <w:szCs w:val="18"/>
          <w:b w:val="1"/>
          <w:bCs w:val="1"/>
          <w:i w:val="1"/>
          <w:iCs w:val="1"/>
          <w:color w:val="auto"/>
        </w:rPr>
        <w:t>Recapitalization Transactions</w:t>
      </w:r>
      <w:r>
        <w:rPr>
          <w:rFonts w:ascii="Times New Roman" w:cs="Times New Roman" w:eastAsia="Times New Roman" w:hAnsi="Times New Roman"/>
          <w:sz w:val="18"/>
          <w:szCs w:val="18"/>
          <w:color w:val="auto"/>
        </w:rPr>
        <w:t>” means the transactions contemplated by that certain Exchange Agreement, dated as of August 20, 2025, by and between the Company and CHS US Investments LLC, a Delaware limited liability company, as may be amended from time to time.</w:t>
      </w:r>
    </w:p>
    <w:p>
      <w:pPr>
        <w:spacing w:after="0" w:line="130" w:lineRule="exact"/>
        <w:rPr>
          <w:sz w:val="20"/>
          <w:szCs w:val="20"/>
          <w:color w:val="auto"/>
        </w:rPr>
      </w:pPr>
    </w:p>
    <w:p>
      <w:pPr>
        <w:ind w:left="20" w:right="280"/>
        <w:spacing w:after="0" w:line="286" w:lineRule="auto"/>
        <w:rPr>
          <w:sz w:val="20"/>
          <w:szCs w:val="20"/>
          <w:color w:val="auto"/>
        </w:rPr>
      </w:pPr>
      <w:r>
        <w:rPr>
          <w:rFonts w:ascii="Times New Roman" w:cs="Times New Roman" w:eastAsia="Times New Roman" w:hAnsi="Times New Roman"/>
          <w:sz w:val="18"/>
          <w:szCs w:val="18"/>
          <w:color w:val="auto"/>
        </w:rPr>
        <w:t>11.38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awarded to a Participant under Article VI subject to certain vesting conditions and other restrictions.</w:t>
      </w:r>
    </w:p>
    <w:p>
      <w:pPr>
        <w:spacing w:after="0" w:line="114" w:lineRule="exact"/>
        <w:rPr>
          <w:sz w:val="20"/>
          <w:szCs w:val="20"/>
          <w:color w:val="auto"/>
        </w:rPr>
      </w:pPr>
    </w:p>
    <w:p>
      <w:pPr>
        <w:ind w:left="20" w:right="40"/>
        <w:spacing w:after="0" w:line="268" w:lineRule="auto"/>
        <w:rPr>
          <w:sz w:val="20"/>
          <w:szCs w:val="20"/>
          <w:color w:val="auto"/>
        </w:rPr>
      </w:pPr>
      <w:r>
        <w:rPr>
          <w:rFonts w:ascii="Times New Roman" w:cs="Times New Roman" w:eastAsia="Times New Roman" w:hAnsi="Times New Roman"/>
          <w:sz w:val="18"/>
          <w:szCs w:val="18"/>
          <w:color w:val="auto"/>
        </w:rPr>
        <w:t>11.39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w:t>
      </w:r>
    </w:p>
    <w:p>
      <w:pPr>
        <w:spacing w:after="0" w:line="185"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color w:val="auto"/>
        </w:rPr>
        <w:t>11.41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11.42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11.43 “</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Director.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11.44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11.45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stock appreciation right granted under Article V.</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0" w:right="60"/>
        <w:spacing w:after="0" w:line="262" w:lineRule="auto"/>
        <w:rPr>
          <w:sz w:val="20"/>
          <w:szCs w:val="20"/>
          <w:color w:val="auto"/>
        </w:rPr>
      </w:pPr>
      <w:r>
        <w:rPr>
          <w:rFonts w:ascii="Times New Roman" w:cs="Times New Roman" w:eastAsia="Times New Roman" w:hAnsi="Times New Roman"/>
          <w:sz w:val="18"/>
          <w:szCs w:val="18"/>
          <w:color w:val="auto"/>
        </w:rPr>
        <w:t>11.46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36"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8"/>
          <w:szCs w:val="18"/>
          <w:color w:val="auto"/>
        </w:rPr>
        <w:t>11.47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11.48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means the date the Participant ceases to be a Service Provider.</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90170</wp:posOffset>
            </wp:positionV>
            <wp:extent cx="6038850" cy="578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8850" cy="578485"/>
                    </a:xfrm>
                    <a:prstGeom prst="rect">
                      <a:avLst/>
                    </a:prstGeom>
                    <a:noFill/>
                  </pic:spPr>
                </pic:pic>
              </a:graphicData>
            </a:graphic>
          </wp:anchor>
        </w:drawing>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AMENDMENT TO THE SECOND AMENDED AND RESTATED 2021 INCENTIVE AWARD PLAN</w:t>
      </w:r>
    </w:p>
    <w:p>
      <w:pPr>
        <w:spacing w:after="0" w:line="297" w:lineRule="exact"/>
        <w:rPr>
          <w:sz w:val="20"/>
          <w:szCs w:val="20"/>
          <w:color w:val="auto"/>
        </w:rPr>
      </w:pPr>
    </w:p>
    <w:p>
      <w:pPr>
        <w:ind w:left="20" w:right="60"/>
        <w:spacing w:after="0" w:line="257" w:lineRule="auto"/>
        <w:rPr>
          <w:sz w:val="20"/>
          <w:szCs w:val="20"/>
          <w:color w:val="auto"/>
        </w:rPr>
      </w:pPr>
      <w:r>
        <w:rPr>
          <w:rFonts w:ascii="Times New Roman" w:cs="Times New Roman" w:eastAsia="Times New Roman" w:hAnsi="Times New Roman"/>
          <w:sz w:val="18"/>
          <w:szCs w:val="18"/>
          <w:color w:val="auto"/>
        </w:rPr>
        <w:t>This First Amendment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to the Second Amended and Restated 2021 Incentive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Rent the Runway, Inc. a Delaware corporation, or any successor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effective as of December 15, 2025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subject to approval by the Company’s stockholders at the first annual meeting of the Company’s stockholders that is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Effective Date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This Amendment will not be effective unless this Amendment is approved by the Company’s stockholders at the Annual Meeting. All capitalized terms used but not defined in this Amendment shall have the meaning given to such terms in the Plan.</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0" w:lineRule="exact"/>
        <w:rPr>
          <w:sz w:val="20"/>
          <w:szCs w:val="20"/>
          <w:color w:val="auto"/>
        </w:rPr>
      </w:pPr>
    </w:p>
    <w:p>
      <w:pPr>
        <w:ind w:left="20" w:right="9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15, 2025, the Board approved and adopted the Plan, subject to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on October 21, 2025, the Company’s stockholders approved the Plan;</w:t>
      </w:r>
    </w:p>
    <w:p>
      <w:pPr>
        <w:spacing w:after="0" w:line="114"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10.4 of the Plan, the Board may amend, suspend or terminate the Plan at any time; provided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amendment, other than an increase to the Overall Share Limit, may materially and adversely affect any Award outstanding at the time of such amendment without the affected Participant’s consent; and</w:t>
      </w:r>
    </w:p>
    <w:p>
      <w:pPr>
        <w:spacing w:after="0" w:line="144" w:lineRule="exact"/>
        <w:rPr>
          <w:sz w:val="20"/>
          <w:szCs w:val="20"/>
          <w:color w:val="auto"/>
        </w:rPr>
      </w:pPr>
    </w:p>
    <w:p>
      <w:pPr>
        <w:ind w:left="20" w:right="8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amend Sections 4.1 and 11.30 of the Plan, subject to approval by the Company’s stockholders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Meeting.</w:t>
      </w:r>
    </w:p>
    <w:p>
      <w:pPr>
        <w:spacing w:after="0" w:line="114" w:lineRule="exact"/>
        <w:rPr>
          <w:sz w:val="20"/>
          <w:szCs w:val="20"/>
          <w:color w:val="auto"/>
        </w:rPr>
      </w:pPr>
    </w:p>
    <w:p>
      <w:pPr>
        <w:ind w:left="20" w:right="2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effective as of the Effective Date, subject to approval by the Company’s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Annual Meeting, the Plan is hereby amended as follows:</w:t>
      </w:r>
    </w:p>
    <w:p>
      <w:pPr>
        <w:spacing w:after="0" w:line="118" w:lineRule="exact"/>
        <w:rPr>
          <w:sz w:val="20"/>
          <w:szCs w:val="20"/>
          <w:color w:val="auto"/>
        </w:rPr>
      </w:pPr>
    </w:p>
    <w:p>
      <w:pPr>
        <w:ind w:left="740" w:hanging="359"/>
        <w:spacing w:after="0" w:line="282" w:lineRule="auto"/>
        <w:tabs>
          <w:tab w:leader="none" w:pos="7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the first sentence of Section 4.1 of the Plan is hereby deleted in its entirety and replaced with the following:</w:t>
      </w:r>
    </w:p>
    <w:p>
      <w:pPr>
        <w:spacing w:after="0" w:line="134" w:lineRule="exact"/>
        <w:rPr>
          <w:rFonts w:ascii="Times New Roman" w:cs="Times New Roman" w:eastAsia="Times New Roman" w:hAnsi="Times New Roman"/>
          <w:sz w:val="18"/>
          <w:szCs w:val="18"/>
          <w:color w:val="auto"/>
        </w:rPr>
      </w:pPr>
    </w:p>
    <w:p>
      <w:pPr>
        <w:ind w:left="74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under Article VIII and the terms of this Article IV, the maximum number of Shares that may be issued pursuant to Awards under the Plan following the Closing (including Awards outstanding as of the Closing and those granted thereafter) shall be equal to the Overall Share Limit.”</w:t>
      </w:r>
    </w:p>
    <w:p>
      <w:pPr>
        <w:spacing w:after="0" w:line="135" w:lineRule="exact"/>
        <w:rPr>
          <w:rFonts w:ascii="Times New Roman" w:cs="Times New Roman" w:eastAsia="Times New Roman" w:hAnsi="Times New Roman"/>
          <w:sz w:val="18"/>
          <w:szCs w:val="18"/>
          <w:color w:val="auto"/>
        </w:rPr>
      </w:pPr>
    </w:p>
    <w:p>
      <w:pPr>
        <w:ind w:left="740" w:right="480" w:hanging="359"/>
        <w:spacing w:after="0" w:line="477" w:lineRule="auto"/>
        <w:tabs>
          <w:tab w:leader="none" w:pos="73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Section 11.30 of the Plan is hereby deleted in its entirety and replaced with the following: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10,171,225 Shares.”</w:t>
      </w:r>
    </w:p>
    <w:p>
      <w:pPr>
        <w:ind w:left="740" w:right="120" w:hanging="359"/>
        <w:spacing w:after="0" w:line="266" w:lineRule="auto"/>
        <w:tabs>
          <w:tab w:leader="none" w:pos="7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for in this Amendment, the Plan and its terms and conditions shall remain in full force and effect and unchanged by this Amendment. This Amendment is to be governed by and construed in accordance with the laws of the State of Delaware without regard to the choice of law principles thereof.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lvl w:ilvl="1">
      <w:lvlJc w:val="left"/>
      <w:lvlText w:val="☐"/>
      <w:numFmt w:val="bullet"/>
      <w:start w:val="1"/>
    </w:lvl>
  </w:abstractNum>
  <w:abstractNum w:abstractNumId="1">
    <w:nsid w:val="70A64E2A"/>
    <w:multiLevelType w:val="hybridMultilevel"/>
    <w:lvl w:ilvl="0">
      <w:lvlJc w:val="left"/>
      <w:lvlText w:val="☒"/>
      <w:numFmt w:val="bullet"/>
      <w:start w:val="1"/>
    </w:lvl>
    <w:lvl w:ilvl="1">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12"/>
    </w:lvl>
  </w:abstractNum>
  <w:abstractNum w:abstractNumId="4">
    <w:nsid w:val="1D4ED43B"/>
    <w:multiLevelType w:val="hybridMultilevel"/>
    <w:lvl w:ilvl="0">
      <w:lvlJc w:val="left"/>
      <w:lvlText w:val="%1"/>
      <w:numFmt w:val="decimal"/>
      <w:start w:val="1"/>
    </w:lvl>
    <w:lvl w:ilvl="1">
      <w:lvlJc w:val="left"/>
      <w:lvlText w:val="•"/>
      <w:numFmt w:val="bullet"/>
      <w:start w:val="1"/>
    </w:lvl>
  </w:abstractNum>
  <w:abstractNum w:abstractNumId="5">
    <w:nsid w:val="725A06FB"/>
    <w:multiLevelType w:val="hybridMultilevel"/>
    <w:lvl w:ilvl="0">
      <w:lvlJc w:val="left"/>
      <w:lvlText w:val="2"/>
      <w:numFmt w:val="bullet"/>
      <w:start w:val="1"/>
    </w:lvl>
  </w:abstractNum>
  <w:abstractNum w:abstractNumId="6">
    <w:nsid w:val="2CD89A32"/>
    <w:multiLevelType w:val="hybridMultilevel"/>
    <w:lvl w:ilvl="0">
      <w:lvlJc w:val="left"/>
      <w:lvlText w:val="3"/>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1)"/>
      <w:numFmt w:val="lowerRoman"/>
      <w:start w:val="1"/>
    </w:lvl>
  </w:abstractNum>
  <w:abstractNum w:abstractNumId="15">
    <w:nsid w:val="684A481A"/>
    <w:multiLevelType w:val="hybridMultilevel"/>
    <w:lvl w:ilvl="0">
      <w:lvlJc w:val="left"/>
      <w:lvlText w:val="%1"/>
      <w:numFmt w:val="upperLetter"/>
      <w:start w:val="35"/>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1)"/>
      <w:numFmt w:val="lowerLetter"/>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lowerRoman"/>
      <w:start w:val="2"/>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 "/>
      <w:numFmt w:val="bullet"/>
      <w:start w:val="1"/>
    </w:lvl>
  </w:abstractNum>
  <w:abstractNum w:abstractNumId="34">
    <w:nsid w:val="47398C89"/>
    <w:multiLevelType w:val="hybridMultilevel"/>
    <w:lvl w:ilvl="0">
      <w:lvlJc w:val="left"/>
      <w:lvlText w:val="(%1)"/>
      <w:numFmt w:val="decimal"/>
      <w:start w:val="4"/>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1)"/>
      <w:numFmt w:val="decimal"/>
      <w:start w:val="1"/>
    </w:lvl>
    <w:lvl w:ilvl="1">
      <w:lvlJc w:val="left"/>
      <w:lvlText w:val="%2"/>
      <w:numFmt w:val="upperLetter"/>
      <w:start w:val="45"/>
    </w:lvl>
  </w:abstractNum>
  <w:abstractNum w:abstractNumId="39">
    <w:nsid w:val="10233C99"/>
    <w:multiLevelType w:val="hybridMultilevel"/>
    <w:lvl w:ilvl="0">
      <w:lvlJc w:val="left"/>
      <w:lvlText w:val="%1"/>
      <w:numFmt w:val="decimal"/>
      <w:start w:val="1"/>
    </w:lvl>
    <w:lvl w:ilvl="1">
      <w:lvlJc w:val="left"/>
      <w:lvlText w:val="%2."/>
      <w:numFmt w:val="upperLetter"/>
      <w:start w:val="61"/>
    </w:lvl>
  </w:abstractNum>
  <w:abstractNum w:abstractNumId="40">
    <w:nsid w:val="3F6AB60F"/>
    <w:multiLevelType w:val="hybridMultilevel"/>
    <w:lvl w:ilvl="0">
      <w:lvlJc w:val="left"/>
      <w:lvlText w:val="(%1)"/>
      <w:numFmt w:val="decimal"/>
      <w:start w:val="12"/>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lowerLetter"/>
      <w:start w:val="2"/>
    </w:lvl>
  </w:abstractNum>
  <w:abstractNum w:abstractNumId="43">
    <w:nsid w:val="77AE35EB"/>
    <w:multiLevelType w:val="hybridMultilevel"/>
    <w:lvl w:ilvl="0">
      <w:lvlJc w:val="left"/>
      <w:lvlText w:val="(%1)"/>
      <w:numFmt w:val="lowerLetter"/>
      <w:start w:val="3"/>
    </w:lvl>
  </w:abstractNum>
  <w:abstractNum w:abstractNumId="44">
    <w:nsid w:val="579BE4F1"/>
    <w:multiLevelType w:val="hybridMultilevel"/>
    <w:lvl w:ilvl="0">
      <w:lvlJc w:val="left"/>
      <w:lvlText w:val="(%1)"/>
      <w:numFmt w:val="lowerLetter"/>
      <w:start w:val="3"/>
    </w:lvl>
  </w:abstractNum>
  <w:abstractNum w:abstractNumId="45">
    <w:nsid w:val="310C50B3"/>
    <w:multiLevelType w:val="hybridMultilevel"/>
    <w:lvl w:ilvl="0">
      <w:lvlJc w:val="left"/>
      <w:lvlText w:val="(%1)"/>
      <w:numFmt w:val="lowerLetter"/>
      <w:start w:val="1"/>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lowerLetter"/>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lowerLetter"/>
      <w:start w:val="2"/>
    </w:lvl>
  </w:abstractNum>
  <w:abstractNum w:abstractNumId="50">
    <w:nsid w:val="4AD084E9"/>
    <w:multiLevelType w:val="hybridMultilevel"/>
    <w:lvl w:ilvl="0">
      <w:lvlJc w:val="left"/>
      <w:lvlText w:val="(%1)"/>
      <w:numFmt w:val="lowerLetter"/>
      <w:start w:val="1"/>
    </w:lvl>
    <w:lvl w:ilvl="1">
      <w:lvlJc w:val="left"/>
      <w:lvlText w:val="(%2)"/>
      <w:numFmt w:val="lowerRoman"/>
      <w:start w:val="1"/>
    </w:lvl>
  </w:abstractNum>
  <w:abstractNum w:abstractNumId="51">
    <w:nsid w:val="1F48EAA1"/>
    <w:multiLevelType w:val="hybridMultilevel"/>
    <w:lvl w:ilvl="0">
      <w:lvlJc w:val="left"/>
      <w:lvlText w:val="(%1)"/>
      <w:numFmt w:val="lowerLetter"/>
      <w:start w:val="5"/>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lowerLetter"/>
      <w:start w:val="1"/>
    </w:lvl>
  </w:abstractNum>
  <w:abstractNum w:abstractNumId="54">
    <w:nsid w:val="100F8FCA"/>
    <w:multiLevelType w:val="hybridMultilevel"/>
    <w:lvl w:ilvl="0">
      <w:lvlJc w:val="left"/>
      <w:lvlText w:val="%1"/>
      <w:numFmt w:val="upperLetter"/>
      <w:start w:val="1"/>
    </w:lvl>
    <w:lvl w:ilvl="1">
      <w:lvlJc w:val="left"/>
      <w:lvlText w:val="(%2)"/>
      <w:numFmt w:val="lowerLetter"/>
      <w:start w:val="2"/>
    </w:lvl>
  </w:abstractNum>
  <w:abstractNum w:abstractNumId="55">
    <w:nsid w:val="6590700B"/>
    <w:multiLevelType w:val="hybridMultilevel"/>
    <w:lvl w:ilvl="0">
      <w:lvlJc w:val="left"/>
      <w:lvlText w:val="(%1)"/>
      <w:numFmt w:val="upperLetter"/>
      <w:start w:val="1"/>
    </w:lvl>
    <w:lvl w:ilvl="1">
      <w:lvlJc w:val="left"/>
      <w:lvlText w:val="(%2)"/>
      <w:numFmt w:val="lowerLetter"/>
      <w:start w:val="3"/>
    </w:lvl>
  </w:abstractNum>
  <w:abstractNum w:abstractNumId="56">
    <w:nsid w:val="15014ACB"/>
    <w:multiLevelType w:val="hybridMultilevel"/>
    <w:lvl w:ilvl="0">
      <w:lvlJc w:val="left"/>
      <w:lvlText w:val="(%1)"/>
      <w:numFmt w:val="lowerLetter"/>
      <w:start w:val="1"/>
    </w:lvl>
  </w:abstractNum>
  <w:abstractNum w:abstractNumId="57">
    <w:nsid w:val="5F5E7FD0"/>
    <w:multiLevelType w:val="hybridMultilevel"/>
    <w:lvl w:ilvl="0">
      <w:lvlJc w:val="left"/>
      <w:lvlText w:val="(%1)"/>
      <w:numFmt w:val="lowerLetter"/>
      <w:start w:val="1"/>
    </w:lvl>
  </w:abstractNum>
  <w:abstractNum w:abstractNumId="58">
    <w:nsid w:val="98A3148"/>
    <w:multiLevelType w:val="hybridMultilevel"/>
    <w:lvl w:ilvl="0">
      <w:lvlJc w:val="left"/>
      <w:lvlText w:val="(%1)"/>
      <w:numFmt w:val="lowerLetter"/>
      <w:start w:val="1"/>
    </w:lvl>
  </w:abstractNum>
  <w:abstractNum w:abstractNumId="59">
    <w:nsid w:val="799D0247"/>
    <w:multiLevelType w:val="hybridMultilevel"/>
    <w:lvl w:ilvl="0">
      <w:lvlJc w:val="left"/>
      <w:lvlText w:val="(%1)"/>
      <w:numFmt w:val="lowerLetter"/>
      <w:start w:val="1"/>
    </w:lvl>
  </w:abstractNum>
  <w:abstractNum w:abstractNumId="60">
    <w:nsid w:val="6B94764"/>
    <w:multiLevelType w:val="hybridMultilevel"/>
    <w:lvl w:ilvl="0">
      <w:lvlJc w:val="left"/>
      <w:lvlText w:val="(%1)"/>
      <w:numFmt w:val="lowerLetter"/>
      <w:start w:val="1"/>
    </w:lvl>
  </w:abstractNum>
  <w:abstractNum w:abstractNumId="61">
    <w:nsid w:val="42C296BD"/>
    <w:multiLevelType w:val="hybridMultilevel"/>
    <w:lvl w:ilvl="0">
      <w:lvlJc w:val="left"/>
      <w:lvlText w:val="(%1)"/>
      <w:numFmt w:val="lowerLetter"/>
      <w:start w:val="4"/>
    </w:lvl>
  </w:abstractNum>
  <w:abstractNum w:abstractNumId="62">
    <w:nsid w:val="168E121F"/>
    <w:multiLevelType w:val="hybridMultilevel"/>
    <w:lvl w:ilvl="0">
      <w:lvlJc w:val="left"/>
      <w:lvlText w:val="(%1)"/>
      <w:numFmt w:val="lowerLetter"/>
      <w:start w:val="8"/>
    </w:lvl>
    <w:lvl w:ilvl="1">
      <w:lvlJc w:val="left"/>
      <w:lvlText w:val="(%2)"/>
      <w:numFmt w:val="lowerRoman"/>
      <w:start w:val="1"/>
    </w:lvl>
  </w:abstractNum>
  <w:abstractNum w:abstractNumId="63">
    <w:nsid w:val="1EBA5D23"/>
    <w:multiLevelType w:val="hybridMultilevel"/>
    <w:lvl w:ilvl="0">
      <w:lvlJc w:val="left"/>
      <w:lvlText w:val="(%1)"/>
      <w:numFmt w:val="lowerLetter"/>
      <w:start w:val="1"/>
    </w:lvl>
  </w:abstractNum>
  <w:abstractNum w:abstractNumId="64">
    <w:nsid w:val="661E3F1E"/>
    <w:multiLevelType w:val="hybridMultilevel"/>
    <w:lvl w:ilvl="0">
      <w:lvlJc w:val="left"/>
      <w:lvlText w:val="(%1)"/>
      <w:numFmt w:val="lowerLetter"/>
      <w:start w:val="2"/>
    </w:lvl>
  </w:abstractNum>
  <w:abstractNum w:abstractNumId="65">
    <w:nsid w:val="5DC79EA8"/>
    <w:multiLevelType w:val="hybridMultilevel"/>
    <w:lvl w:ilvl="0">
      <w:lvlJc w:val="left"/>
      <w:lvlText w:val="(%1)"/>
      <w:numFmt w:val="lowerLetter"/>
      <w:start w:val="3"/>
    </w:lvl>
  </w:abstractNum>
  <w:abstractNum w:abstractNumId="66">
    <w:nsid w:val="540A471C"/>
    <w:multiLevelType w:val="hybridMultilevel"/>
    <w:lvl w:ilvl="0">
      <w:lvlJc w:val="left"/>
      <w:lvlText w:val="(%1)"/>
      <w:numFmt w:val="lowerLetter"/>
      <w:start w:val="5"/>
    </w:lvl>
  </w:abstractNum>
  <w:abstractNum w:abstractNumId="67">
    <w:nsid w:val="7BD3EE7B"/>
    <w:multiLevelType w:val="hybridMultilevel"/>
    <w:lvl w:ilvl="0">
      <w:lvlJc w:val="left"/>
      <w:lvlText w:val="(%1)"/>
      <w:numFmt w:val="lowerLetter"/>
      <w:start w:val="6"/>
    </w:lvl>
  </w:abstractNum>
  <w:abstractNum w:abstractNumId="68">
    <w:nsid w:val="51D9C564"/>
    <w:multiLevelType w:val="hybridMultilevel"/>
    <w:lvl w:ilvl="0">
      <w:lvlJc w:val="left"/>
      <w:lvlText w:val="(%1)"/>
      <w:numFmt w:val="lowerLetter"/>
      <w:start w:val="10"/>
    </w:lvl>
  </w:abstractNum>
  <w:abstractNum w:abstractNumId="69">
    <w:nsid w:val="613EFDC5"/>
    <w:multiLevelType w:val="hybridMultilevel"/>
    <w:lvl w:ilvl="0">
      <w:lvlJc w:val="left"/>
      <w:lvlText w:val="(%1)"/>
      <w:numFmt w:val="lowerLetter"/>
      <w:start w:val="8"/>
    </w:lvl>
  </w:abstractNum>
  <w:abstractNum w:abstractNumId="70">
    <w:nsid w:val="BF72B14"/>
    <w:multiLevelType w:val="hybridMultilevel"/>
    <w:lvl w:ilvl="0">
      <w:lvlJc w:val="left"/>
      <w:lvlText w:val="(%1)"/>
      <w:numFmt w:val="lowerLetter"/>
      <w:start w:val="1"/>
    </w:lvl>
  </w:abstractNum>
  <w:abstractNum w:abstractNumId="71">
    <w:nsid w:val="11447B73"/>
    <w:multiLevelType w:val="hybridMultilevel"/>
    <w:lvl w:ilvl="0">
      <w:lvlJc w:val="left"/>
      <w:lvlText w:val="(%1)"/>
      <w:numFmt w:val="lowerLetter"/>
      <w:start w:val="3"/>
    </w:lvl>
  </w:abstractNum>
  <w:abstractNum w:abstractNumId="72">
    <w:nsid w:val="42963E5A"/>
    <w:multiLevelType w:val="hybridMultilevel"/>
    <w:lvl w:ilvl="0">
      <w:lvlJc w:val="left"/>
      <w:lvlText w:val="(%1)"/>
      <w:numFmt w:val="lowerLetter"/>
      <w:start w:val="1"/>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Letter"/>
      <w:start w:val="1"/>
    </w:lvl>
  </w:abstractNum>
  <w:abstractNum w:abstractNumId="75">
    <w:nsid w:val="1A32234B"/>
    <w:multiLevelType w:val="hybridMultilevel"/>
    <w:lvl w:ilvl="0">
      <w:lvlJc w:val="left"/>
      <w:lvlText w:val="(%1)"/>
      <w:numFmt w:val="lowerLetter"/>
      <w:start w:val="2"/>
    </w:lvl>
  </w:abstractNum>
  <w:abstractNum w:abstractNumId="76">
    <w:nsid w:val="3B0FD379"/>
    <w:multiLevelType w:val="hybridMultilevel"/>
    <w:lvl w:ilvl="0">
      <w:lvlJc w:val="left"/>
      <w:lvlText w:val="(%1)"/>
      <w:numFmt w:val="lowerLetter"/>
      <w:start w:val="3"/>
    </w:lvl>
  </w:abstractNum>
  <w:abstractNum w:abstractNumId="77">
    <w:nsid w:val="68EB2F63"/>
    <w:multiLevelType w:val="hybridMultilevel"/>
    <w:lvl w:ilvl="0">
      <w:lvlJc w:val="left"/>
      <w:lvlText w:val="(%1)"/>
      <w:numFmt w:val="lowerLetter"/>
      <w:start w:val="1"/>
    </w:lvl>
  </w:abstractNum>
  <w:abstractNum w:abstractNumId="78">
    <w:nsid w:val="4962813B"/>
    <w:multiLevelType w:val="hybridMultilevel"/>
    <w:lvl w:ilvl="0">
      <w:lvlJc w:val="left"/>
      <w:lvlText w:val="(%1)"/>
      <w:numFmt w:val="lowerLetter"/>
      <w:start w:val="1"/>
    </w:lvl>
  </w:abstractNum>
  <w:abstractNum w:abstractNumId="79">
    <w:nsid w:val="60B6DF70"/>
    <w:multiLevelType w:val="hybridMultilevel"/>
    <w:lvl w:ilvl="0">
      <w:lvlJc w:val="left"/>
      <w:lvlText w:val="(%1)"/>
      <w:numFmt w:val="lowerLetter"/>
      <w:start w:val="3"/>
    </w:lvl>
    <w:lvl w:ilvl="1">
      <w:lvlJc w:val="left"/>
      <w:lvlText w:val="%2"/>
      <w:numFmt w:val="lowerRoman"/>
      <w:start w:val="1"/>
    </w:lvl>
  </w:abstractNum>
  <w:abstractNum w:abstractNumId="80">
    <w:nsid w:val="6A5EE64"/>
    <w:multiLevelType w:val="hybridMultilevel"/>
    <w:lvl w:ilvl="0">
      <w:lvlJc w:val="left"/>
      <w:lvlText w:val="(%1)"/>
      <w:numFmt w:val="lowerLetter"/>
      <w:start w:val="26"/>
    </w:lvl>
    <w:lvl w:ilvl="1">
      <w:lvlJc w:val="left"/>
      <w:lvlText w:val="(%2)"/>
      <w:numFmt w:val="lowerRoman"/>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2026-06-01T08:04:23Z</dcterms:created>
  <dcterms:modified xsi:type="dcterms:W3CDTF">2026-06-01T08:04:23Z</dcterms:modified>
</cp:coreProperties>
</file>