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Friend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07/13/2022</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40" w:space="300"/>
            <w:col w:w="7240"/>
          </w:cols>
          <w:pgMar w:left="460" w:top="219"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07/13/2022</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14,758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14,758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8,176,418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a restricted stock unit representing a contingent right to receive 14,758 shares of the Issuer's common stock upon the earliest of (i) the one-year anniversary of the grant date and (ii) the Issuer's next annual meeting of stockholders, provided that Mr. Friend continues to provide services to the Issuer through such vesting date.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of the Issuer's common stock held by Bain Capital Venture Fund 2009, L.P. ("BCV Fund 2009"), BCIP Venture Associates ("BCIP Venture") and BCIP Venture Associates-B ("BCIP Venture-B" and, together with BCV Fund 2009 and BCIP Venture, the "Bain Capital Venture Entities").</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 is the ultimate general partner of BCV Fund 2009 and (ii) governs the investment strategy and decision-making process with respect to investments held by each of BCIP Venture and BCIP Venture-B. Mr. Friend is a Managing Director of BCVI. By virtue of the relationships described in this footnote, Mr. Friend may be deemed to share voting and dispositive power with respect to the shares of the Issuer's common stock held by the Bain Capital Venture Entities. Mr. Friend disclaims beneficial ownership of such securities except to the extent of his pecuniary interest therein.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Scott Friend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07/15/2022</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620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2022-07-15T20:24:31Z</dcterms:created>
  <dcterms:modified xsi:type="dcterms:W3CDTF">2022-07-15T20:24:31Z</dcterms:modified>
</cp:coreProperties>
</file>