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4060" w:type="dxa"/>
            <w:vAlign w:val="bottom"/>
          </w:tcPr>
          <w:p>
            <w:pPr>
              <w:ind w:left="40"/>
              <w:spacing w:after="0"/>
              <w:rPr>
                <w:sz w:val="20"/>
                <w:szCs w:val="20"/>
                <w:color w:val="auto"/>
              </w:rPr>
            </w:pPr>
            <w:r>
              <w:rPr>
                <w:rFonts w:ascii="Arial" w:cs="Arial" w:eastAsia="Arial" w:hAnsi="Arial"/>
                <w:sz w:val="22"/>
                <w:szCs w:val="22"/>
                <w:color w:val="auto"/>
              </w:rPr>
              <w:t>0001887453</w:t>
            </w:r>
          </w:p>
        </w:tc>
        <w:tc>
          <w:tcPr>
            <w:tcW w:w="324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40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40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w w:val="87"/>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Arial" w:cs="Arial" w:eastAsia="Arial" w:hAnsi="Arial"/>
                <w:sz w:val="22"/>
                <w:szCs w:val="22"/>
                <w:color w:val="auto"/>
              </w:rPr>
              <w:t>Brian Donato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3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0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Arial" w:cs="Arial" w:eastAsia="Arial" w:hAnsi="Arial"/>
                <w:sz w:val="22"/>
                <w:szCs w:val="22"/>
                <w:color w:val="auto"/>
                <w:w w:val="99"/>
              </w:rPr>
              <w:t>Class A Common Stock</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280" w:type="dxa"/>
            <w:vAlign w:val="bottom"/>
          </w:tcPr>
          <w:p>
            <w:pPr>
              <w:jc w:val="right"/>
              <w:ind w:right="532"/>
              <w:spacing w:after="0" w:line="243" w:lineRule="exact"/>
              <w:rPr>
                <w:sz w:val="20"/>
                <w:szCs w:val="20"/>
                <w:color w:val="auto"/>
              </w:rPr>
            </w:pPr>
            <w:r>
              <w:rPr>
                <w:rFonts w:ascii="Arial" w:cs="Arial" w:eastAsia="Arial" w:hAnsi="Arial"/>
                <w:sz w:val="22"/>
                <w:szCs w:val="22"/>
                <w:color w:val="auto"/>
              </w:rPr>
              <w:t>13706</w:t>
            </w:r>
          </w:p>
        </w:tc>
        <w:tc>
          <w:tcPr>
            <w:tcW w:w="1140" w:type="dxa"/>
            <w:vAlign w:val="bottom"/>
          </w:tcPr>
          <w:p>
            <w:pPr>
              <w:jc w:val="right"/>
              <w:ind w:right="292"/>
              <w:spacing w:after="0" w:line="243" w:lineRule="exact"/>
              <w:rPr>
                <w:sz w:val="20"/>
                <w:szCs w:val="20"/>
                <w:color w:val="auto"/>
              </w:rPr>
            </w:pPr>
            <w:r>
              <w:rPr>
                <w:rFonts w:ascii="Arial" w:cs="Arial" w:eastAsia="Arial" w:hAnsi="Arial"/>
                <w:sz w:val="22"/>
                <w:szCs w:val="22"/>
                <w:color w:val="auto"/>
                <w:w w:val="90"/>
              </w:rPr>
              <w:t>7195.65</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65858662</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11/01/2023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Arial" w:cs="Arial" w:eastAsia="Arial" w:hAnsi="Arial"/>
                <w:sz w:val="22"/>
                <w:szCs w:val="22"/>
                <w:b w:val="1"/>
                <w:bCs w:val="1"/>
                <w:color w:val="auto"/>
              </w:rPr>
              <w:t>Class</w:t>
            </w:r>
          </w:p>
        </w:tc>
        <w:tc>
          <w:tcPr>
            <w:tcW w:w="1040" w:type="dxa"/>
            <w:vAlign w:val="bottom"/>
          </w:tcPr>
          <w:p>
            <w:pPr>
              <w:ind w:left="120"/>
              <w:spacing w:after="0"/>
              <w:rPr>
                <w:sz w:val="20"/>
                <w:szCs w:val="20"/>
                <w:color w:val="auto"/>
              </w:rPr>
            </w:pPr>
            <w:r>
              <w:rPr>
                <w:rFonts w:ascii="Arial" w:cs="Arial" w:eastAsia="Arial" w:hAnsi="Arial"/>
                <w:sz w:val="22"/>
                <w:szCs w:val="22"/>
                <w:b w:val="1"/>
                <w:bCs w:val="1"/>
                <w:color w:val="auto"/>
                <w:w w:val="94"/>
              </w:rPr>
              <w:t>Acquired</w:t>
            </w:r>
          </w:p>
        </w:tc>
        <w:tc>
          <w:tcPr>
            <w:tcW w:w="1620" w:type="dxa"/>
            <w:vAlign w:val="bottom"/>
          </w:tcPr>
          <w:p>
            <w:pPr>
              <w:ind w:left="360"/>
              <w:spacing w:after="0"/>
              <w:rPr>
                <w:sz w:val="20"/>
                <w:szCs w:val="20"/>
                <w:color w:val="auto"/>
              </w:rPr>
            </w:pPr>
            <w:r>
              <w:rPr>
                <w:rFonts w:ascii="Arial" w:cs="Arial" w:eastAsia="Arial" w:hAnsi="Arial"/>
                <w:sz w:val="22"/>
                <w:szCs w:val="22"/>
                <w:b w:val="1"/>
                <w:bCs w:val="1"/>
                <w:color w:val="auto"/>
              </w:rPr>
              <w:t>Acquisition</w:t>
            </w:r>
          </w:p>
        </w:tc>
        <w:tc>
          <w:tcPr>
            <w:tcW w:w="1540" w:type="dxa"/>
            <w:vAlign w:val="bottom"/>
          </w:tcPr>
          <w:p>
            <w:pPr>
              <w:jc w:val="center"/>
              <w:ind w:left="92"/>
              <w:spacing w:after="0"/>
              <w:rPr>
                <w:sz w:val="20"/>
                <w:szCs w:val="20"/>
                <w:color w:val="auto"/>
              </w:rPr>
            </w:pPr>
            <w:r>
              <w:rPr>
                <w:rFonts w:ascii="Arial" w:cs="Arial" w:eastAsia="Arial" w:hAnsi="Arial"/>
                <w:sz w:val="22"/>
                <w:szCs w:val="22"/>
                <w:b w:val="1"/>
                <w:bCs w:val="1"/>
                <w:color w:val="auto"/>
                <w:w w:val="87"/>
              </w:rPr>
              <w:t>Person from</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this</w:t>
            </w:r>
          </w:p>
        </w:tc>
        <w:tc>
          <w:tcPr>
            <w:tcW w:w="900" w:type="dxa"/>
            <w:vAlign w:val="bottom"/>
          </w:tcPr>
          <w:p>
            <w:pPr>
              <w:jc w:val="center"/>
              <w:spacing w:after="0"/>
              <w:rPr>
                <w:sz w:val="20"/>
                <w:szCs w:val="20"/>
                <w:color w:val="auto"/>
              </w:rPr>
            </w:pPr>
            <w:r>
              <w:rPr>
                <w:rFonts w:ascii="Arial" w:cs="Arial" w:eastAsia="Arial" w:hAnsi="Arial"/>
                <w:sz w:val="22"/>
                <w:szCs w:val="22"/>
                <w:b w:val="1"/>
                <w:bCs w:val="1"/>
                <w:color w:val="auto"/>
                <w:w w:val="89"/>
              </w:rPr>
              <w:t>Donor</w:t>
            </w:r>
          </w:p>
        </w:tc>
        <w:tc>
          <w:tcPr>
            <w:tcW w:w="1240" w:type="dxa"/>
            <w:vAlign w:val="bottom"/>
          </w:tcPr>
          <w:p>
            <w:pPr>
              <w:ind w:left="220"/>
              <w:spacing w:after="0"/>
              <w:rPr>
                <w:sz w:val="20"/>
                <w:szCs w:val="20"/>
                <w:color w:val="auto"/>
              </w:rPr>
            </w:pPr>
            <w:r>
              <w:rPr>
                <w:rFonts w:ascii="Arial" w:cs="Arial" w:eastAsia="Arial" w:hAnsi="Arial"/>
                <w:sz w:val="22"/>
                <w:szCs w:val="22"/>
                <w:b w:val="1"/>
                <w:bCs w:val="1"/>
                <w:color w:val="auto"/>
                <w:w w:val="95"/>
              </w:rPr>
              <w:t>Securities</w:t>
            </w:r>
          </w:p>
        </w:tc>
        <w:tc>
          <w:tcPr>
            <w:tcW w:w="1240" w:type="dxa"/>
            <w:vAlign w:val="bottom"/>
          </w:tcPr>
          <w:p>
            <w:pPr>
              <w:ind w:left="200"/>
              <w:spacing w:after="0"/>
              <w:rPr>
                <w:sz w:val="20"/>
                <w:szCs w:val="20"/>
                <w:color w:val="auto"/>
              </w:rPr>
            </w:pPr>
            <w:r>
              <w:rPr>
                <w:rFonts w:ascii="Arial" w:cs="Arial" w:eastAsia="Arial" w:hAnsi="Arial"/>
                <w:sz w:val="22"/>
                <w:szCs w:val="22"/>
                <w:b w:val="1"/>
                <w:bCs w:val="1"/>
                <w:color w:val="auto"/>
              </w:rPr>
              <w:t>Payment</w:t>
            </w:r>
          </w:p>
        </w:tc>
        <w:tc>
          <w:tcPr>
            <w:tcW w:w="1520" w:type="dxa"/>
            <w:vAlign w:val="bottom"/>
          </w:tcPr>
          <w:p>
            <w:pPr>
              <w:ind w:left="240"/>
              <w:spacing w:after="0"/>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340"/>
              <w:spacing w:after="0" w:line="243" w:lineRule="exact"/>
              <w:rPr>
                <w:sz w:val="20"/>
                <w:szCs w:val="20"/>
                <w:color w:val="auto"/>
              </w:rPr>
            </w:pPr>
            <w:r>
              <w:rPr>
                <w:rFonts w:ascii="Arial" w:cs="Arial" w:eastAsia="Arial" w:hAnsi="Arial"/>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40" w:type="dxa"/>
            <w:vAlign w:val="bottom"/>
          </w:tcPr>
          <w:p>
            <w:pPr>
              <w:ind w:left="240"/>
              <w:spacing w:after="0" w:line="243" w:lineRule="exact"/>
              <w:rPr>
                <w:sz w:val="20"/>
                <w:szCs w:val="20"/>
                <w:color w:val="auto"/>
              </w:rPr>
            </w:pPr>
            <w:r>
              <w:rPr>
                <w:rFonts w:ascii="Arial" w:cs="Arial" w:eastAsia="Arial" w:hAnsi="Arial"/>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Arial" w:cs="Arial" w:eastAsia="Arial" w:hAnsi="Arial"/>
                <w:sz w:val="22"/>
                <w:szCs w:val="22"/>
                <w:color w:val="auto"/>
                <w:w w:val="96"/>
              </w:rPr>
              <w:t>Shares acquired</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upon vesting of</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restricted stock</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units awarded</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60" w:type="dxa"/>
            <w:vAlign w:val="bottom"/>
            <w:gridSpan w:val="2"/>
            <w:vMerge w:val="restart"/>
          </w:tcPr>
          <w:p>
            <w:pPr>
              <w:ind w:left="60"/>
              <w:spacing w:after="0"/>
              <w:rPr>
                <w:sz w:val="20"/>
                <w:szCs w:val="20"/>
                <w:color w:val="auto"/>
              </w:rPr>
            </w:pPr>
            <w:r>
              <w:rPr>
                <w:rFonts w:ascii="Arial" w:cs="Arial" w:eastAsia="Arial" w:hAnsi="Arial"/>
                <w:sz w:val="22"/>
                <w:szCs w:val="22"/>
                <w:color w:val="auto"/>
              </w:rPr>
              <w:t>11/01/2023 under Issuers</w:t>
            </w:r>
          </w:p>
        </w:tc>
        <w:tc>
          <w:tcPr>
            <w:tcW w:w="154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Arial" w:cs="Arial" w:eastAsia="Arial" w:hAnsi="Arial"/>
                <w:sz w:val="22"/>
                <w:szCs w:val="22"/>
                <w:color w:val="auto"/>
              </w:rPr>
              <w:t>18750</w:t>
            </w:r>
          </w:p>
        </w:tc>
        <w:tc>
          <w:tcPr>
            <w:tcW w:w="2760" w:type="dxa"/>
            <w:vAlign w:val="bottom"/>
            <w:gridSpan w:val="2"/>
            <w:vMerge w:val="restart"/>
          </w:tcPr>
          <w:p>
            <w:pPr>
              <w:ind w:left="100"/>
              <w:spacing w:after="0"/>
              <w:rPr>
                <w:sz w:val="20"/>
                <w:szCs w:val="20"/>
                <w:color w:val="auto"/>
              </w:rPr>
            </w:pPr>
            <w:r>
              <w:rPr>
                <w:rFonts w:ascii="Arial" w:cs="Arial" w:eastAsia="Arial" w:hAnsi="Arial"/>
                <w:sz w:val="22"/>
                <w:szCs w:val="22"/>
                <w:color w:val="auto"/>
                <w:w w:val="87"/>
              </w:rPr>
              <w:t>04/01/2020 Services Rendered</w:t>
            </w:r>
          </w:p>
        </w:tc>
        <w:tc>
          <w:tcPr>
            <w:tcW w:w="0" w:type="dxa"/>
            <w:vAlign w:val="bottom"/>
          </w:tcPr>
          <w:p>
            <w:pPr>
              <w:spacing w:after="0"/>
              <w:rPr>
                <w:sz w:val="1"/>
                <w:szCs w:val="1"/>
                <w:color w:val="auto"/>
              </w:rPr>
            </w:pPr>
          </w:p>
        </w:tc>
      </w:tr>
      <w:tr>
        <w:trPr>
          <w:trHeight w:val="140"/>
        </w:trPr>
        <w:tc>
          <w:tcPr>
            <w:tcW w:w="1420" w:type="dxa"/>
            <w:vAlign w:val="bottom"/>
          </w:tcPr>
          <w:p>
            <w:pPr>
              <w:spacing w:after="0" w:line="139" w:lineRule="exact"/>
              <w:rPr>
                <w:sz w:val="20"/>
                <w:szCs w:val="20"/>
                <w:color w:val="auto"/>
              </w:rPr>
            </w:pPr>
            <w:r>
              <w:rPr>
                <w:rFonts w:ascii="Arial" w:cs="Arial" w:eastAsia="Arial" w:hAnsi="Arial"/>
                <w:sz w:val="16"/>
                <w:szCs w:val="16"/>
                <w:color w:val="auto"/>
              </w:rPr>
              <w:t>Common Stock</w:t>
            </w:r>
          </w:p>
        </w:tc>
        <w:tc>
          <w:tcPr>
            <w:tcW w:w="2660" w:type="dxa"/>
            <w:vAlign w:val="bottom"/>
            <w:gridSpan w:val="2"/>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20" w:type="dxa"/>
            <w:vAlign w:val="bottom"/>
          </w:tcPr>
          <w:p>
            <w:pPr>
              <w:ind w:left="60"/>
              <w:spacing w:after="0" w:line="225" w:lineRule="exact"/>
              <w:rPr>
                <w:sz w:val="20"/>
                <w:szCs w:val="20"/>
                <w:color w:val="auto"/>
              </w:rPr>
            </w:pPr>
            <w:r>
              <w:rPr>
                <w:rFonts w:ascii="Arial" w:cs="Arial" w:eastAsia="Arial" w:hAnsi="Arial"/>
                <w:sz w:val="22"/>
                <w:szCs w:val="22"/>
                <w:color w:val="auto"/>
              </w:rPr>
              <w:t>Amended and</w:t>
            </w:r>
          </w:p>
        </w:tc>
        <w:tc>
          <w:tcPr>
            <w:tcW w:w="1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Restated 2021</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w w:val="98"/>
              </w:rPr>
              <w:t>Incentive Award</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Arial" w:cs="Arial" w:eastAsia="Arial" w:hAnsi="Arial"/>
                <w:sz w:val="22"/>
                <w:szCs w:val="22"/>
                <w:color w:val="auto"/>
              </w:rPr>
              <w:t>Plan</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Arial" w:cs="Arial" w:eastAsia="Arial" w:hAnsi="Arial"/>
                <w:sz w:val="22"/>
                <w:szCs w:val="22"/>
                <w:color w:val="auto"/>
                <w:w w:val="96"/>
              </w:rPr>
              <w:t>Shares acquired</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upon vesting of</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restricted stock</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units awarded</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60" w:type="dxa"/>
            <w:vAlign w:val="bottom"/>
            <w:gridSpan w:val="2"/>
            <w:vMerge w:val="restart"/>
          </w:tcPr>
          <w:p>
            <w:pPr>
              <w:ind w:left="60"/>
              <w:spacing w:after="0"/>
              <w:rPr>
                <w:sz w:val="20"/>
                <w:szCs w:val="20"/>
                <w:color w:val="auto"/>
              </w:rPr>
            </w:pPr>
            <w:r>
              <w:rPr>
                <w:rFonts w:ascii="Arial" w:cs="Arial" w:eastAsia="Arial" w:hAnsi="Arial"/>
                <w:sz w:val="22"/>
                <w:szCs w:val="22"/>
                <w:color w:val="auto"/>
              </w:rPr>
              <w:t>11/01/2023 under Issuers</w:t>
            </w:r>
          </w:p>
        </w:tc>
        <w:tc>
          <w:tcPr>
            <w:tcW w:w="154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Arial" w:cs="Arial" w:eastAsia="Arial" w:hAnsi="Arial"/>
                <w:sz w:val="22"/>
                <w:szCs w:val="22"/>
                <w:color w:val="auto"/>
              </w:rPr>
              <w:t>3390</w:t>
            </w:r>
          </w:p>
        </w:tc>
        <w:tc>
          <w:tcPr>
            <w:tcW w:w="2760" w:type="dxa"/>
            <w:vAlign w:val="bottom"/>
            <w:gridSpan w:val="2"/>
            <w:vMerge w:val="restart"/>
          </w:tcPr>
          <w:p>
            <w:pPr>
              <w:ind w:left="100"/>
              <w:spacing w:after="0"/>
              <w:rPr>
                <w:sz w:val="20"/>
                <w:szCs w:val="20"/>
                <w:color w:val="auto"/>
              </w:rPr>
            </w:pPr>
            <w:r>
              <w:rPr>
                <w:rFonts w:ascii="Arial" w:cs="Arial" w:eastAsia="Arial" w:hAnsi="Arial"/>
                <w:sz w:val="22"/>
                <w:szCs w:val="22"/>
                <w:color w:val="auto"/>
                <w:w w:val="87"/>
              </w:rPr>
              <w:t>07/11/2023 Services Rendered</w:t>
            </w:r>
          </w:p>
        </w:tc>
        <w:tc>
          <w:tcPr>
            <w:tcW w:w="0" w:type="dxa"/>
            <w:vAlign w:val="bottom"/>
          </w:tcPr>
          <w:p>
            <w:pPr>
              <w:spacing w:after="0"/>
              <w:rPr>
                <w:sz w:val="1"/>
                <w:szCs w:val="1"/>
                <w:color w:val="auto"/>
              </w:rPr>
            </w:pPr>
          </w:p>
        </w:tc>
      </w:tr>
      <w:tr>
        <w:trPr>
          <w:trHeight w:val="140"/>
        </w:trPr>
        <w:tc>
          <w:tcPr>
            <w:tcW w:w="1420" w:type="dxa"/>
            <w:vAlign w:val="bottom"/>
          </w:tcPr>
          <w:p>
            <w:pPr>
              <w:spacing w:after="0" w:line="139" w:lineRule="exact"/>
              <w:rPr>
                <w:sz w:val="20"/>
                <w:szCs w:val="20"/>
                <w:color w:val="auto"/>
              </w:rPr>
            </w:pPr>
            <w:r>
              <w:rPr>
                <w:rFonts w:ascii="Arial" w:cs="Arial" w:eastAsia="Arial" w:hAnsi="Arial"/>
                <w:sz w:val="16"/>
                <w:szCs w:val="16"/>
                <w:color w:val="auto"/>
              </w:rPr>
              <w:t>Common Stock</w:t>
            </w:r>
          </w:p>
        </w:tc>
        <w:tc>
          <w:tcPr>
            <w:tcW w:w="2660" w:type="dxa"/>
            <w:vAlign w:val="bottom"/>
            <w:gridSpan w:val="2"/>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-1565910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-142875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Arial" w:cs="Arial" w:eastAsia="Arial" w:hAnsi="Arial"/>
          <w:sz w:val="22"/>
          <w:szCs w:val="22"/>
          <w:color w:val="auto"/>
        </w:rPr>
        <w:t>Amended and</w:t>
      </w:r>
    </w:p>
    <w:p>
      <w:pPr>
        <w:ind w:left="2560"/>
        <w:spacing w:after="0" w:line="231" w:lineRule="auto"/>
        <w:rPr>
          <w:sz w:val="20"/>
          <w:szCs w:val="20"/>
          <w:color w:val="auto"/>
        </w:rPr>
      </w:pPr>
      <w:r>
        <w:rPr>
          <w:rFonts w:ascii="Arial" w:cs="Arial" w:eastAsia="Arial" w:hAnsi="Arial"/>
          <w:sz w:val="22"/>
          <w:szCs w:val="22"/>
          <w:color w:val="auto"/>
        </w:rPr>
        <w:t>Restated 2021</w:t>
      </w:r>
    </w:p>
    <w:p>
      <w:pPr>
        <w:ind w:left="2560"/>
        <w:spacing w:after="0" w:line="230" w:lineRule="auto"/>
        <w:rPr>
          <w:sz w:val="20"/>
          <w:szCs w:val="20"/>
          <w:color w:val="auto"/>
        </w:rPr>
      </w:pPr>
      <w:r>
        <w:rPr>
          <w:rFonts w:ascii="Arial" w:cs="Arial" w:eastAsia="Arial" w:hAnsi="Arial"/>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Plan</w:t>
      </w:r>
    </w:p>
    <w:p>
      <w:pPr>
        <w:spacing w:after="0" w:line="2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gridSpan w:val="3"/>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rPr>
              <w:t>Brian Donato</w:t>
            </w:r>
          </w:p>
        </w:tc>
        <w:tc>
          <w:tcPr>
            <w:tcW w:w="19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w w:val="95"/>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08/02/2023 12681</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21127.49</w:t>
            </w:r>
          </w:p>
        </w:tc>
        <w:tc>
          <w:tcPr>
            <w:tcW w:w="0" w:type="dxa"/>
            <w:vAlign w:val="bottom"/>
          </w:tcPr>
          <w:p>
            <w:pPr>
              <w:spacing w:after="0"/>
              <w:rPr>
                <w:sz w:val="1"/>
                <w:szCs w:val="1"/>
                <w:color w:val="auto"/>
              </w:rPr>
            </w:pPr>
          </w:p>
        </w:tc>
      </w:tr>
      <w:tr>
        <w:trPr>
          <w:trHeight w:val="153"/>
        </w:trPr>
        <w:tc>
          <w:tcPr>
            <w:tcW w:w="900" w:type="dxa"/>
            <w:vAlign w:val="bottom"/>
            <w:vMerge w:val="restart"/>
          </w:tcPr>
          <w:p>
            <w:pPr>
              <w:spacing w:after="0" w:line="243" w:lineRule="exact"/>
              <w:rPr>
                <w:sz w:val="20"/>
                <w:szCs w:val="20"/>
                <w:color w:val="auto"/>
              </w:rPr>
            </w:pPr>
            <w:r>
              <w:rPr>
                <w:rFonts w:ascii="Arial" w:cs="Arial" w:eastAsia="Arial" w:hAnsi="Arial"/>
                <w:sz w:val="22"/>
                <w:szCs w:val="22"/>
                <w:color w:val="auto"/>
                <w:w w:val="94"/>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1960" w:type="dxa"/>
            <w:vAlign w:val="bottom"/>
          </w:tcPr>
          <w:p>
            <w:pPr>
              <w:jc w:val="right"/>
              <w:ind w:right="1232"/>
              <w:spacing w:after="0"/>
              <w:rPr>
                <w:sz w:val="20"/>
                <w:szCs w:val="20"/>
                <w:color w:val="auto"/>
              </w:rPr>
            </w:pPr>
            <w:r>
              <w:rPr>
                <w:rFonts w:ascii="Arial" w:cs="Arial" w:eastAsia="Arial" w:hAnsi="Arial"/>
                <w:sz w:val="22"/>
                <w:szCs w:val="22"/>
                <w:color w:val="auto"/>
                <w:w w:val="98"/>
              </w:rPr>
              <w:t>11201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rPr>
              <w:t>Brian Donato</w:t>
            </w:r>
          </w:p>
        </w:tc>
        <w:tc>
          <w:tcPr>
            <w:tcW w:w="19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w w:val="95"/>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09/18/2023 20159</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16606.98</w:t>
            </w:r>
          </w:p>
        </w:tc>
        <w:tc>
          <w:tcPr>
            <w:tcW w:w="0" w:type="dxa"/>
            <w:vAlign w:val="bottom"/>
          </w:tcPr>
          <w:p>
            <w:pPr>
              <w:spacing w:after="0"/>
              <w:rPr>
                <w:sz w:val="1"/>
                <w:szCs w:val="1"/>
                <w:color w:val="auto"/>
              </w:rPr>
            </w:pPr>
          </w:p>
        </w:tc>
      </w:tr>
      <w:tr>
        <w:trPr>
          <w:trHeight w:val="153"/>
        </w:trPr>
        <w:tc>
          <w:tcPr>
            <w:tcW w:w="900" w:type="dxa"/>
            <w:vAlign w:val="bottom"/>
            <w:vMerge w:val="restart"/>
          </w:tcPr>
          <w:p>
            <w:pPr>
              <w:spacing w:after="0" w:line="243" w:lineRule="exact"/>
              <w:rPr>
                <w:sz w:val="20"/>
                <w:szCs w:val="20"/>
                <w:color w:val="auto"/>
              </w:rPr>
            </w:pPr>
            <w:r>
              <w:rPr>
                <w:rFonts w:ascii="Arial" w:cs="Arial" w:eastAsia="Arial" w:hAnsi="Arial"/>
                <w:sz w:val="22"/>
                <w:szCs w:val="22"/>
                <w:color w:val="auto"/>
                <w:w w:val="94"/>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1960" w:type="dxa"/>
            <w:vAlign w:val="bottom"/>
          </w:tcPr>
          <w:p>
            <w:pPr>
              <w:jc w:val="right"/>
              <w:ind w:right="1232"/>
              <w:spacing w:after="0"/>
              <w:rPr>
                <w:sz w:val="20"/>
                <w:szCs w:val="20"/>
                <w:color w:val="auto"/>
              </w:rPr>
            </w:pPr>
            <w:r>
              <w:rPr>
                <w:rFonts w:ascii="Arial" w:cs="Arial" w:eastAsia="Arial" w:hAnsi="Arial"/>
                <w:sz w:val="22"/>
                <w:szCs w:val="22"/>
                <w:color w:val="auto"/>
                <w:w w:val="98"/>
              </w:rPr>
              <w:t>11201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rPr>
              <w:t>Brian Donato</w:t>
            </w:r>
          </w:p>
        </w:tc>
        <w:tc>
          <w:tcPr>
            <w:tcW w:w="19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w w:val="95"/>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09/19/2023 5202</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4350.43</w:t>
            </w:r>
          </w:p>
        </w:tc>
        <w:tc>
          <w:tcPr>
            <w:tcW w:w="0" w:type="dxa"/>
            <w:vAlign w:val="bottom"/>
          </w:tcPr>
          <w:p>
            <w:pPr>
              <w:spacing w:after="0"/>
              <w:rPr>
                <w:sz w:val="1"/>
                <w:szCs w:val="1"/>
                <w:color w:val="auto"/>
              </w:rPr>
            </w:pPr>
          </w:p>
        </w:tc>
      </w:tr>
      <w:tr>
        <w:trPr>
          <w:trHeight w:val="153"/>
        </w:trPr>
        <w:tc>
          <w:tcPr>
            <w:tcW w:w="900" w:type="dxa"/>
            <w:vAlign w:val="bottom"/>
            <w:vMerge w:val="restart"/>
          </w:tcPr>
          <w:p>
            <w:pPr>
              <w:spacing w:after="0" w:line="243" w:lineRule="exact"/>
              <w:rPr>
                <w:sz w:val="20"/>
                <w:szCs w:val="20"/>
                <w:color w:val="auto"/>
              </w:rPr>
            </w:pPr>
            <w:r>
              <w:rPr>
                <w:rFonts w:ascii="Arial" w:cs="Arial" w:eastAsia="Arial" w:hAnsi="Arial"/>
                <w:sz w:val="22"/>
                <w:szCs w:val="22"/>
                <w:color w:val="auto"/>
                <w:w w:val="94"/>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1960" w:type="dxa"/>
            <w:vAlign w:val="bottom"/>
          </w:tcPr>
          <w:p>
            <w:pPr>
              <w:jc w:val="right"/>
              <w:ind w:right="1232"/>
              <w:spacing w:after="0"/>
              <w:rPr>
                <w:sz w:val="20"/>
                <w:szCs w:val="20"/>
                <w:color w:val="auto"/>
              </w:rPr>
            </w:pPr>
            <w:r>
              <w:rPr>
                <w:rFonts w:ascii="Arial" w:cs="Arial" w:eastAsia="Arial" w:hAnsi="Arial"/>
                <w:sz w:val="22"/>
                <w:szCs w:val="22"/>
                <w:color w:val="auto"/>
                <w:w w:val="98"/>
              </w:rPr>
              <w:t>11201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57" w:orient="portrait"/>
          <w:cols w:equalWidth="0" w:num="1">
            <w:col w:w="11240"/>
          </w:cols>
          <w:pgMar w:left="320" w:top="102" w:right="339" w:bottom="0" w:gutter="0" w:footer="0" w:header="0"/>
        </w:sect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right="440"/>
        <w:spacing w:after="0" w:line="296" w:lineRule="auto"/>
        <w:rPr>
          <w:sz w:val="20"/>
          <w:szCs w:val="20"/>
          <w:color w:val="auto"/>
        </w:rPr>
      </w:pPr>
      <w:r>
        <w:rPr>
          <w:rFonts w:ascii="Arial" w:cs="Arial" w:eastAsia="Arial" w:hAnsi="Arial"/>
          <w:sz w:val="19"/>
          <w:szCs w:val="19"/>
          <w:color w:val="auto"/>
        </w:rPr>
        <w:t>Shares to be sold to cover withholding taxes upon vesting of restricted stock unit awards pursuant to standing Rule 10b5-1 sell to cover instruction.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11/01/2023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04/27/2022</w:t>
      </w:r>
    </w:p>
    <w:p>
      <w:pPr>
        <w:spacing w:after="0" w:line="618" w:lineRule="exact"/>
        <w:rPr>
          <w:sz w:val="20"/>
          <w:szCs w:val="20"/>
          <w:color w:val="auto"/>
        </w:rPr>
      </w:pPr>
    </w:p>
    <w:p>
      <w:pPr>
        <w:sectPr>
          <w:pgSz w:w="11900" w:h="16857" w:orient="portrait"/>
          <w:cols w:equalWidth="0" w:num="2">
            <w:col w:w="3380" w:space="440"/>
            <w:col w:w="7420"/>
          </w:cols>
          <w:pgMar w:left="320" w:top="102" w:right="339" w:bottom="0" w:gutter="0" w:footer="0" w:header="0"/>
          <w:type w:val="continuous"/>
        </w:sectPr>
      </w:pPr>
    </w:p>
    <w:p>
      <w:pPr>
        <w:spacing w:after="0" w:line="128" w:lineRule="exact"/>
        <w:rPr>
          <w:sz w:val="20"/>
          <w:szCs w:val="20"/>
          <w:color w:val="auto"/>
        </w:rPr>
      </w:pPr>
    </w:p>
    <w:p>
      <w:pPr>
        <w:jc w:val="both"/>
        <w:ind w:left="40" w:right="40"/>
        <w:spacing w:after="0" w:line="297"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857" w:orient="portrait"/>
          <w:cols w:equalWidth="0" w:num="1">
            <w:col w:w="11240"/>
          </w:cols>
          <w:pgMar w:left="320" w:top="102" w:right="339" w:bottom="0" w:gutter="0" w:footer="0" w:header="0"/>
          <w:type w:val="continuous"/>
        </w:sectPr>
      </w:pPr>
    </w:p>
    <w:bookmarkStart w:id="2" w:name="page3"/>
    <w:bookmarkEnd w:id="2"/>
    <w:p>
      <w:pPr>
        <w:spacing w:after="0" w:line="268" w:lineRule="auto"/>
        <w:rPr>
          <w:sz w:val="20"/>
          <w:szCs w:val="20"/>
          <w:color w:val="auto"/>
        </w:rPr>
      </w:pPr>
      <w:r>
        <w:rPr>
          <w:rFonts w:ascii="Arial" w:cs="Arial" w:eastAsia="Arial" w:hAnsi="Arial"/>
          <w:sz w:val="21"/>
          <w:szCs w:val="21"/>
          <w:color w:val="auto"/>
        </w:rPr>
        <w:t>instructions to satisfy Rule 10b5-1 under the Exchange Act, by signing the form and indicating the date that the plan was adopted or the instruction given, that person makes such representation as of the plan adoption or instruction date.</w:t>
      </w:r>
    </w:p>
    <w:p>
      <w:pPr>
        <w:spacing w:after="0" w:line="1" w:lineRule="exact"/>
        <w:rPr>
          <w:sz w:val="20"/>
          <w:szCs w:val="20"/>
          <w:color w:val="auto"/>
        </w:rPr>
      </w:pPr>
    </w:p>
    <w:p>
      <w:pPr>
        <w:spacing w:after="0"/>
        <w:tabs>
          <w:tab w:leader="none" w:pos="37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Brian Donato</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2023-11-01T08:08:01Z</dcterms:created>
  <dcterms:modified xsi:type="dcterms:W3CDTF">2023-11-01T08:08:01Z</dcterms:modified>
</cp:coreProperties>
</file>