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176319597387.xml.htm"/>
      <w:bookmarkStart w:id="1" w:name="kswfform4_168176319597387"/>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Hyman Jennifer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RENT THE RUNWAY, INC.</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 JAY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BROOKLYN</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11201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highlight w:val="white"/>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3"/>
              <w:gridCol w:w="989"/>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CEO &amp; Chair</w:t>
                  </w:r>
                  <w:r>
                    <w:rPr/>
                    <w:t xml:space="preserve"> </w:t>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04/13/2023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242"/>
        <w:gridCol w:w="903"/>
        <w:gridCol w:w="773"/>
        <w:gridCol w:w="599"/>
        <w:gridCol w:w="344"/>
        <w:gridCol w:w="1139"/>
        <w:gridCol w:w="441"/>
        <w:gridCol w:w="604"/>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0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8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1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24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04/13/2023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4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3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1,175,000</w:t>
            </w:r>
          </w:p>
        </w:tc>
        <w:tc>
          <w:tcPr>
            <w:tcW w:w="44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2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1,329,369</w:t>
            </w:r>
          </w:p>
        </w:tc>
        <w:tc>
          <w:tcPr>
            <w:tcW w:w="9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1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Equity award of restricted stock units which vest in 12 equal quarterly installments, beginning on June 15, 2023, provided the reporting person remains continuously employed on each vesting date. Each restricted stock unit represents a contingent right to receive one share of the Issuer's Class A Common Stock.</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Cara Schembri as Attorney in- fact for Jennifer Y. Hyman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04/17/2023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7388"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619</Words>
  <CharactersWithSpaces>3900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