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4060" w:type="dxa"/>
            <w:vAlign w:val="bottom"/>
          </w:tcPr>
          <w:p>
            <w:pPr>
              <w:ind w:left="40"/>
              <w:spacing w:after="0"/>
              <w:rPr>
                <w:sz w:val="20"/>
                <w:szCs w:val="20"/>
                <w:color w:val="auto"/>
              </w:rPr>
            </w:pPr>
            <w:r>
              <w:rPr>
                <w:rFonts w:ascii="Arial" w:cs="Arial" w:eastAsia="Arial" w:hAnsi="Arial"/>
                <w:sz w:val="22"/>
                <w:szCs w:val="22"/>
                <w:color w:val="auto"/>
              </w:rPr>
              <w:t>0001888484</w:t>
            </w:r>
          </w:p>
        </w:tc>
        <w:tc>
          <w:tcPr>
            <w:tcW w:w="32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40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40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w w:val="87"/>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Arial" w:cs="Arial" w:eastAsia="Arial" w:hAnsi="Arial"/>
                <w:sz w:val="22"/>
                <w:szCs w:val="22"/>
                <w:color w:val="auto"/>
              </w:rPr>
              <w:t>Sarah Tam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3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0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Arial" w:cs="Arial" w:eastAsia="Arial" w:hAnsi="Arial"/>
                <w:sz w:val="22"/>
                <w:szCs w:val="22"/>
                <w:color w:val="auto"/>
                <w:w w:val="99"/>
              </w:rPr>
              <w:t>Class A Common Stock</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Arial" w:cs="Arial" w:eastAsia="Arial" w:hAnsi="Arial"/>
                <w:sz w:val="22"/>
                <w:szCs w:val="22"/>
                <w:color w:val="auto"/>
              </w:rPr>
              <w:t>8966</w:t>
            </w:r>
          </w:p>
        </w:tc>
        <w:tc>
          <w:tcPr>
            <w:tcW w:w="1140" w:type="dxa"/>
            <w:vAlign w:val="bottom"/>
          </w:tcPr>
          <w:p>
            <w:pPr>
              <w:jc w:val="right"/>
              <w:ind w:right="292"/>
              <w:spacing w:after="0" w:line="243" w:lineRule="exact"/>
              <w:rPr>
                <w:sz w:val="20"/>
                <w:szCs w:val="20"/>
                <w:color w:val="auto"/>
              </w:rPr>
            </w:pPr>
            <w:r>
              <w:rPr>
                <w:rFonts w:ascii="Arial" w:cs="Arial" w:eastAsia="Arial" w:hAnsi="Arial"/>
                <w:sz w:val="22"/>
                <w:szCs w:val="22"/>
                <w:color w:val="auto"/>
                <w:w w:val="90"/>
              </w:rPr>
              <w:t>4707.15</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65858662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11/01/2023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Arial" w:cs="Arial" w:eastAsia="Arial" w:hAnsi="Arial"/>
                <w:sz w:val="22"/>
                <w:szCs w:val="22"/>
                <w:b w:val="1"/>
                <w:bCs w:val="1"/>
                <w:color w:val="auto"/>
              </w:rPr>
              <w:t>Class</w:t>
            </w:r>
          </w:p>
        </w:tc>
        <w:tc>
          <w:tcPr>
            <w:tcW w:w="1040" w:type="dxa"/>
            <w:vAlign w:val="bottom"/>
          </w:tcPr>
          <w:p>
            <w:pPr>
              <w:ind w:left="120"/>
              <w:spacing w:after="0"/>
              <w:rPr>
                <w:sz w:val="20"/>
                <w:szCs w:val="20"/>
                <w:color w:val="auto"/>
              </w:rPr>
            </w:pPr>
            <w:r>
              <w:rPr>
                <w:rFonts w:ascii="Arial" w:cs="Arial" w:eastAsia="Arial" w:hAnsi="Arial"/>
                <w:sz w:val="22"/>
                <w:szCs w:val="22"/>
                <w:b w:val="1"/>
                <w:bCs w:val="1"/>
                <w:color w:val="auto"/>
                <w:w w:val="94"/>
              </w:rPr>
              <w:t>Acquired</w:t>
            </w:r>
          </w:p>
        </w:tc>
        <w:tc>
          <w:tcPr>
            <w:tcW w:w="1620" w:type="dxa"/>
            <w:vAlign w:val="bottom"/>
          </w:tcPr>
          <w:p>
            <w:pPr>
              <w:ind w:left="360"/>
              <w:spacing w:after="0"/>
              <w:rPr>
                <w:sz w:val="20"/>
                <w:szCs w:val="20"/>
                <w:color w:val="auto"/>
              </w:rPr>
            </w:pPr>
            <w:r>
              <w:rPr>
                <w:rFonts w:ascii="Arial" w:cs="Arial" w:eastAsia="Arial" w:hAnsi="Arial"/>
                <w:sz w:val="22"/>
                <w:szCs w:val="22"/>
                <w:b w:val="1"/>
                <w:bCs w:val="1"/>
                <w:color w:val="auto"/>
              </w:rPr>
              <w:t>Acquisition</w:t>
            </w: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87"/>
              </w:rPr>
              <w:t>Person from</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86"/>
              </w:rPr>
              <w:t>this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ind w:left="220"/>
              <w:spacing w:after="0"/>
              <w:rPr>
                <w:sz w:val="20"/>
                <w:szCs w:val="20"/>
                <w:color w:val="auto"/>
              </w:rPr>
            </w:pPr>
            <w:r>
              <w:rPr>
                <w:rFonts w:ascii="Arial" w:cs="Arial" w:eastAsia="Arial" w:hAnsi="Arial"/>
                <w:sz w:val="22"/>
                <w:szCs w:val="22"/>
                <w:b w:val="1"/>
                <w:bCs w:val="1"/>
                <w:color w:val="auto"/>
                <w:w w:val="95"/>
              </w:rPr>
              <w:t>Securities</w:t>
            </w:r>
          </w:p>
        </w:tc>
        <w:tc>
          <w:tcPr>
            <w:tcW w:w="1240" w:type="dxa"/>
            <w:vAlign w:val="bottom"/>
          </w:tcPr>
          <w:p>
            <w:pPr>
              <w:ind w:left="200"/>
              <w:spacing w:after="0"/>
              <w:rPr>
                <w:sz w:val="20"/>
                <w:szCs w:val="20"/>
                <w:color w:val="auto"/>
              </w:rPr>
            </w:pPr>
            <w:r>
              <w:rPr>
                <w:rFonts w:ascii="Arial" w:cs="Arial" w:eastAsia="Arial" w:hAnsi="Arial"/>
                <w:sz w:val="22"/>
                <w:szCs w:val="22"/>
                <w:b w:val="1"/>
                <w:bCs w:val="1"/>
                <w:color w:val="auto"/>
              </w:rPr>
              <w:t>Payment</w:t>
            </w:r>
          </w:p>
        </w:tc>
        <w:tc>
          <w:tcPr>
            <w:tcW w:w="1520" w:type="dxa"/>
            <w:vAlign w:val="bottom"/>
          </w:tcPr>
          <w:p>
            <w:pPr>
              <w:ind w:left="240"/>
              <w:spacing w:after="0"/>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Arial" w:cs="Arial" w:eastAsia="Arial" w:hAnsi="Arial"/>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Arial" w:cs="Arial" w:eastAsia="Arial" w:hAnsi="Arial"/>
                <w:sz w:val="22"/>
                <w:szCs w:val="22"/>
                <w:b w:val="1"/>
                <w:bCs w:val="1"/>
                <w:color w:val="auto"/>
                <w:w w:val="92"/>
              </w:rPr>
              <w:t>Whom</w:t>
            </w:r>
          </w:p>
        </w:tc>
        <w:tc>
          <w:tcPr>
            <w:tcW w:w="6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ind w:left="240"/>
              <w:spacing w:after="0" w:line="243" w:lineRule="exact"/>
              <w:rPr>
                <w:sz w:val="20"/>
                <w:szCs w:val="20"/>
                <w:color w:val="auto"/>
              </w:rPr>
            </w:pPr>
            <w:r>
              <w:rPr>
                <w:rFonts w:ascii="Arial" w:cs="Arial" w:eastAsia="Arial" w:hAnsi="Arial"/>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Arial" w:cs="Arial" w:eastAsia="Arial" w:hAnsi="Arial"/>
                <w:sz w:val="22"/>
                <w:szCs w:val="22"/>
                <w:b w:val="1"/>
                <w:bCs w:val="1"/>
                <w:color w:val="auto"/>
                <w:w w:val="90"/>
              </w:rPr>
              <w:t>Acquired</w:t>
            </w:r>
          </w:p>
        </w:tc>
        <w:tc>
          <w:tcPr>
            <w:tcW w:w="6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Arial" w:cs="Arial" w:eastAsia="Arial" w:hAnsi="Arial"/>
                <w:sz w:val="22"/>
                <w:szCs w:val="22"/>
                <w:color w:val="auto"/>
                <w:w w:val="96"/>
              </w:rPr>
              <w:t>Shares acquired</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upon vesting of</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restricted stock</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units awarded</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60" w:type="dxa"/>
            <w:vAlign w:val="bottom"/>
            <w:gridSpan w:val="2"/>
            <w:vMerge w:val="restart"/>
          </w:tcPr>
          <w:p>
            <w:pPr>
              <w:ind w:left="60"/>
              <w:spacing w:after="0"/>
              <w:rPr>
                <w:sz w:val="20"/>
                <w:szCs w:val="20"/>
                <w:color w:val="auto"/>
              </w:rPr>
            </w:pPr>
            <w:r>
              <w:rPr>
                <w:rFonts w:ascii="Arial" w:cs="Arial" w:eastAsia="Arial" w:hAnsi="Arial"/>
                <w:sz w:val="22"/>
                <w:szCs w:val="22"/>
                <w:color w:val="auto"/>
              </w:rPr>
              <w:t>11/01/2023 under Issuers</w:t>
            </w:r>
          </w:p>
        </w:tc>
        <w:tc>
          <w:tcPr>
            <w:tcW w:w="154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Arial" w:cs="Arial" w:eastAsia="Arial" w:hAnsi="Arial"/>
                <w:sz w:val="22"/>
                <w:szCs w:val="22"/>
                <w:color w:val="auto"/>
              </w:rPr>
              <w:t>2796</w:t>
            </w:r>
          </w:p>
        </w:tc>
        <w:tc>
          <w:tcPr>
            <w:tcW w:w="2760" w:type="dxa"/>
            <w:vAlign w:val="bottom"/>
            <w:gridSpan w:val="2"/>
            <w:vMerge w:val="restart"/>
          </w:tcPr>
          <w:p>
            <w:pPr>
              <w:ind w:left="100"/>
              <w:spacing w:after="0"/>
              <w:rPr>
                <w:sz w:val="20"/>
                <w:szCs w:val="20"/>
                <w:color w:val="auto"/>
              </w:rPr>
            </w:pPr>
            <w:r>
              <w:rPr>
                <w:rFonts w:ascii="Arial" w:cs="Arial" w:eastAsia="Arial" w:hAnsi="Arial"/>
                <w:sz w:val="22"/>
                <w:szCs w:val="22"/>
                <w:color w:val="auto"/>
                <w:w w:val="87"/>
              </w:rPr>
              <w:t>04/01/2020 Services Rendered</w:t>
            </w:r>
          </w:p>
        </w:tc>
        <w:tc>
          <w:tcPr>
            <w:tcW w:w="0" w:type="dxa"/>
            <w:vAlign w:val="bottom"/>
          </w:tcPr>
          <w:p>
            <w:pPr>
              <w:spacing w:after="0"/>
              <w:rPr>
                <w:sz w:val="1"/>
                <w:szCs w:val="1"/>
                <w:color w:val="auto"/>
              </w:rPr>
            </w:pPr>
          </w:p>
        </w:tc>
      </w:tr>
      <w:tr>
        <w:trPr>
          <w:trHeight w:val="140"/>
        </w:trPr>
        <w:tc>
          <w:tcPr>
            <w:tcW w:w="1420" w:type="dxa"/>
            <w:vAlign w:val="bottom"/>
          </w:tcPr>
          <w:p>
            <w:pPr>
              <w:spacing w:after="0" w:line="139" w:lineRule="exact"/>
              <w:rPr>
                <w:sz w:val="20"/>
                <w:szCs w:val="20"/>
                <w:color w:val="auto"/>
              </w:rPr>
            </w:pPr>
            <w:r>
              <w:rPr>
                <w:rFonts w:ascii="Arial" w:cs="Arial" w:eastAsia="Arial" w:hAnsi="Arial"/>
                <w:sz w:val="16"/>
                <w:szCs w:val="16"/>
                <w:color w:val="auto"/>
              </w:rPr>
              <w:t>Common Stock</w:t>
            </w:r>
          </w:p>
        </w:tc>
        <w:tc>
          <w:tcPr>
            <w:tcW w:w="2660" w:type="dxa"/>
            <w:vAlign w:val="bottom"/>
            <w:gridSpan w:val="2"/>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20" w:type="dxa"/>
            <w:vAlign w:val="bottom"/>
          </w:tcPr>
          <w:p>
            <w:pPr>
              <w:ind w:left="60"/>
              <w:spacing w:after="0" w:line="225" w:lineRule="exact"/>
              <w:rPr>
                <w:sz w:val="20"/>
                <w:szCs w:val="20"/>
                <w:color w:val="auto"/>
              </w:rPr>
            </w:pPr>
            <w:r>
              <w:rPr>
                <w:rFonts w:ascii="Arial" w:cs="Arial" w:eastAsia="Arial" w:hAnsi="Arial"/>
                <w:sz w:val="22"/>
                <w:szCs w:val="22"/>
                <w:color w:val="auto"/>
              </w:rPr>
              <w:t>Amended and</w:t>
            </w:r>
          </w:p>
        </w:tc>
        <w:tc>
          <w:tcPr>
            <w:tcW w:w="1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Restated 2021</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w w:val="98"/>
              </w:rPr>
              <w:t>Incentive Award</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Arial" w:cs="Arial" w:eastAsia="Arial" w:hAnsi="Arial"/>
                <w:sz w:val="22"/>
                <w:szCs w:val="22"/>
                <w:color w:val="auto"/>
              </w:rPr>
              <w:t>Plan</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Arial" w:cs="Arial" w:eastAsia="Arial" w:hAnsi="Arial"/>
                <w:sz w:val="22"/>
                <w:szCs w:val="22"/>
                <w:color w:val="auto"/>
                <w:w w:val="96"/>
              </w:rPr>
              <w:t>Shares acquired</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upon vesting of</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restricted stock</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Arial" w:cs="Arial" w:eastAsia="Arial" w:hAnsi="Arial"/>
                <w:sz w:val="22"/>
                <w:szCs w:val="22"/>
                <w:color w:val="auto"/>
              </w:rPr>
              <w:t>Class A</w:t>
            </w:r>
          </w:p>
        </w:tc>
        <w:tc>
          <w:tcPr>
            <w:tcW w:w="1040" w:type="dxa"/>
            <w:vAlign w:val="bottom"/>
          </w:tcPr>
          <w:p>
            <w:pPr>
              <w:spacing w:after="0"/>
              <w:rPr>
                <w:sz w:val="21"/>
                <w:szCs w:val="21"/>
                <w:color w:val="auto"/>
              </w:rPr>
            </w:pPr>
          </w:p>
        </w:tc>
        <w:tc>
          <w:tcPr>
            <w:tcW w:w="1620" w:type="dxa"/>
            <w:vAlign w:val="bottom"/>
          </w:tcPr>
          <w:p>
            <w:pPr>
              <w:ind w:left="60"/>
              <w:spacing w:after="0" w:line="243" w:lineRule="exact"/>
              <w:rPr>
                <w:sz w:val="20"/>
                <w:szCs w:val="20"/>
                <w:color w:val="auto"/>
              </w:rPr>
            </w:pPr>
            <w:r>
              <w:rPr>
                <w:rFonts w:ascii="Arial" w:cs="Arial" w:eastAsia="Arial" w:hAnsi="Arial"/>
                <w:sz w:val="22"/>
                <w:szCs w:val="22"/>
                <w:color w:val="auto"/>
              </w:rPr>
              <w:t>units awarded</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60" w:type="dxa"/>
            <w:vAlign w:val="bottom"/>
            <w:gridSpan w:val="2"/>
            <w:vMerge w:val="restart"/>
          </w:tcPr>
          <w:p>
            <w:pPr>
              <w:ind w:left="60"/>
              <w:spacing w:after="0"/>
              <w:rPr>
                <w:sz w:val="20"/>
                <w:szCs w:val="20"/>
                <w:color w:val="auto"/>
              </w:rPr>
            </w:pPr>
            <w:r>
              <w:rPr>
                <w:rFonts w:ascii="Arial" w:cs="Arial" w:eastAsia="Arial" w:hAnsi="Arial"/>
                <w:sz w:val="22"/>
                <w:szCs w:val="22"/>
                <w:color w:val="auto"/>
              </w:rPr>
              <w:t>11/01/2023 under Issuers</w:t>
            </w:r>
          </w:p>
        </w:tc>
        <w:tc>
          <w:tcPr>
            <w:tcW w:w="154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Arial" w:cs="Arial" w:eastAsia="Arial" w:hAnsi="Arial"/>
                <w:sz w:val="22"/>
                <w:szCs w:val="22"/>
                <w:color w:val="auto"/>
              </w:rPr>
              <w:t>15535</w:t>
            </w:r>
          </w:p>
        </w:tc>
        <w:tc>
          <w:tcPr>
            <w:tcW w:w="2760" w:type="dxa"/>
            <w:vAlign w:val="bottom"/>
            <w:gridSpan w:val="2"/>
            <w:vMerge w:val="restart"/>
          </w:tcPr>
          <w:p>
            <w:pPr>
              <w:ind w:left="100"/>
              <w:spacing w:after="0"/>
              <w:rPr>
                <w:sz w:val="20"/>
                <w:szCs w:val="20"/>
                <w:color w:val="auto"/>
              </w:rPr>
            </w:pPr>
            <w:r>
              <w:rPr>
                <w:rFonts w:ascii="Arial" w:cs="Arial" w:eastAsia="Arial" w:hAnsi="Arial"/>
                <w:sz w:val="22"/>
                <w:szCs w:val="22"/>
                <w:color w:val="auto"/>
                <w:w w:val="87"/>
              </w:rPr>
              <w:t>07/11/2023 Services Rendered</w:t>
            </w:r>
          </w:p>
        </w:tc>
        <w:tc>
          <w:tcPr>
            <w:tcW w:w="0" w:type="dxa"/>
            <w:vAlign w:val="bottom"/>
          </w:tcPr>
          <w:p>
            <w:pPr>
              <w:spacing w:after="0"/>
              <w:rPr>
                <w:sz w:val="1"/>
                <w:szCs w:val="1"/>
                <w:color w:val="auto"/>
              </w:rPr>
            </w:pPr>
          </w:p>
        </w:tc>
      </w:tr>
      <w:tr>
        <w:trPr>
          <w:trHeight w:val="140"/>
        </w:trPr>
        <w:tc>
          <w:tcPr>
            <w:tcW w:w="1420" w:type="dxa"/>
            <w:vAlign w:val="bottom"/>
          </w:tcPr>
          <w:p>
            <w:pPr>
              <w:spacing w:after="0" w:line="139" w:lineRule="exact"/>
              <w:rPr>
                <w:sz w:val="20"/>
                <w:szCs w:val="20"/>
                <w:color w:val="auto"/>
              </w:rPr>
            </w:pPr>
            <w:r>
              <w:rPr>
                <w:rFonts w:ascii="Arial" w:cs="Arial" w:eastAsia="Arial" w:hAnsi="Arial"/>
                <w:sz w:val="16"/>
                <w:szCs w:val="16"/>
                <w:color w:val="auto"/>
              </w:rPr>
              <w:t>Common Stock</w:t>
            </w:r>
          </w:p>
        </w:tc>
        <w:tc>
          <w:tcPr>
            <w:tcW w:w="2660" w:type="dxa"/>
            <w:vAlign w:val="bottom"/>
            <w:gridSpan w:val="2"/>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-1565910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-142875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Arial" w:cs="Arial" w:eastAsia="Arial" w:hAnsi="Arial"/>
          <w:sz w:val="22"/>
          <w:szCs w:val="22"/>
          <w:color w:val="auto"/>
        </w:rPr>
        <w:t>Amended and</w:t>
      </w:r>
    </w:p>
    <w:p>
      <w:pPr>
        <w:ind w:left="2560"/>
        <w:spacing w:after="0" w:line="231" w:lineRule="auto"/>
        <w:rPr>
          <w:sz w:val="20"/>
          <w:szCs w:val="20"/>
          <w:color w:val="auto"/>
        </w:rPr>
      </w:pPr>
      <w:r>
        <w:rPr>
          <w:rFonts w:ascii="Arial" w:cs="Arial" w:eastAsia="Arial" w:hAnsi="Arial"/>
          <w:sz w:val="22"/>
          <w:szCs w:val="22"/>
          <w:color w:val="auto"/>
        </w:rPr>
        <w:t>Restated 2021</w:t>
      </w:r>
    </w:p>
    <w:p>
      <w:pPr>
        <w:ind w:left="2560"/>
        <w:spacing w:after="0" w:line="230" w:lineRule="auto"/>
        <w:rPr>
          <w:sz w:val="20"/>
          <w:szCs w:val="20"/>
          <w:color w:val="auto"/>
        </w:rPr>
      </w:pPr>
      <w:r>
        <w:rPr>
          <w:rFonts w:ascii="Arial" w:cs="Arial" w:eastAsia="Arial" w:hAnsi="Arial"/>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Plan</w:t>
      </w:r>
    </w:p>
    <w:p>
      <w:pPr>
        <w:spacing w:after="0" w:line="2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gridSpan w:val="3"/>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960" w:type="dxa"/>
            <w:vAlign w:val="bottom"/>
          </w:tcPr>
          <w:p>
            <w:pPr>
              <w:spacing w:after="0"/>
              <w:rPr>
                <w:sz w:val="20"/>
                <w:szCs w:val="20"/>
                <w:color w:val="auto"/>
              </w:rPr>
            </w:pPr>
            <w:r>
              <w:rPr>
                <w:rFonts w:ascii="Arial" w:cs="Arial" w:eastAsia="Arial" w:hAnsi="Arial"/>
                <w:sz w:val="22"/>
                <w:szCs w:val="22"/>
                <w:color w:val="auto"/>
                <w:w w:val="86"/>
              </w:rPr>
              <w:t>Sarah Tam</w:t>
            </w:r>
          </w:p>
        </w:tc>
        <w:tc>
          <w:tcPr>
            <w:tcW w:w="4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line="243" w:lineRule="exact"/>
              <w:rPr>
                <w:sz w:val="20"/>
                <w:szCs w:val="20"/>
                <w:color w:val="auto"/>
              </w:rPr>
            </w:pPr>
            <w:r>
              <w:rPr>
                <w:rFonts w:ascii="Arial" w:cs="Arial" w:eastAsia="Arial" w:hAnsi="Arial"/>
                <w:sz w:val="22"/>
                <w:szCs w:val="22"/>
                <w:color w:val="auto"/>
              </w:rPr>
              <w:t>10 Jay St</w:t>
            </w: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08/02/2023 1190</w:t>
            </w:r>
          </w:p>
        </w:tc>
        <w:tc>
          <w:tcPr>
            <w:tcW w:w="1580" w:type="dxa"/>
            <w:vAlign w:val="bottom"/>
            <w:vMerge w:val="restart"/>
          </w:tcPr>
          <w:p>
            <w:pPr>
              <w:jc w:val="right"/>
              <w:ind w:right="672"/>
              <w:spacing w:after="0"/>
              <w:rPr>
                <w:sz w:val="20"/>
                <w:szCs w:val="20"/>
                <w:color w:val="auto"/>
              </w:rPr>
            </w:pPr>
            <w:r>
              <w:rPr>
                <w:rFonts w:ascii="Arial" w:cs="Arial" w:eastAsia="Arial" w:hAnsi="Arial"/>
                <w:sz w:val="22"/>
                <w:szCs w:val="22"/>
                <w:color w:val="auto"/>
                <w:w w:val="98"/>
              </w:rPr>
              <w:t>1980.04</w:t>
            </w:r>
          </w:p>
        </w:tc>
        <w:tc>
          <w:tcPr>
            <w:tcW w:w="0" w:type="dxa"/>
            <w:vAlign w:val="bottom"/>
          </w:tcPr>
          <w:p>
            <w:pPr>
              <w:spacing w:after="0"/>
              <w:rPr>
                <w:sz w:val="1"/>
                <w:szCs w:val="1"/>
                <w:color w:val="auto"/>
              </w:rPr>
            </w:pPr>
          </w:p>
        </w:tc>
      </w:tr>
      <w:tr>
        <w:trPr>
          <w:trHeight w:val="153"/>
        </w:trPr>
        <w:tc>
          <w:tcPr>
            <w:tcW w:w="96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4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60" w:type="dxa"/>
            <w:vAlign w:val="bottom"/>
          </w:tcPr>
          <w:p>
            <w:pPr>
              <w:spacing w:after="0"/>
              <w:rPr>
                <w:sz w:val="20"/>
                <w:szCs w:val="20"/>
                <w:color w:val="auto"/>
              </w:rPr>
            </w:pPr>
            <w:r>
              <w:rPr>
                <w:rFonts w:ascii="Arial" w:cs="Arial" w:eastAsia="Arial" w:hAnsi="Arial"/>
                <w:sz w:val="22"/>
                <w:szCs w:val="22"/>
                <w:color w:val="auto"/>
              </w:rPr>
              <w:t>Brooklyn</w:t>
            </w:r>
          </w:p>
        </w:tc>
        <w:tc>
          <w:tcPr>
            <w:tcW w:w="420" w:type="dxa"/>
            <w:vAlign w:val="bottom"/>
          </w:tcPr>
          <w:p>
            <w:pPr>
              <w:ind w:left="2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32"/>
              <w:spacing w:after="0"/>
              <w:rPr>
                <w:sz w:val="20"/>
                <w:szCs w:val="20"/>
                <w:color w:val="auto"/>
              </w:rPr>
            </w:pPr>
            <w:r>
              <w:rPr>
                <w:rFonts w:ascii="Arial" w:cs="Arial" w:eastAsia="Arial" w:hAnsi="Arial"/>
                <w:sz w:val="22"/>
                <w:szCs w:val="22"/>
                <w:color w:val="auto"/>
                <w:w w:val="98"/>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960" w:type="dxa"/>
            <w:vAlign w:val="bottom"/>
          </w:tcPr>
          <w:p>
            <w:pPr>
              <w:spacing w:after="0"/>
              <w:rPr>
                <w:sz w:val="20"/>
                <w:szCs w:val="20"/>
                <w:color w:val="auto"/>
              </w:rPr>
            </w:pPr>
            <w:r>
              <w:rPr>
                <w:rFonts w:ascii="Arial" w:cs="Arial" w:eastAsia="Arial" w:hAnsi="Arial"/>
                <w:sz w:val="22"/>
                <w:szCs w:val="22"/>
                <w:color w:val="auto"/>
                <w:w w:val="86"/>
              </w:rPr>
              <w:t>Sarah Tam</w:t>
            </w:r>
          </w:p>
        </w:tc>
        <w:tc>
          <w:tcPr>
            <w:tcW w:w="4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60" w:type="dxa"/>
            <w:vAlign w:val="bottom"/>
          </w:tcPr>
          <w:p>
            <w:pPr>
              <w:spacing w:after="0" w:line="243" w:lineRule="exact"/>
              <w:rPr>
                <w:sz w:val="20"/>
                <w:szCs w:val="20"/>
                <w:color w:val="auto"/>
              </w:rPr>
            </w:pPr>
            <w:r>
              <w:rPr>
                <w:rFonts w:ascii="Arial" w:cs="Arial" w:eastAsia="Arial" w:hAnsi="Arial"/>
                <w:sz w:val="22"/>
                <w:szCs w:val="22"/>
                <w:color w:val="auto"/>
              </w:rPr>
              <w:t>10 Jay St</w:t>
            </w:r>
          </w:p>
        </w:tc>
        <w:tc>
          <w:tcPr>
            <w:tcW w:w="4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09/18/2023 10613</w:t>
            </w:r>
          </w:p>
        </w:tc>
        <w:tc>
          <w:tcPr>
            <w:tcW w:w="1580" w:type="dxa"/>
            <w:vAlign w:val="bottom"/>
            <w:vMerge w:val="restart"/>
          </w:tcPr>
          <w:p>
            <w:pPr>
              <w:jc w:val="right"/>
              <w:ind w:right="672"/>
              <w:spacing w:after="0"/>
              <w:rPr>
                <w:sz w:val="20"/>
                <w:szCs w:val="20"/>
                <w:color w:val="auto"/>
              </w:rPr>
            </w:pPr>
            <w:r>
              <w:rPr>
                <w:rFonts w:ascii="Arial" w:cs="Arial" w:eastAsia="Arial" w:hAnsi="Arial"/>
                <w:sz w:val="22"/>
                <w:szCs w:val="22"/>
                <w:color w:val="auto"/>
                <w:w w:val="98"/>
              </w:rPr>
              <w:t>8742.99</w:t>
            </w:r>
          </w:p>
        </w:tc>
        <w:tc>
          <w:tcPr>
            <w:tcW w:w="0" w:type="dxa"/>
            <w:vAlign w:val="bottom"/>
          </w:tcPr>
          <w:p>
            <w:pPr>
              <w:spacing w:after="0"/>
              <w:rPr>
                <w:sz w:val="1"/>
                <w:szCs w:val="1"/>
                <w:color w:val="auto"/>
              </w:rPr>
            </w:pPr>
          </w:p>
        </w:tc>
      </w:tr>
      <w:tr>
        <w:trPr>
          <w:trHeight w:val="153"/>
        </w:trPr>
        <w:tc>
          <w:tcPr>
            <w:tcW w:w="960" w:type="dxa"/>
            <w:vAlign w:val="bottom"/>
            <w:vMerge w:val="restart"/>
          </w:tcPr>
          <w:p>
            <w:pPr>
              <w:spacing w:after="0" w:line="243" w:lineRule="exact"/>
              <w:rPr>
                <w:sz w:val="20"/>
                <w:szCs w:val="20"/>
                <w:color w:val="auto"/>
              </w:rPr>
            </w:pPr>
            <w:r>
              <w:rPr>
                <w:rFonts w:ascii="Arial" w:cs="Arial" w:eastAsia="Arial" w:hAnsi="Arial"/>
                <w:sz w:val="22"/>
                <w:szCs w:val="22"/>
                <w:color w:val="auto"/>
              </w:rPr>
              <w:t>Suite 900</w:t>
            </w:r>
          </w:p>
        </w:tc>
        <w:tc>
          <w:tcPr>
            <w:tcW w:w="4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60" w:type="dxa"/>
            <w:vAlign w:val="bottom"/>
          </w:tcPr>
          <w:p>
            <w:pPr>
              <w:spacing w:after="0"/>
              <w:rPr>
                <w:sz w:val="20"/>
                <w:szCs w:val="20"/>
                <w:color w:val="auto"/>
              </w:rPr>
            </w:pPr>
            <w:r>
              <w:rPr>
                <w:rFonts w:ascii="Arial" w:cs="Arial" w:eastAsia="Arial" w:hAnsi="Arial"/>
                <w:sz w:val="22"/>
                <w:szCs w:val="22"/>
                <w:color w:val="auto"/>
              </w:rPr>
              <w:t>Brooklyn</w:t>
            </w:r>
          </w:p>
        </w:tc>
        <w:tc>
          <w:tcPr>
            <w:tcW w:w="420" w:type="dxa"/>
            <w:vAlign w:val="bottom"/>
          </w:tcPr>
          <w:p>
            <w:pPr>
              <w:ind w:left="2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32"/>
              <w:spacing w:after="0"/>
              <w:rPr>
                <w:sz w:val="20"/>
                <w:szCs w:val="20"/>
                <w:color w:val="auto"/>
              </w:rPr>
            </w:pPr>
            <w:r>
              <w:rPr>
                <w:rFonts w:ascii="Arial" w:cs="Arial" w:eastAsia="Arial" w:hAnsi="Arial"/>
                <w:sz w:val="22"/>
                <w:szCs w:val="22"/>
                <w:color w:val="auto"/>
                <w:w w:val="98"/>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02" w:right="339" w:bottom="0" w:gutter="0" w:footer="0" w:header="0"/>
        </w:sect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440"/>
        <w:spacing w:after="0" w:line="296" w:lineRule="auto"/>
        <w:rPr>
          <w:sz w:val="20"/>
          <w:szCs w:val="20"/>
          <w:color w:val="auto"/>
        </w:rPr>
      </w:pPr>
      <w:r>
        <w:rPr>
          <w:rFonts w:ascii="Arial" w:cs="Arial" w:eastAsia="Arial" w:hAnsi="Arial"/>
          <w:sz w:val="19"/>
          <w:szCs w:val="19"/>
          <w:color w:val="auto"/>
        </w:rPr>
        <w:t>Shares to be sold to cover withholding taxes upon vesting of restricted stock unit awards pursuant to standing Rule 10b5-1 sell to cover instruction.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11/01/2023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12/21/2021</w:t>
      </w:r>
    </w:p>
    <w:p>
      <w:pPr>
        <w:spacing w:after="0" w:line="618" w:lineRule="exact"/>
        <w:rPr>
          <w:sz w:val="20"/>
          <w:szCs w:val="20"/>
          <w:color w:val="auto"/>
        </w:rPr>
      </w:pPr>
    </w:p>
    <w:p>
      <w:pPr>
        <w:sectPr>
          <w:pgSz w:w="11900" w:h="16838" w:orient="portrait"/>
          <w:cols w:equalWidth="0" w:num="2">
            <w:col w:w="3380" w:space="440"/>
            <w:col w:w="7420"/>
          </w:cols>
          <w:pgMar w:left="320" w:top="102" w:right="339" w:bottom="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38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Sarah Tam</w:t>
      </w:r>
    </w:p>
    <w:p>
      <w:pPr>
        <w:sectPr>
          <w:pgSz w:w="11900" w:h="16838" w:orient="portrait"/>
          <w:cols w:equalWidth="0" w:num="1">
            <w:col w:w="11240"/>
          </w:cols>
          <w:pgMar w:left="320" w:top="102" w:right="339" w:bottom="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102"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2023-11-01T08:08:14Z</dcterms:created>
  <dcterms:modified xsi:type="dcterms:W3CDTF">2023-11-01T08:08:14Z</dcterms:modified>
</cp:coreProperties>
</file>