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62551931.xml.htm"/>
      <w:bookmarkStart w:id="1" w:name="kswkform3_176255193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Giangiacomo Damian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10/28/2025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Rent the Runway, Inc.</w:t>
              </w:r>
            </w:hyperlink>
            <w:r>
              <w:rPr/>
              <w:t xml:space="preserve"> [ </w:t>
            </w:r>
            <w:r>
              <w:rPr>
                <w:rFonts w:ascii="Times;serif" w:hAnsi="Times;serif"/>
                <w:color w:val="0000FF"/>
                <w:sz w:val="24"/>
                <w:shd w:fill="FFFFFF" w:val="clear"/>
              </w:rPr>
              <w:t>RENT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4,274,394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Directly held by Gateway Runway, LLC (''Gateway Runway''). Gateway Runway is jointly owned by Gateway Runway Intermediate Holdings, Inc. (''Gateway Runway Intermediate'') and Nexus Special Situations III, L.P. (''Nexus SS III''). Nexus Special Situations III (Cayman) L.P. (''Nexus SS III Cayman'') is the limited partner Nexus SS III. Nexus Capital Management LP (''Nexus Capital Management'') is the investment manager of Nexus SS III and Nexus SS III Cayman. Nexus Special Situations GP III, L.P. (''Nexus SS GP III'') is the general partner of Nexus SS III and Nexus SS III Cayman. Nexus Partners III, LLC (''Nexus Partners'') is the general partner of Nexus SS GP III. Damian Giangiacomo is an owner of Nexus Capital Management and Nexus Partners.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of Gateway Runway Intermediate, Nexus SS III, Nexus SS III Cayman, Nexus SS GP IIII, Nexus Partners, Nexus Capital Management, and Mr. Giangiacomo disclaims, for purposes of Section 16 of the Securities Exchange Act of 1934, beneficial ownership of such securities, except to the extent of its/his indirect pecuniary interest therein, and this report shall not be deemed an admission that any such entity or person is the beneficial owner of such securities for purposes of Section 16 or for any other purposes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Damian Giangiacomo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24.1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16 AND FORM 144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With respect to holdings of and transactions in securities issued by Rent the Runway, Inc.</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the undersigned hereby constitutes and appoints the individuals named on </w:t>
      </w:r>
      <w:r>
        <w:rPr>
          <w:rFonts w:ascii="Times New Roman;serif" w:hAnsi="Times New Roman;serif"/>
          <w:b/>
          <w:color w:val="000000"/>
          <w:sz w:val="24"/>
          <w:u w:val="single"/>
        </w:rPr>
        <w:t>Schedule A</w:t>
      </w:r>
      <w:r>
        <w:rPr>
          <w:color w:val="000000"/>
        </w:rPr>
        <w:t xml:space="preserve"> </w:t>
      </w:r>
      <w:r>
        <w:rPr>
          <w:rFonts w:ascii="Times New Roman;serif" w:hAnsi="Times New Roman;serif"/>
          <w:b w:val="false"/>
          <w:color w:val="000000"/>
          <w:sz w:val="24"/>
        </w:rPr>
        <w:t>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1.execute for and on behalf of the undersigned, Schedules 13D and 13G in accordance with Section 13 of the Securities Exchange Act of 1934, as amended (the “</w:t>
      </w:r>
      <w:r>
        <w:rPr>
          <w:rFonts w:ascii="Times New Roman;serif" w:hAnsi="Times New Roman;serif"/>
          <w:b/>
          <w:i/>
          <w:color w:val="000000"/>
          <w:sz w:val="24"/>
        </w:rPr>
        <w:t>Exchange Act</w:t>
      </w:r>
      <w:r>
        <w:rPr>
          <w:color w:val="000000"/>
        </w:rPr>
        <w:t>”</w:t>
      </w:r>
      <w:r>
        <w:rPr>
          <w:rFonts w:ascii="Times New Roman;serif" w:hAnsi="Times New Roman;serif"/>
          <w:b w:val="false"/>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serif" w:hAnsi="Times New Roman;serif"/>
          <w:b/>
          <w:i/>
          <w:color w:val="000000"/>
          <w:sz w:val="24"/>
        </w:rPr>
        <w:t>Form 144”</w:t>
      </w:r>
      <w:r>
        <w:rPr>
          <w:rFonts w:ascii="Times New Roman;serif" w:hAnsi="Times New Roman;serif"/>
          <w:b w:val="false"/>
          <w:color w:val="000000"/>
          <w:sz w:val="22"/>
        </w:rPr>
        <w:t>), in accordance with the requirements of Rule 144 under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2.obtain and maintain credentials, including through the submission of any Form ID, amended Form ID or passphrase update application,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serif" w:hAnsi="Times New Roman;serif"/>
          <w:b/>
          <w:i/>
          <w:color w:val="000000"/>
          <w:sz w:val="24"/>
        </w:rPr>
        <w:t>EDGAR</w:t>
      </w:r>
      <w:r>
        <w:rPr>
          <w:color w:val="000000"/>
        </w:rPr>
        <w:t>”</w:t>
      </w:r>
      <w:r>
        <w:rPr>
          <w:rFonts w:ascii="Times New Roman;serif" w:hAnsi="Times New Roman;serif"/>
          <w:b w:val="false"/>
          <w:color w:val="000000"/>
          <w:sz w:val="22"/>
        </w:rPr>
        <w:t>) system or successor EDGAR Next, including identification codes, verification codes, passwords and password management codes, and any related annual certifications or confirmations, and to act as the undersigned’s agent for such purposes;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3.do and perform any and all acts for and on behalf of the undersigned which may be necessary or desirable to complete and execute any such Schedule 13D, Schedule 13G, Form 3, Form 4, Form 5, and Form 144, complete and execute any amendment or amendments thereto, timely file such Schedule 13D, Schedule 13G, Form 3, Form 4, Form 5, and Form 144, as applicable, and any amendment thereto, with the United States Securities and Exchange Commission and any stock exchange or similar authority, and take any other action of any type whatsoever in connection with the foregoing which, in the opinion of any such attorney-in-fact, may be of benefit to, in the best interest of, or legally required by, the undersigned.</w:t>
      </w:r>
    </w:p>
    <w:p>
      <w:pPr>
        <w:pStyle w:val="TextBody"/>
        <w:bidi w:val="0"/>
        <w:spacing w:before="0" w:after="0"/>
        <w:jc w:val="left"/>
        <w:rPr/>
      </w:pPr>
      <w:r>
        <w:rPr/>
      </w:r>
    </w:p>
    <w:p>
      <w:pPr>
        <w:pStyle w:val="TextBody"/>
        <w:bidi w:val="0"/>
        <w:spacing w:lineRule="auto" w:line="268" w:before="0" w:after="0"/>
        <w:ind w:left="0" w:right="0" w:hanging="2"/>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jc w:val="left"/>
        <w:rPr/>
      </w:pPr>
      <w:r>
        <w:rPr/>
      </w:r>
    </w:p>
    <w:p>
      <w:pPr>
        <w:pStyle w:val="TextBody"/>
        <w:bidi w:val="0"/>
        <w:spacing w:lineRule="auto" w:line="268" w:before="0" w:after="0"/>
        <w:ind w:left="0" w:right="0" w:hanging="2"/>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spacing w:before="0" w:after="0"/>
        <w:jc w:val="left"/>
        <w:rPr/>
      </w:pPr>
      <w:r>
        <w:rPr/>
      </w:r>
    </w:p>
    <w:p>
      <w:pPr>
        <w:pStyle w:val="TextBody"/>
        <w:bidi w:val="0"/>
        <w:spacing w:lineRule="auto" w:line="268"/>
        <w:ind w:left="0" w:right="0" w:hanging="2"/>
        <w:jc w:val="both"/>
        <w:rPr>
          <w:rFonts w:ascii="Times New Roman;serif" w:hAnsi="Times New Roman;serif"/>
          <w:b w:val="false"/>
          <w:color w:val="000000"/>
          <w:sz w:val="22"/>
        </w:rPr>
      </w:pPr>
      <w:r>
        <w:rPr>
          <w:rFonts w:ascii="Times New Roman;serif" w:hAnsi="Times New Roman;serif"/>
          <w:b w:val="false"/>
          <w:color w:val="000000"/>
          <w:sz w:val="22"/>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23rd day of October, 2025.</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/s/ Damian J. Giangiacomo</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Damian J. Giangiacomo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INDIVIDUALS APPOINTED AS ATTORNEY-IN-FACT,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WITH FULL POWER OF SUBSTITUTION AND RESUBSTITUTION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Cara Schembri, Chief Legal &amp; Administrative Officer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3303" TargetMode="External"/><Relationship Id="rId3" Type="http://schemas.openxmlformats.org/officeDocument/2006/relationships/hyperlink" Target="http://www.sec.gov/cgi-bin/browse-edgar?action=getcompany&amp;CIK=00014683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1243</Words>
  <Characters>6644</Characters>
  <CharactersWithSpaces>7833</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