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46990</wp:posOffset>
            </wp:positionV>
            <wp:extent cx="2434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75565</wp:posOffset>
            </wp:positionV>
            <wp:extent cx="2434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74"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62230</wp:posOffset>
            </wp:positionV>
            <wp:extent cx="2434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Rent the Runway,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2353945</wp:posOffset>
            </wp:positionH>
            <wp:positionV relativeFrom="paragraph">
              <wp:posOffset>47625</wp:posOffset>
            </wp:positionV>
            <wp:extent cx="2434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80"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1840" w:type="dxa"/>
            <w:vAlign w:val="bottom"/>
          </w:tcPr>
          <w:p>
            <w:pPr>
              <w:jc w:val="center"/>
              <w:ind w:right="122"/>
              <w:spacing w:after="0"/>
              <w:rPr>
                <w:sz w:val="20"/>
                <w:szCs w:val="20"/>
                <w:color w:val="auto"/>
              </w:rPr>
            </w:pPr>
            <w:r>
              <w:rPr>
                <w:rFonts w:ascii="Arial" w:cs="Arial" w:eastAsia="Arial" w:hAnsi="Arial"/>
                <w:sz w:val="18"/>
                <w:szCs w:val="18"/>
                <w:b w:val="1"/>
                <w:bCs w:val="1"/>
                <w:color w:val="auto"/>
                <w:w w:val="91"/>
              </w:rPr>
              <w:t>Delaware</w:t>
            </w:r>
          </w:p>
        </w:tc>
        <w:tc>
          <w:tcPr>
            <w:tcW w:w="470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90"/>
              </w:rPr>
              <w:t>001-40958</w:t>
            </w:r>
          </w:p>
        </w:tc>
        <w:tc>
          <w:tcPr>
            <w:tcW w:w="920" w:type="dxa"/>
            <w:vAlign w:val="bottom"/>
          </w:tcPr>
          <w:p>
            <w:pPr>
              <w:spacing w:after="0"/>
              <w:rPr>
                <w:sz w:val="20"/>
                <w:szCs w:val="20"/>
                <w:color w:val="auto"/>
              </w:rPr>
            </w:pPr>
          </w:p>
        </w:tc>
        <w:tc>
          <w:tcPr>
            <w:tcW w:w="1660" w:type="dxa"/>
            <w:vAlign w:val="bottom"/>
          </w:tcPr>
          <w:p>
            <w:pPr>
              <w:jc w:val="center"/>
              <w:ind w:left="142"/>
              <w:spacing w:after="0"/>
              <w:rPr>
                <w:sz w:val="20"/>
                <w:szCs w:val="20"/>
                <w:color w:val="auto"/>
              </w:rPr>
            </w:pPr>
            <w:r>
              <w:rPr>
                <w:rFonts w:ascii="Arial" w:cs="Arial" w:eastAsia="Arial" w:hAnsi="Arial"/>
                <w:sz w:val="18"/>
                <w:szCs w:val="18"/>
                <w:b w:val="1"/>
                <w:bCs w:val="1"/>
                <w:color w:val="auto"/>
                <w:w w:val="91"/>
              </w:rPr>
              <w:t>80-0376379</w:t>
            </w:r>
          </w:p>
        </w:tc>
      </w:tr>
      <w:tr>
        <w:trPr>
          <w:trHeight w:val="180"/>
        </w:trPr>
        <w:tc>
          <w:tcPr>
            <w:tcW w:w="1840" w:type="dxa"/>
            <w:vAlign w:val="bottom"/>
          </w:tcPr>
          <w:p>
            <w:pPr>
              <w:jc w:val="center"/>
              <w:ind w:right="122"/>
              <w:spacing w:after="0"/>
              <w:rPr>
                <w:sz w:val="20"/>
                <w:szCs w:val="20"/>
                <w:color w:val="auto"/>
              </w:rPr>
            </w:pPr>
            <w:r>
              <w:rPr>
                <w:rFonts w:ascii="Arial" w:cs="Arial" w:eastAsia="Arial" w:hAnsi="Arial"/>
                <w:sz w:val="14"/>
                <w:szCs w:val="14"/>
                <w:b w:val="1"/>
                <w:bCs w:val="1"/>
                <w:color w:val="auto"/>
                <w:w w:val="93"/>
              </w:rPr>
              <w:t>(State or other jurisdiction</w:t>
            </w:r>
          </w:p>
        </w:tc>
        <w:tc>
          <w:tcPr>
            <w:tcW w:w="860" w:type="dxa"/>
            <w:vAlign w:val="bottom"/>
          </w:tcPr>
          <w:p>
            <w:pPr>
              <w:spacing w:after="0"/>
              <w:rPr>
                <w:sz w:val="15"/>
                <w:szCs w:val="15"/>
                <w:color w:val="auto"/>
              </w:rPr>
            </w:pPr>
          </w:p>
        </w:tc>
        <w:tc>
          <w:tcPr>
            <w:tcW w:w="4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(Commission</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of incorporation)</w:t>
            </w:r>
          </w:p>
        </w:tc>
        <w:tc>
          <w:tcPr>
            <w:tcW w:w="860" w:type="dxa"/>
            <w:vAlign w:val="bottom"/>
          </w:tcPr>
          <w:p>
            <w:pPr>
              <w:spacing w:after="0"/>
              <w:rPr>
                <w:sz w:val="16"/>
                <w:szCs w:val="16"/>
                <w:color w:val="auto"/>
              </w:rPr>
            </w:pPr>
          </w:p>
        </w:tc>
        <w:tc>
          <w:tcPr>
            <w:tcW w:w="476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5"/>
              </w:rPr>
              <w:t>File Number)</w:t>
            </w:r>
          </w:p>
        </w:tc>
        <w:tc>
          <w:tcPr>
            <w:tcW w:w="1660" w:type="dxa"/>
            <w:vAlign w:val="bottom"/>
          </w:tcPr>
          <w:p>
            <w:pPr>
              <w:jc w:val="center"/>
              <w:ind w:left="162"/>
              <w:spacing w:after="0"/>
              <w:rPr>
                <w:sz w:val="20"/>
                <w:szCs w:val="20"/>
                <w:color w:val="auto"/>
              </w:rPr>
            </w:pPr>
            <w:r>
              <w:rPr>
                <w:rFonts w:ascii="Arial" w:cs="Arial" w:eastAsia="Arial" w:hAnsi="Arial"/>
                <w:sz w:val="14"/>
                <w:szCs w:val="14"/>
                <w:b w:val="1"/>
                <w:bCs w:val="1"/>
                <w:color w:val="auto"/>
                <w:w w:val="95"/>
              </w:rPr>
              <w:t>Identification Number)</w:t>
            </w:r>
          </w:p>
        </w:tc>
      </w:tr>
      <w:tr>
        <w:trPr>
          <w:trHeight w:val="439"/>
        </w:trPr>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Rent the Runway, Inc.</w:t>
            </w:r>
          </w:p>
        </w:tc>
        <w:tc>
          <w:tcPr>
            <w:tcW w:w="1660" w:type="dxa"/>
            <w:vAlign w:val="bottom"/>
          </w:tcPr>
          <w:p>
            <w:pPr>
              <w:spacing w:after="0"/>
              <w:rPr>
                <w:sz w:val="24"/>
                <w:szCs w:val="24"/>
                <w:color w:val="auto"/>
              </w:rPr>
            </w:pPr>
          </w:p>
        </w:tc>
      </w:tr>
      <w:tr>
        <w:trPr>
          <w:trHeight w:val="202"/>
        </w:trPr>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760" w:type="dxa"/>
            <w:vAlign w:val="bottom"/>
            <w:gridSpan w:val="2"/>
          </w:tcPr>
          <w:p>
            <w:pPr>
              <w:jc w:val="center"/>
              <w:ind w:right="920"/>
              <w:spacing w:after="0" w:line="202" w:lineRule="exact"/>
              <w:rPr>
                <w:sz w:val="20"/>
                <w:szCs w:val="20"/>
                <w:color w:val="auto"/>
              </w:rPr>
            </w:pPr>
            <w:r>
              <w:rPr>
                <w:rFonts w:ascii="Arial" w:cs="Arial" w:eastAsia="Arial" w:hAnsi="Arial"/>
                <w:sz w:val="18"/>
                <w:szCs w:val="18"/>
                <w:b w:val="1"/>
                <w:bCs w:val="1"/>
                <w:color w:val="auto"/>
                <w:w w:val="89"/>
              </w:rPr>
              <w:t>10 Jay Street</w:t>
            </w:r>
          </w:p>
        </w:tc>
        <w:tc>
          <w:tcPr>
            <w:tcW w:w="1660" w:type="dxa"/>
            <w:vAlign w:val="bottom"/>
          </w:tcPr>
          <w:p>
            <w:pPr>
              <w:spacing w:after="0"/>
              <w:rPr>
                <w:sz w:val="17"/>
                <w:szCs w:val="17"/>
                <w:color w:val="auto"/>
              </w:rPr>
            </w:pPr>
          </w:p>
        </w:tc>
      </w:tr>
      <w:tr>
        <w:trPr>
          <w:trHeight w:val="198"/>
        </w:trPr>
        <w:tc>
          <w:tcPr>
            <w:tcW w:w="1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760" w:type="dxa"/>
            <w:vAlign w:val="bottom"/>
            <w:gridSpan w:val="2"/>
          </w:tcPr>
          <w:p>
            <w:pPr>
              <w:jc w:val="center"/>
              <w:ind w:right="920"/>
              <w:spacing w:after="0" w:line="198" w:lineRule="exact"/>
              <w:rPr>
                <w:sz w:val="20"/>
                <w:szCs w:val="20"/>
                <w:color w:val="auto"/>
              </w:rPr>
            </w:pPr>
            <w:r>
              <w:rPr>
                <w:rFonts w:ascii="Arial" w:cs="Arial" w:eastAsia="Arial" w:hAnsi="Arial"/>
                <w:sz w:val="18"/>
                <w:szCs w:val="18"/>
                <w:b w:val="1"/>
                <w:bCs w:val="1"/>
                <w:color w:val="auto"/>
                <w:w w:val="90"/>
              </w:rPr>
              <w:t>Brooklyn, New York 11201</w:t>
            </w:r>
          </w:p>
        </w:tc>
        <w:tc>
          <w:tcPr>
            <w:tcW w:w="1660" w:type="dxa"/>
            <w:vAlign w:val="bottom"/>
          </w:tcPr>
          <w:p>
            <w:pPr>
              <w:spacing w:after="0"/>
              <w:rPr>
                <w:sz w:val="17"/>
                <w:szCs w:val="17"/>
                <w:color w:val="auto"/>
              </w:rPr>
            </w:pPr>
          </w:p>
        </w:tc>
      </w:tr>
      <w:tr>
        <w:trPr>
          <w:trHeight w:val="186"/>
        </w:trPr>
        <w:tc>
          <w:tcPr>
            <w:tcW w:w="18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7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660" w:type="dxa"/>
            <w:vAlign w:val="bottom"/>
          </w:tcPr>
          <w:p>
            <w:pPr>
              <w:spacing w:after="0"/>
              <w:rPr>
                <w:sz w:val="16"/>
                <w:szCs w:val="16"/>
                <w:color w:val="auto"/>
              </w:rPr>
            </w:pPr>
          </w:p>
        </w:tc>
      </w:tr>
      <w:tr>
        <w:trPr>
          <w:trHeight w:val="336"/>
        </w:trPr>
        <w:tc>
          <w:tcPr>
            <w:tcW w:w="1840" w:type="dxa"/>
            <w:vAlign w:val="bottom"/>
          </w:tcPr>
          <w:p>
            <w:pPr>
              <w:spacing w:after="0"/>
              <w:rPr>
                <w:sz w:val="24"/>
                <w:szCs w:val="24"/>
                <w:color w:val="auto"/>
              </w:rPr>
            </w:pPr>
          </w:p>
        </w:tc>
        <w:tc>
          <w:tcPr>
            <w:tcW w:w="56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Registrant’s telephone number, including area code: (212) 524-6860</w:t>
            </w:r>
          </w:p>
        </w:tc>
        <w:tc>
          <w:tcPr>
            <w:tcW w:w="1660" w:type="dxa"/>
            <w:vAlign w:val="bottom"/>
          </w:tcPr>
          <w:p>
            <w:pPr>
              <w:spacing w:after="0"/>
              <w:rPr>
                <w:sz w:val="24"/>
                <w:szCs w:val="24"/>
                <w:color w:val="auto"/>
              </w:rPr>
            </w:pPr>
          </w:p>
        </w:tc>
      </w:tr>
      <w:tr>
        <w:trPr>
          <w:trHeight w:val="427"/>
        </w:trPr>
        <w:tc>
          <w:tcPr>
            <w:tcW w:w="1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rPr>
              <w:t>N/A</w:t>
            </w:r>
          </w:p>
        </w:tc>
        <w:tc>
          <w:tcPr>
            <w:tcW w:w="1660" w:type="dxa"/>
            <w:vAlign w:val="bottom"/>
          </w:tcPr>
          <w:p>
            <w:pPr>
              <w:spacing w:after="0"/>
              <w:rPr>
                <w:sz w:val="24"/>
                <w:szCs w:val="24"/>
                <w:color w:val="auto"/>
              </w:rPr>
            </w:pPr>
          </w:p>
        </w:tc>
      </w:tr>
      <w:tr>
        <w:trPr>
          <w:trHeight w:val="234"/>
        </w:trPr>
        <w:tc>
          <w:tcPr>
            <w:tcW w:w="1840" w:type="dxa"/>
            <w:vAlign w:val="bottom"/>
          </w:tcPr>
          <w:p>
            <w:pPr>
              <w:spacing w:after="0"/>
              <w:rPr>
                <w:sz w:val="20"/>
                <w:szCs w:val="20"/>
                <w:color w:val="auto"/>
              </w:rPr>
            </w:pPr>
          </w:p>
        </w:tc>
        <w:tc>
          <w:tcPr>
            <w:tcW w:w="56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0"/>
              </w:rPr>
              <w:t>(Former Name or Former Address, if Changed Since Last Report)</w:t>
            </w:r>
          </w:p>
        </w:tc>
        <w:tc>
          <w:tcPr>
            <w:tcW w:w="1660" w:type="dxa"/>
            <w:vAlign w:val="bottom"/>
          </w:tcPr>
          <w:p>
            <w:pPr>
              <w:spacing w:after="0"/>
              <w:rPr>
                <w:sz w:val="20"/>
                <w:szCs w:val="20"/>
                <w:color w:val="auto"/>
              </w:rPr>
            </w:pPr>
          </w:p>
        </w:tc>
      </w:tr>
      <w:tr>
        <w:trPr>
          <w:trHeight w:val="68"/>
        </w:trPr>
        <w:tc>
          <w:tcPr>
            <w:tcW w:w="1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40" w:type="dxa"/>
            <w:vAlign w:val="bottom"/>
            <w:tcBorders>
              <w:bottom w:val="single" w:sz="8" w:color="auto"/>
            </w:tcBorders>
          </w:tcPr>
          <w:p>
            <w:pPr>
              <w:spacing w:after="0"/>
              <w:rPr>
                <w:sz w:val="5"/>
                <w:szCs w:val="5"/>
                <w:color w:val="auto"/>
              </w:rPr>
            </w:pPr>
          </w:p>
        </w:tc>
        <w:tc>
          <w:tcPr>
            <w:tcW w:w="920" w:type="dxa"/>
            <w:vAlign w:val="bottom"/>
          </w:tcPr>
          <w:p>
            <w:pPr>
              <w:spacing w:after="0"/>
              <w:rPr>
                <w:sz w:val="5"/>
                <w:szCs w:val="5"/>
                <w:color w:val="auto"/>
              </w:rPr>
            </w:pPr>
          </w:p>
        </w:tc>
        <w:tc>
          <w:tcPr>
            <w:tcW w:w="1660" w:type="dxa"/>
            <w:vAlign w:val="bottom"/>
          </w:tcPr>
          <w:p>
            <w:pPr>
              <w:spacing w:after="0"/>
              <w:rPr>
                <w:sz w:val="5"/>
                <w:szCs w:val="5"/>
                <w:color w:val="auto"/>
              </w:rPr>
            </w:pPr>
          </w:p>
        </w:tc>
      </w:tr>
    </w:tbl>
    <w:p>
      <w:pPr>
        <w:spacing w:after="0" w:line="18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1080" w:hanging="395"/>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80" w:hanging="394"/>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1080" w:hanging="395"/>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1080" w:hanging="395"/>
        <w:spacing w:after="0"/>
        <w:tabs>
          <w:tab w:leader="none" w:pos="10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6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219"/>
        </w:trPr>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19"/>
                <w:szCs w:val="19"/>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60" w:type="dxa"/>
            <w:vAlign w:val="bottom"/>
          </w:tcPr>
          <w:p>
            <w:pPr>
              <w:spacing w:after="0"/>
              <w:rPr>
                <w:sz w:val="19"/>
                <w:szCs w:val="19"/>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4"/>
        </w:trPr>
        <w:tc>
          <w:tcPr>
            <w:tcW w:w="380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88"/>
              </w:rPr>
              <w:t>Class A common stock, $0.001 par value per</w:t>
            </w:r>
          </w:p>
        </w:tc>
        <w:tc>
          <w:tcPr>
            <w:tcW w:w="160" w:type="dxa"/>
            <w:vAlign w:val="bottom"/>
          </w:tcPr>
          <w:p>
            <w:pPr>
              <w:spacing w:after="0"/>
              <w:rPr>
                <w:sz w:val="15"/>
                <w:szCs w:val="15"/>
                <w:color w:val="auto"/>
              </w:rPr>
            </w:pPr>
          </w:p>
        </w:tc>
        <w:tc>
          <w:tcPr>
            <w:tcW w:w="35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rPr>
              <w:t>RENT</w:t>
            </w:r>
          </w:p>
        </w:tc>
        <w:tc>
          <w:tcPr>
            <w:tcW w:w="160" w:type="dxa"/>
            <w:vAlign w:val="bottom"/>
          </w:tcPr>
          <w:p>
            <w:pPr>
              <w:spacing w:after="0"/>
              <w:rPr>
                <w:sz w:val="15"/>
                <w:szCs w:val="15"/>
                <w:color w:val="auto"/>
              </w:rPr>
            </w:pPr>
          </w:p>
        </w:tc>
        <w:tc>
          <w:tcPr>
            <w:tcW w:w="3560" w:type="dxa"/>
            <w:vAlign w:val="bottom"/>
          </w:tcPr>
          <w:p>
            <w:pPr>
              <w:jc w:val="center"/>
              <w:spacing w:after="0" w:line="183" w:lineRule="exact"/>
              <w:rPr>
                <w:sz w:val="20"/>
                <w:szCs w:val="20"/>
                <w:color w:val="auto"/>
              </w:rPr>
            </w:pPr>
            <w:r>
              <w:rPr>
                <w:rFonts w:ascii="Arial" w:cs="Arial" w:eastAsia="Arial" w:hAnsi="Arial"/>
                <w:sz w:val="18"/>
                <w:szCs w:val="18"/>
                <w:b w:val="1"/>
                <w:bCs w:val="1"/>
                <w:color w:val="auto"/>
                <w:w w:val="91"/>
              </w:rPr>
              <w:t>The Nasdaq Global Select Market</w:t>
            </w:r>
          </w:p>
        </w:tc>
      </w:tr>
      <w:tr>
        <w:trPr>
          <w:trHeight w:val="234"/>
        </w:trPr>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spacing w:after="0" w:line="188"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510540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 w:name="page2"/>
    <w:bookmarkEnd w:id="1"/>
    <w:p>
      <w:pPr>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895350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81" w:right="499" w:bottom="1440" w:gutter="0" w:footer="0" w:header="0"/>
        </w:sectPr>
      </w:pPr>
    </w:p>
    <w:bookmarkStart w:id="2" w:name="page3"/>
    <w:bookmarkEnd w:id="2"/>
    <w:p>
      <w:pPr>
        <w:ind w:left="20"/>
        <w:spacing w:after="0"/>
        <w:tabs>
          <w:tab w:leader="none" w:pos="11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On July 12, 2023, Rent the Runway, Inc. (the “Company”) held its 2023 Annual Meeting of Stockholders. Holders of 111,890,650 shares of the Company’s voting power were present in person or represented by proxy at the meeting, representing 88.95% of the combined voting power of the Company’s outstanding Class A common stock and Class B common stock as of the May 18, 2023 record date. The following are the voting results for the proposals considered and voted upon at the meeting, each of which were described in the Company’s Definitive Proxy Statement filed with the Securities and Exchange Commission on May 25, 2023.</w:t>
      </w:r>
    </w:p>
    <w:p>
      <w:pPr>
        <w:spacing w:after="0" w:line="23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Item 1 - Election of four Class II Directors to serve until the 2026 Annual Meeting of Stockholders, and until their respective successors have been duly elected and qualified.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Nominee</w:t>
            </w:r>
          </w:p>
        </w:tc>
        <w:tc>
          <w:tcPr>
            <w:tcW w:w="120" w:type="dxa"/>
            <w:vAlign w:val="bottom"/>
            <w:tcBorders>
              <w:bottom w:val="single" w:sz="8" w:color="CCEEFF"/>
            </w:tcBorders>
          </w:tcPr>
          <w:p>
            <w:pPr>
              <w:spacing w:after="0"/>
              <w:rPr>
                <w:sz w:val="20"/>
                <w:szCs w:val="20"/>
                <w:color w:val="auto"/>
              </w:rPr>
            </w:pPr>
          </w:p>
        </w:tc>
        <w:tc>
          <w:tcPr>
            <w:tcW w:w="17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Votes FOR</w:t>
            </w:r>
          </w:p>
        </w:tc>
        <w:tc>
          <w:tcPr>
            <w:tcW w:w="120" w:type="dxa"/>
            <w:vAlign w:val="bottom"/>
            <w:tcBorders>
              <w:bottom w:val="single" w:sz="8" w:color="CCEEFF"/>
            </w:tcBorders>
          </w:tcPr>
          <w:p>
            <w:pPr>
              <w:spacing w:after="0"/>
              <w:rPr>
                <w:sz w:val="20"/>
                <w:szCs w:val="20"/>
                <w:color w:val="auto"/>
              </w:rPr>
            </w:pPr>
          </w:p>
        </w:tc>
        <w:tc>
          <w:tcPr>
            <w:tcW w:w="24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Votes WITHHELD</w:t>
            </w:r>
          </w:p>
        </w:tc>
        <w:tc>
          <w:tcPr>
            <w:tcW w:w="100" w:type="dxa"/>
            <w:vAlign w:val="bottom"/>
            <w:tcBorders>
              <w:bottom w:val="single" w:sz="8" w:color="CCEEFF"/>
            </w:tcBorders>
          </w:tcPr>
          <w:p>
            <w:pPr>
              <w:spacing w:after="0"/>
              <w:rPr>
                <w:sz w:val="20"/>
                <w:szCs w:val="20"/>
                <w:color w:val="auto"/>
              </w:rPr>
            </w:pPr>
          </w:p>
        </w:tc>
        <w:tc>
          <w:tcPr>
            <w:tcW w:w="2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Broker Non-Votes</w:t>
            </w:r>
          </w:p>
        </w:tc>
      </w:tr>
      <w:tr>
        <w:trPr>
          <w:trHeight w:val="22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Scott Friend</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101,721,430</w:t>
            </w:r>
          </w:p>
        </w:tc>
        <w:tc>
          <w:tcPr>
            <w:tcW w:w="12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1,597,649</w:t>
            </w: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8,571,571</w:t>
            </w:r>
          </w:p>
        </w:tc>
      </w:tr>
      <w:tr>
        <w:trPr>
          <w:trHeight w:val="237"/>
        </w:trPr>
        <w:tc>
          <w:tcPr>
            <w:tcW w:w="2080" w:type="dxa"/>
            <w:vAlign w:val="bottom"/>
          </w:tcPr>
          <w:p>
            <w:pPr>
              <w:ind w:left="20"/>
              <w:spacing w:after="0"/>
              <w:rPr>
                <w:sz w:val="20"/>
                <w:szCs w:val="20"/>
                <w:color w:val="auto"/>
              </w:rPr>
            </w:pPr>
            <w:r>
              <w:rPr>
                <w:rFonts w:ascii="Arial" w:cs="Arial" w:eastAsia="Arial" w:hAnsi="Arial"/>
                <w:sz w:val="18"/>
                <w:szCs w:val="18"/>
                <w:color w:val="auto"/>
              </w:rPr>
              <w:t>Melanie Harris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101,743,605</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1,575,474</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8,571,571</w:t>
            </w:r>
          </w:p>
        </w:tc>
      </w:tr>
      <w:tr>
        <w:trPr>
          <w:trHeight w:val="236"/>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Dan Nova</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101,685,675</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1,633,404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8,571,571</w:t>
            </w:r>
          </w:p>
        </w:tc>
      </w:tr>
      <w:tr>
        <w:trPr>
          <w:trHeight w:val="230"/>
        </w:trPr>
        <w:tc>
          <w:tcPr>
            <w:tcW w:w="2080" w:type="dxa"/>
            <w:vAlign w:val="bottom"/>
          </w:tcPr>
          <w:p>
            <w:pPr>
              <w:ind w:left="20"/>
              <w:spacing w:after="0"/>
              <w:rPr>
                <w:sz w:val="20"/>
                <w:szCs w:val="20"/>
                <w:color w:val="auto"/>
              </w:rPr>
            </w:pPr>
            <w:r>
              <w:rPr>
                <w:rFonts w:ascii="Arial" w:cs="Arial" w:eastAsia="Arial" w:hAnsi="Arial"/>
                <w:sz w:val="18"/>
                <w:szCs w:val="18"/>
                <w:color w:val="auto"/>
              </w:rPr>
              <w:t>Mike Roth</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101,718,380</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1,600,699</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8,571,571</w:t>
            </w:r>
          </w:p>
        </w:tc>
      </w:tr>
    </w:tbl>
    <w:p>
      <w:pPr>
        <w:spacing w:after="0" w:line="32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Item 2 - Ratification of the appointment of PricewaterhouseCoopers LLP as the Company’s independent registered public accounting firm for the fiscal year ending January 31, 2024.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Votes FOR</w:t>
            </w:r>
          </w:p>
        </w:tc>
        <w:tc>
          <w:tcPr>
            <w:tcW w:w="100" w:type="dxa"/>
            <w:vAlign w:val="bottom"/>
          </w:tcPr>
          <w:p>
            <w:pPr>
              <w:spacing w:after="0"/>
              <w:rPr>
                <w:sz w:val="20"/>
                <w:szCs w:val="20"/>
                <w:color w:val="auto"/>
              </w:rPr>
            </w:pPr>
          </w:p>
        </w:tc>
        <w:tc>
          <w:tcPr>
            <w:tcW w:w="2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Votes AGAINST</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Votes ABSTAINED</w:t>
            </w:r>
          </w:p>
        </w:tc>
      </w:tr>
      <w:tr>
        <w:trPr>
          <w:trHeight w:val="237"/>
        </w:trPr>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111,515,167</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151,204</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224,279</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Based on the foregoing votes, Scott Friend, Melanie Harris, Dan Nova, and Mike Roth were elected as Class II Directors and Item 2 was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1895475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10" w:right="37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0"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RENT THE RUNWAY, INC.</w:t>
      </w:r>
    </w:p>
    <w:p>
      <w:pPr>
        <w:spacing w:after="0" w:line="148" w:lineRule="exact"/>
        <w:rPr>
          <w:sz w:val="20"/>
          <w:szCs w:val="20"/>
          <w:color w:val="auto"/>
        </w:rPr>
      </w:pPr>
    </w:p>
    <w:p>
      <w:pPr>
        <w:ind w:left="440"/>
        <w:spacing w:after="0"/>
        <w:tabs>
          <w:tab w:leader="none" w:pos="5580" w:val="left"/>
          <w:tab w:leader="none" w:pos="6200" w:val="left"/>
        </w:tabs>
        <w:rPr>
          <w:sz w:val="20"/>
          <w:szCs w:val="20"/>
          <w:color w:val="auto"/>
        </w:rPr>
      </w:pPr>
      <w:r>
        <w:rPr>
          <w:rFonts w:ascii="Arial" w:cs="Arial" w:eastAsia="Arial" w:hAnsi="Arial"/>
          <w:sz w:val="18"/>
          <w:szCs w:val="18"/>
          <w:color w:val="auto"/>
        </w:rPr>
        <w:t>Date: July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Cara Schembri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3180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Cara Schembri</w:t>
      </w:r>
    </w:p>
    <w:p>
      <w:pPr>
        <w:spacing w:after="0" w:line="1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General Counsel and Corporate Secretary</w:t>
      </w:r>
    </w:p>
    <w:sectPr>
      <w:pgSz w:w="11900" w:h="16838" w:orient="portrait"/>
      <w:cols w:equalWidth="0" w:num="1">
        <w:col w:w="11160"/>
      </w:cols>
      <w:pgMar w:left="320" w:top="76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2023-07-17T15:14:03Z</dcterms:created>
  <dcterms:modified xsi:type="dcterms:W3CDTF">2023-07-17T15:14:03Z</dcterms:modified>
</cp:coreProperties>
</file>