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rFonts w:ascii="MS PGothic" w:cs="MS PGothic" w:eastAsia="MS PGothic" w:hAnsi="MS PGothic"/>
          <w:sz w:val="17"/>
          <w:szCs w:val="17"/>
          <w:color w:val="auto"/>
        </w:rPr>
      </w:pPr>
    </w:p>
    <w:p>
      <w:pPr>
        <w:ind w:left="422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fiscal year ended January 31, 2026</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420" w:type="dxa"/>
            <w:vAlign w:val="bottom"/>
          </w:tcPr>
          <w:p>
            <w:pPr>
              <w:jc w:val="center"/>
              <w:ind w:left="1129"/>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40" w:type="dxa"/>
            <w:vAlign w:val="bottom"/>
          </w:tcPr>
          <w:p>
            <w:pPr>
              <w:jc w:val="right"/>
              <w:ind w:right="2369"/>
              <w:spacing w:after="0"/>
              <w:rPr>
                <w:sz w:val="20"/>
                <w:szCs w:val="20"/>
                <w:color w:val="auto"/>
              </w:rPr>
            </w:pPr>
            <w:r>
              <w:rPr>
                <w:rFonts w:ascii="Arial" w:cs="Arial" w:eastAsia="Arial" w:hAnsi="Arial"/>
                <w:sz w:val="14"/>
                <w:szCs w:val="14"/>
                <w:b w:val="1"/>
                <w:bCs w:val="1"/>
                <w:color w:val="auto"/>
              </w:rPr>
              <w:t>80-0376379</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40" w:type="dxa"/>
            <w:vAlign w:val="bottom"/>
          </w:tcPr>
          <w:p>
            <w:pPr>
              <w:jc w:val="center"/>
              <w:ind w:right="2129"/>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1"/>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tcPr>
          <w:p>
            <w:pPr>
              <w:jc w:val="center"/>
              <w:ind w:right="2109"/>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38"/>
        </w:trPr>
        <w:tc>
          <w:tcPr>
            <w:tcW w:w="4420" w:type="dxa"/>
            <w:vAlign w:val="bottom"/>
          </w:tcPr>
          <w:p>
            <w:pPr>
              <w:jc w:val="center"/>
              <w:ind w:left="1109"/>
              <w:spacing w:after="0"/>
              <w:rPr>
                <w:sz w:val="20"/>
                <w:szCs w:val="20"/>
                <w:color w:val="auto"/>
              </w:rPr>
            </w:pPr>
            <w:r>
              <w:rPr>
                <w:rFonts w:ascii="Arial" w:cs="Arial" w:eastAsia="Arial" w:hAnsi="Arial"/>
                <w:sz w:val="14"/>
                <w:szCs w:val="14"/>
                <w:b w:val="1"/>
                <w:bCs w:val="1"/>
                <w:color w:val="auto"/>
              </w:rPr>
              <w:t>10 Jay Street</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40" w:type="dxa"/>
            <w:vAlign w:val="bottom"/>
            <w:vMerge w:val="restart"/>
          </w:tcPr>
          <w:p>
            <w:pPr>
              <w:jc w:val="right"/>
              <w:ind w:right="2549"/>
              <w:spacing w:after="0"/>
              <w:rPr>
                <w:sz w:val="20"/>
                <w:szCs w:val="20"/>
                <w:color w:val="auto"/>
              </w:rPr>
            </w:pPr>
            <w:r>
              <w:rPr>
                <w:rFonts w:ascii="Arial" w:cs="Arial" w:eastAsia="Arial" w:hAnsi="Arial"/>
                <w:sz w:val="14"/>
                <w:szCs w:val="14"/>
                <w:b w:val="1"/>
                <w:bCs w:val="1"/>
                <w:color w:val="auto"/>
              </w:rPr>
              <w:t>11201</w:t>
            </w:r>
          </w:p>
        </w:tc>
        <w:tc>
          <w:tcPr>
            <w:tcW w:w="0" w:type="dxa"/>
            <w:vAlign w:val="bottom"/>
          </w:tcPr>
          <w:p>
            <w:pPr>
              <w:spacing w:after="0"/>
              <w:rPr>
                <w:sz w:val="1"/>
                <w:szCs w:val="1"/>
                <w:color w:val="auto"/>
              </w:rPr>
            </w:pPr>
          </w:p>
        </w:tc>
      </w:tr>
      <w:tr>
        <w:trPr>
          <w:trHeight w:val="109"/>
        </w:trPr>
        <w:tc>
          <w:tcPr>
            <w:tcW w:w="4420" w:type="dxa"/>
            <w:vAlign w:val="bottom"/>
            <w:vMerge w:val="restart"/>
          </w:tcPr>
          <w:p>
            <w:pPr>
              <w:jc w:val="center"/>
              <w:ind w:left="1109"/>
              <w:spacing w:after="0"/>
              <w:rPr>
                <w:sz w:val="20"/>
                <w:szCs w:val="20"/>
                <w:color w:val="auto"/>
              </w:rPr>
            </w:pPr>
            <w:r>
              <w:rPr>
                <w:rFonts w:ascii="Arial" w:cs="Arial" w:eastAsia="Arial" w:hAnsi="Arial"/>
                <w:sz w:val="14"/>
                <w:szCs w:val="14"/>
                <w:b w:val="1"/>
                <w:bCs w:val="1"/>
                <w:color w:val="auto"/>
                <w:w w:val="99"/>
              </w:rPr>
              <w:t>Brooklyn, New York</w:t>
            </w: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42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420" w:type="dxa"/>
            <w:vAlign w:val="bottom"/>
          </w:tcPr>
          <w:p>
            <w:pPr>
              <w:jc w:val="center"/>
              <w:ind w:left="1109"/>
              <w:spacing w:after="0"/>
              <w:rPr>
                <w:sz w:val="20"/>
                <w:szCs w:val="20"/>
                <w:color w:val="auto"/>
              </w:rPr>
            </w:pPr>
            <w:r>
              <w:rPr>
                <w:rFonts w:ascii="Arial" w:cs="Arial" w:eastAsia="Arial" w:hAnsi="Arial"/>
                <w:sz w:val="14"/>
                <w:szCs w:val="14"/>
                <w:color w:val="auto"/>
              </w:rPr>
              <w:t>(Address of Principal Executive Offices)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40" w:type="dxa"/>
            <w:vAlign w:val="bottom"/>
          </w:tcPr>
          <w:p>
            <w:pPr>
              <w:jc w:val="center"/>
              <w:ind w:right="2129"/>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08"/>
        </w:trPr>
        <w:tc>
          <w:tcPr>
            <w:tcW w:w="7860" w:type="dxa"/>
            <w:vAlign w:val="bottom"/>
            <w:gridSpan w:val="5"/>
          </w:tcPr>
          <w:p>
            <w:pPr>
              <w:jc w:val="center"/>
              <w:ind w:left="336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524-6860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25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____________________________</w:t>
            </w:r>
          </w:p>
        </w:tc>
        <w:tc>
          <w:tcPr>
            <w:tcW w:w="9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4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spacing w:after="0"/>
              <w:rPr>
                <w:sz w:val="14"/>
                <w:szCs w:val="14"/>
                <w:color w:val="auto"/>
              </w:rPr>
            </w:pPr>
          </w:p>
        </w:tc>
        <w:tc>
          <w:tcPr>
            <w:tcW w:w="43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42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9"/>
              </w:rPr>
              <w:t>RENT</w:t>
            </w:r>
          </w:p>
        </w:tc>
        <w:tc>
          <w:tcPr>
            <w:tcW w:w="94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jc w:val="center"/>
              <w:ind w:right="909"/>
              <w:spacing w:after="0"/>
              <w:rPr>
                <w:sz w:val="20"/>
                <w:szCs w:val="20"/>
                <w:color w:val="auto"/>
              </w:rPr>
            </w:pPr>
            <w:r>
              <w:rPr>
                <w:rFonts w:ascii="Arial" w:cs="Arial" w:eastAsia="Arial" w:hAnsi="Arial"/>
                <w:sz w:val="14"/>
                <w:szCs w:val="14"/>
                <w:color w:val="auto"/>
              </w:rPr>
              <w:t>The Nasdaq Global Market</w:t>
            </w:r>
          </w:p>
        </w:tc>
        <w:tc>
          <w:tcPr>
            <w:tcW w:w="0" w:type="dxa"/>
            <w:vAlign w:val="bottom"/>
          </w:tcPr>
          <w:p>
            <w:pPr>
              <w:spacing w:after="0"/>
              <w:rPr>
                <w:sz w:val="1"/>
                <w:szCs w:val="1"/>
                <w:color w:val="auto"/>
              </w:rPr>
            </w:pPr>
          </w:p>
        </w:tc>
      </w:tr>
      <w:tr>
        <w:trPr>
          <w:trHeight w:val="374"/>
        </w:trPr>
        <w:tc>
          <w:tcPr>
            <w:tcW w:w="442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44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61"/>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44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08"/>
        </w:trPr>
        <w:tc>
          <w:tcPr>
            <w:tcW w:w="4420" w:type="dxa"/>
            <w:vAlign w:val="bottom"/>
          </w:tcPr>
          <w:p>
            <w:pPr>
              <w:spacing w:after="0"/>
              <w:rPr>
                <w:sz w:val="24"/>
                <w:szCs w:val="24"/>
                <w:color w:val="auto"/>
              </w:rPr>
            </w:pPr>
          </w:p>
        </w:tc>
        <w:tc>
          <w:tcPr>
            <w:tcW w:w="2500" w:type="dxa"/>
            <w:vAlign w:val="bottom"/>
            <w:gridSpan w:val="3"/>
          </w:tcPr>
          <w:p>
            <w:pPr>
              <w:jc w:val="right"/>
              <w:ind w:right="1240"/>
              <w:spacing w:after="0"/>
              <w:rPr>
                <w:sz w:val="20"/>
                <w:szCs w:val="20"/>
                <w:color w:val="auto"/>
              </w:rPr>
            </w:pPr>
            <w:r>
              <w:rPr>
                <w:rFonts w:ascii="Arial" w:cs="Arial" w:eastAsia="Arial" w:hAnsi="Arial"/>
                <w:sz w:val="14"/>
                <w:szCs w:val="14"/>
                <w:color w:val="auto"/>
              </w:rPr>
              <w:t>4</w:t>
            </w:r>
          </w:p>
        </w:tc>
        <w:tc>
          <w:tcPr>
            <w:tcW w:w="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77" w:right="299" w:bottom="1440" w:gutter="0" w:footer="0" w:header="0"/>
        </w:sectPr>
      </w:pPr>
    </w:p>
    <w:bookmarkStart w:id="1" w:name="page2"/>
    <w:bookmarkEnd w:id="1"/>
    <w:p>
      <w:pPr>
        <w:ind w:right="180"/>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0"/>
          <w:szCs w:val="20"/>
          <w:color w:val="auto"/>
        </w:rPr>
      </w:pPr>
    </w:p>
    <w:p>
      <w:pPr>
        <w:ind w:right="80"/>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761"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761"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4" w:lineRule="exact"/>
        <w:rPr>
          <w:sz w:val="20"/>
          <w:szCs w:val="20"/>
          <w:color w:val="auto"/>
        </w:rPr>
      </w:pPr>
    </w:p>
    <w:p>
      <w:pPr>
        <w:sectPr>
          <w:pgSz w:w="11900" w:h="16838" w:orient="portrait"/>
          <w:cols w:equalWidth="0" w:num="2">
            <w:col w:w="10180" w:space="720"/>
            <w:col w:w="380"/>
          </w:cols>
          <w:pgMar w:left="300" w:top="761"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17" w:lineRule="exact"/>
        <w:rPr>
          <w:sz w:val="20"/>
          <w:szCs w:val="20"/>
          <w:color w:val="auto"/>
        </w:rPr>
      </w:pPr>
    </w:p>
    <w:p>
      <w:pPr>
        <w:sectPr>
          <w:pgSz w:w="11900" w:h="16838" w:orient="portrait"/>
          <w:cols w:equalWidth="0" w:num="2">
            <w:col w:w="7100" w:space="720"/>
            <w:col w:w="3460"/>
          </w:cols>
          <w:pgMar w:left="300" w:top="761"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0" w:lineRule="exact"/>
        <w:rPr>
          <w:sz w:val="20"/>
          <w:szCs w:val="20"/>
          <w:color w:val="auto"/>
        </w:rPr>
      </w:pPr>
    </w:p>
    <w:p>
      <w:pPr>
        <w:sectPr>
          <w:pgSz w:w="11900" w:h="16838" w:orient="portrait"/>
          <w:cols w:equalWidth="0" w:num="2">
            <w:col w:w="10180" w:space="720"/>
            <w:col w:w="380"/>
          </w:cols>
          <w:pgMar w:left="300" w:top="761"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761" w:right="319" w:bottom="1440" w:gutter="0" w:footer="0" w:header="0"/>
          <w:type w:val="continuous"/>
        </w:sectPr>
      </w:pPr>
    </w:p>
    <w:p>
      <w:pPr>
        <w:spacing w:after="0" w:line="28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2" w:lineRule="exact"/>
        <w:rPr>
          <w:sz w:val="20"/>
          <w:szCs w:val="20"/>
          <w:color w:val="auto"/>
        </w:rPr>
      </w:pPr>
    </w:p>
    <w:p>
      <w:pPr>
        <w:ind w:right="40"/>
        <w:spacing w:after="0" w:line="21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99" w:lineRule="exact"/>
        <w:rPr>
          <w:sz w:val="20"/>
          <w:szCs w:val="20"/>
          <w:color w:val="auto"/>
        </w:rPr>
      </w:pPr>
    </w:p>
    <w:p>
      <w:pPr>
        <w:ind w:right="20"/>
        <w:spacing w:after="0" w:line="20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3" w:lineRule="exact"/>
        <w:rPr>
          <w:sz w:val="20"/>
          <w:szCs w:val="20"/>
          <w:color w:val="auto"/>
        </w:rPr>
      </w:pPr>
    </w:p>
    <w:p>
      <w:pPr>
        <w:ind w:right="700"/>
        <w:spacing w:after="0" w:line="18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9" w:lineRule="exact"/>
        <w:rPr>
          <w:sz w:val="20"/>
          <w:szCs w:val="20"/>
          <w:color w:val="auto"/>
        </w:rPr>
      </w:pPr>
    </w:p>
    <w:p>
      <w:pPr>
        <w:spacing w:after="0" w:line="176" w:lineRule="exact"/>
        <w:tabs>
          <w:tab w:leader="none" w:pos="6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197"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July 31, 2025 (the last business day of the registrant’s most recently completed second fiscal quarter), was approximately $15.0 million.</w:t>
      </w:r>
    </w:p>
    <w:p>
      <w:pPr>
        <w:spacing w:after="0" w:line="99"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registrant had outstanding 33,419,413 shares of Class A common stock and 0 shares of Class B common stock as of April 2, 2026. The foregoing reflects the reverse stock split of the registrant’s Class A common stock and Class B common stock that became effective on April 2, 2024 and began trading on a post-split adjusted basis on April 3, 2024.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147"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no later than 120 days after the end of the registrant’s fiscal year ended January 31, 2026,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20" w:type="dxa"/>
            <w:vAlign w:val="bottom"/>
            <w:gridSpan w:val="6"/>
          </w:tcPr>
          <w:p>
            <w:pPr>
              <w:ind w:left="3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3"/>
              </w:rPr>
              <w:t>Item 1.</w:t>
            </w:r>
          </w:p>
        </w:tc>
        <w:tc>
          <w:tcPr>
            <w:tcW w:w="580" w:type="dxa"/>
            <w:vAlign w:val="bottom"/>
            <w:tcBorders>
              <w:left w:val="single" w:sz="8" w:color="CCEEFF"/>
              <w:bottom w:val="single" w:sz="8" w:color="CCEEFF"/>
            </w:tcBorders>
            <w:gridSpan w:val="2"/>
            <w:shd w:val="clear" w:color="auto" w:fill="CCEEFF"/>
          </w:tcPr>
          <w:p>
            <w:pPr>
              <w:spacing w:after="0"/>
              <w:rPr>
                <w:sz w:val="13"/>
                <w:szCs w:val="13"/>
                <w:color w:val="auto"/>
              </w:rPr>
            </w:pPr>
          </w:p>
        </w:tc>
        <w:tc>
          <w:tcPr>
            <w:tcW w:w="680" w:type="dxa"/>
            <w:vAlign w:val="bottom"/>
            <w:tcBorders>
              <w:bottom w:val="single" w:sz="8" w:color="0000FF"/>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0000FF"/>
              </w:rPr>
              <w:t>Business</w:t>
            </w:r>
          </w:p>
        </w:tc>
        <w:tc>
          <w:tcPr>
            <w:tcW w:w="8740" w:type="dxa"/>
            <w:vAlign w:val="bottom"/>
            <w:tcBorders>
              <w:bottom w:val="single" w:sz="8" w:color="CCEEFF"/>
            </w:tcBorders>
            <w:gridSpan w:val="17"/>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1B.</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Unresolved Staff Comments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0000FF"/>
                <w:w w:val="90"/>
              </w:rPr>
              <w:t>Item 1C.</w:t>
            </w:r>
          </w:p>
        </w:tc>
        <w:tc>
          <w:tcPr>
            <w:tcW w:w="500" w:type="dxa"/>
            <w:vAlign w:val="bottom"/>
          </w:tcPr>
          <w:p>
            <w:pPr>
              <w:spacing w:after="0"/>
              <w:rPr>
                <w:sz w:val="13"/>
                <w:szCs w:val="13"/>
                <w:color w:val="auto"/>
              </w:rPr>
            </w:pP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Cybersecurity</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3"/>
              </w:rPr>
              <w:t>Item 2.</w:t>
            </w:r>
          </w:p>
        </w:tc>
        <w:tc>
          <w:tcPr>
            <w:tcW w:w="80" w:type="dxa"/>
            <w:vAlign w:val="bottom"/>
            <w:tcBorders>
              <w:top w:val="single" w:sz="8" w:color="0000FF"/>
              <w:left w:val="single" w:sz="8" w:color="CCEEFF"/>
            </w:tcBorders>
            <w:shd w:val="clear" w:color="auto" w:fill="CCEEFF"/>
          </w:tcPr>
          <w:p>
            <w:pPr>
              <w:spacing w:after="0"/>
              <w:rPr>
                <w:sz w:val="13"/>
                <w:szCs w:val="13"/>
                <w:color w:val="auto"/>
              </w:rPr>
            </w:pPr>
          </w:p>
        </w:tc>
        <w:tc>
          <w:tcPr>
            <w:tcW w:w="500" w:type="dxa"/>
            <w:vAlign w:val="bottom"/>
            <w:tcBorders>
              <w:left w:val="single" w:sz="8" w:color="CCEEFF"/>
            </w:tcBorders>
            <w:shd w:val="clear" w:color="auto" w:fill="CCEEFF"/>
          </w:tcPr>
          <w:p>
            <w:pPr>
              <w:spacing w:after="0"/>
              <w:rPr>
                <w:sz w:val="13"/>
                <w:szCs w:val="13"/>
                <w:color w:val="auto"/>
              </w:rPr>
            </w:pPr>
          </w:p>
        </w:tc>
        <w:tc>
          <w:tcPr>
            <w:tcW w:w="860" w:type="dxa"/>
            <w:vAlign w:val="bottom"/>
            <w:tcBorders>
              <w:top w:val="single" w:sz="8" w:color="0000FF"/>
            </w:tcBorders>
            <w:gridSpan w:val="3"/>
            <w:shd w:val="clear" w:color="auto" w:fill="CCEEFF"/>
          </w:tcPr>
          <w:p>
            <w:pPr>
              <w:spacing w:after="0" w:line="155" w:lineRule="exact"/>
              <w:rPr>
                <w:sz w:val="20"/>
                <w:szCs w:val="20"/>
                <w:color w:val="auto"/>
              </w:rPr>
            </w:pPr>
            <w:r>
              <w:rPr>
                <w:rFonts w:ascii="Arial" w:cs="Arial" w:eastAsia="Arial" w:hAnsi="Arial"/>
                <w:sz w:val="14"/>
                <w:szCs w:val="14"/>
                <w:color w:val="0000FF"/>
              </w:rPr>
              <w:t>Properties</w:t>
            </w:r>
          </w:p>
        </w:tc>
        <w:tc>
          <w:tcPr>
            <w:tcW w:w="8560" w:type="dxa"/>
            <w:vAlign w:val="bottom"/>
            <w:gridSpan w:val="15"/>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0000FF"/>
                <w:w w:val="93"/>
              </w:rPr>
              <w:t>Item 3.</w:t>
            </w:r>
          </w:p>
        </w:tc>
        <w:tc>
          <w:tcPr>
            <w:tcW w:w="580" w:type="dxa"/>
            <w:vAlign w:val="bottom"/>
            <w:gridSpan w:val="2"/>
          </w:tcPr>
          <w:p>
            <w:pPr>
              <w:spacing w:after="0"/>
              <w:rPr>
                <w:sz w:val="12"/>
                <w:szCs w:val="12"/>
                <w:color w:val="auto"/>
              </w:rPr>
            </w:pP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3"/>
              </w:rPr>
              <w:t>Item 4.</w:t>
            </w:r>
          </w:p>
        </w:tc>
        <w:tc>
          <w:tcPr>
            <w:tcW w:w="580" w:type="dxa"/>
            <w:vAlign w:val="bottom"/>
            <w:tcBorders>
              <w:left w:val="single" w:sz="8" w:color="CCEEFF"/>
            </w:tcBorders>
            <w:gridSpan w:val="2"/>
            <w:shd w:val="clear" w:color="auto" w:fill="CCEEFF"/>
          </w:tcPr>
          <w:p>
            <w:pPr>
              <w:spacing w:after="0"/>
              <w:rPr>
                <w:sz w:val="14"/>
                <w:szCs w:val="14"/>
                <w:color w:val="auto"/>
              </w:rPr>
            </w:pP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Mine Safety Disclosures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Part II</w:t>
            </w:r>
          </w:p>
        </w:tc>
        <w:tc>
          <w:tcPr>
            <w:tcW w:w="6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right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0000FF"/>
                <w:w w:val="93"/>
              </w:rPr>
              <w:t>Item 5.</w:t>
            </w:r>
          </w:p>
        </w:tc>
        <w:tc>
          <w:tcPr>
            <w:tcW w:w="580" w:type="dxa"/>
            <w:vAlign w:val="bottom"/>
            <w:gridSpan w:val="2"/>
          </w:tcPr>
          <w:p>
            <w:pPr>
              <w:spacing w:after="0"/>
              <w:rPr>
                <w:sz w:val="13"/>
                <w:szCs w:val="13"/>
                <w:color w:val="auto"/>
              </w:rPr>
            </w:pP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3"/>
              </w:rPr>
              <w:t>Item 6.</w:t>
            </w:r>
          </w:p>
        </w:tc>
        <w:tc>
          <w:tcPr>
            <w:tcW w:w="5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6960" w:type="dxa"/>
            <w:vAlign w:val="bottom"/>
            <w:tcBorders>
              <w:top w:val="single" w:sz="8" w:color="0000FF"/>
              <w:bottom w:val="single" w:sz="8" w:color="CCEEFF"/>
            </w:tcBorders>
            <w:gridSpan w:val="17"/>
            <w:shd w:val="clear" w:color="auto" w:fill="CCEEFF"/>
          </w:tcPr>
          <w:p>
            <w:pPr>
              <w:spacing w:after="0" w:line="155" w:lineRule="exact"/>
              <w:rPr>
                <w:sz w:val="20"/>
                <w:szCs w:val="20"/>
                <w:color w:val="auto"/>
              </w:rPr>
            </w:pPr>
            <w:r>
              <w:rPr>
                <w:rFonts w:ascii="Arial" w:cs="Arial" w:eastAsia="Arial" w:hAnsi="Arial"/>
                <w:sz w:val="14"/>
                <w:szCs w:val="14"/>
                <w:color w:val="auto"/>
              </w:rPr>
              <w:t>[Reserved]</w:t>
            </w:r>
          </w:p>
        </w:tc>
        <w:tc>
          <w:tcPr>
            <w:tcW w:w="24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3"/>
              </w:rPr>
              <w:t>Item 7.</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5"/>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gridSpan w:val="3"/>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7A.</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3"/>
              </w:rPr>
              <w:t>Item 8.</w:t>
            </w:r>
          </w:p>
        </w:tc>
        <w:tc>
          <w:tcPr>
            <w:tcW w:w="80" w:type="dxa"/>
            <w:vAlign w:val="bottom"/>
            <w:tcBorders>
              <w:top w:val="single" w:sz="8" w:color="0000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3700" w:type="dxa"/>
            <w:vAlign w:val="bottom"/>
            <w:tcBorders>
              <w:top w:val="single" w:sz="8" w:color="0000FF"/>
            </w:tcBorders>
            <w:gridSpan w:val="12"/>
          </w:tcPr>
          <w:p>
            <w:pPr>
              <w:spacing w:after="0" w:line="149" w:lineRule="exact"/>
              <w:rPr>
                <w:sz w:val="20"/>
                <w:szCs w:val="20"/>
                <w:color w:val="auto"/>
              </w:rPr>
            </w:pPr>
            <w:r>
              <w:rPr>
                <w:rFonts w:ascii="Arial" w:cs="Arial" w:eastAsia="Arial" w:hAnsi="Arial"/>
                <w:sz w:val="14"/>
                <w:szCs w:val="14"/>
                <w:color w:val="0000FF"/>
              </w:rPr>
              <w:t>Financial Statements and Supplementary Data</w:t>
            </w:r>
          </w:p>
        </w:tc>
        <w:tc>
          <w:tcPr>
            <w:tcW w:w="5720" w:type="dxa"/>
            <w:vAlign w:val="bottom"/>
            <w:tcBorders>
              <w:top w:val="single" w:sz="8" w:color="CCEEFF"/>
            </w:tcBorders>
            <w:gridSpan w:val="6"/>
          </w:tcPr>
          <w:p>
            <w:pPr>
              <w:spacing w:after="0"/>
              <w:rPr>
                <w:sz w:val="12"/>
                <w:szCs w:val="12"/>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3"/>
              </w:rPr>
              <w:t>Item 9.</w:t>
            </w:r>
          </w:p>
        </w:tc>
        <w:tc>
          <w:tcPr>
            <w:tcW w:w="5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5640" w:type="dxa"/>
            <w:vAlign w:val="bottom"/>
            <w:tcBorders>
              <w:bottom w:val="single" w:sz="8" w:color="0000FF"/>
            </w:tcBorders>
            <w:gridSpan w:val="16"/>
            <w:shd w:val="clear" w:color="auto" w:fill="CCEEFF"/>
          </w:tcPr>
          <w:p>
            <w:pPr>
              <w:spacing w:after="0" w:line="155" w:lineRule="exact"/>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3780" w:type="dxa"/>
            <w:vAlign w:val="bottom"/>
            <w:tcBorders>
              <w:bottom w:val="single" w:sz="8" w:color="CCEEFF"/>
            </w:tcBorders>
            <w:gridSpan w:val="2"/>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9A.</w:t>
            </w: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9B.</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Other Information</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9C.</w:t>
            </w: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Disclosure Regarding Foreign Jurisdictions that Prevent Inspections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lef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top w:val="single" w:sz="8" w:color="0000FF"/>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right w:val="single" w:sz="8" w:color="CCEE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right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540" w:type="dxa"/>
            <w:vAlign w:val="bottom"/>
            <w:tcBorders>
              <w:top w:val="single" w:sz="8" w:color="0000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III</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0000FF"/>
              </w:rPr>
              <w:t>Item 10.</w:t>
            </w:r>
          </w:p>
        </w:tc>
        <w:tc>
          <w:tcPr>
            <w:tcW w:w="9420" w:type="dxa"/>
            <w:vAlign w:val="bottom"/>
            <w:gridSpan w:val="18"/>
            <w:shd w:val="clear" w:color="auto" w:fill="CCEEFF"/>
          </w:tcPr>
          <w:p>
            <w:pPr>
              <w:spacing w:after="0" w:line="149" w:lineRule="exact"/>
              <w:rPr>
                <w:sz w:val="20"/>
                <w:szCs w:val="20"/>
                <w:color w:val="auto"/>
              </w:rPr>
            </w:pPr>
            <w:r>
              <w:rPr>
                <w:rFonts w:ascii="Arial" w:cs="Arial" w:eastAsia="Arial" w:hAnsi="Arial"/>
                <w:sz w:val="14"/>
                <w:szCs w:val="14"/>
                <w:color w:val="0000FF"/>
              </w:rPr>
              <w:t>Directors, Executive Officers and Corporate Governance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78"/>
              </w:rPr>
              <w:t>Item 11.</w:t>
            </w:r>
          </w:p>
        </w:tc>
        <w:tc>
          <w:tcPr>
            <w:tcW w:w="580" w:type="dxa"/>
            <w:vAlign w:val="bottom"/>
            <w:tcBorders>
              <w:top w:val="single" w:sz="8" w:color="CCEEFF"/>
            </w:tcBorders>
            <w:gridSpan w:val="2"/>
          </w:tcPr>
          <w:p>
            <w:pPr>
              <w:spacing w:after="0"/>
              <w:rPr>
                <w:sz w:val="12"/>
                <w:szCs w:val="12"/>
                <w:color w:val="auto"/>
              </w:rPr>
            </w:pPr>
          </w:p>
        </w:tc>
        <w:tc>
          <w:tcPr>
            <w:tcW w:w="3540" w:type="dxa"/>
            <w:vAlign w:val="bottom"/>
            <w:tcBorders>
              <w:top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Executive Compensation</w:t>
            </w:r>
          </w:p>
        </w:tc>
        <w:tc>
          <w:tcPr>
            <w:tcW w:w="5880" w:type="dxa"/>
            <w:vAlign w:val="bottom"/>
            <w:tcBorders>
              <w:top w:val="single" w:sz="8" w:color="CCEEFF"/>
            </w:tcBorders>
            <w:gridSpan w:val="7"/>
          </w:tcPr>
          <w:p>
            <w:pPr>
              <w:spacing w:after="0"/>
              <w:rPr>
                <w:sz w:val="12"/>
                <w:szCs w:val="12"/>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12.</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Security Ownership of Certain Beneficial Owners and Management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50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tcBorders>
              <w:right w:val="single" w:sz="8" w:color="CCEE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13.</w:t>
            </w: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Certain Relationships and Related Transactions and Director Independence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14.</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Principal Accountant Fees and Services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Part IV</w:t>
            </w:r>
          </w:p>
        </w:tc>
        <w:tc>
          <w:tcPr>
            <w:tcW w:w="6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15.</w:t>
            </w:r>
          </w:p>
        </w:tc>
        <w:tc>
          <w:tcPr>
            <w:tcW w:w="9420" w:type="dxa"/>
            <w:vAlign w:val="bottom"/>
            <w:gridSpan w:val="18"/>
          </w:tcPr>
          <w:p>
            <w:pPr>
              <w:spacing w:after="0" w:line="149" w:lineRule="exact"/>
              <w:rPr>
                <w:sz w:val="20"/>
                <w:szCs w:val="20"/>
                <w:color w:val="auto"/>
              </w:rPr>
            </w:pPr>
            <w:r>
              <w:rPr>
                <w:rFonts w:ascii="Arial" w:cs="Arial" w:eastAsia="Arial" w:hAnsi="Arial"/>
                <w:sz w:val="14"/>
                <w:szCs w:val="14"/>
                <w:color w:val="0000FF"/>
              </w:rPr>
              <w:t>Exhibits and Financial Statement Schedules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16.</w:t>
            </w:r>
          </w:p>
        </w:tc>
        <w:tc>
          <w:tcPr>
            <w:tcW w:w="9420" w:type="dxa"/>
            <w:vAlign w:val="bottom"/>
            <w:gridSpan w:val="18"/>
            <w:shd w:val="clear" w:color="auto" w:fill="CCEEFF"/>
          </w:tcPr>
          <w:p>
            <w:pPr>
              <w:spacing w:after="0" w:line="155" w:lineRule="exact"/>
              <w:rPr>
                <w:sz w:val="20"/>
                <w:szCs w:val="20"/>
                <w:color w:val="auto"/>
              </w:rPr>
            </w:pPr>
            <w:r>
              <w:rPr>
                <w:rFonts w:ascii="Arial" w:cs="Arial" w:eastAsia="Arial" w:hAnsi="Arial"/>
                <w:sz w:val="14"/>
                <w:szCs w:val="14"/>
                <w:color w:val="0000FF"/>
              </w:rPr>
              <w:t>Form 10-K Summary</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68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4"/>
                <w:szCs w:val="14"/>
                <w:color w:val="0000FF"/>
                <w:w w:val="95"/>
              </w:rPr>
              <w:t>Signatures</w:t>
            </w:r>
          </w:p>
        </w:tc>
        <w:tc>
          <w:tcPr>
            <w:tcW w:w="620" w:type="dxa"/>
            <w:vAlign w:val="bottom"/>
            <w:tcBorders>
              <w:top w:val="single" w:sz="8" w:color="0000FF"/>
            </w:tcBorders>
            <w:gridSpan w:val="4"/>
          </w:tcPr>
          <w:p>
            <w:pPr>
              <w:spacing w:after="0"/>
              <w:rPr>
                <w:sz w:val="12"/>
                <w:szCs w:val="12"/>
                <w:color w:val="auto"/>
              </w:rPr>
            </w:pPr>
          </w:p>
        </w:tc>
        <w:tc>
          <w:tcPr>
            <w:tcW w:w="8120" w:type="dxa"/>
            <w:vAlign w:val="bottom"/>
            <w:tcBorders>
              <w:top w:val="single" w:sz="8" w:color="CCEEFF"/>
            </w:tcBorders>
            <w:gridSpan w:val="13"/>
          </w:tcPr>
          <w:p>
            <w:pPr>
              <w:spacing w:after="0"/>
              <w:rPr>
                <w:sz w:val="12"/>
                <w:szCs w:val="12"/>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Annual Report on Form 10-K, or Annual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jc w:val="both"/>
        <w:ind w:right="32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spacing w:after="0" w:line="272"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drive future growth or manage our growth effectively, our brand, Company culture, and financial performance may suffer.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 and developments, including global trade policies and tariffs.</w:t>
      </w:r>
    </w:p>
    <w:p>
      <w:pPr>
        <w:spacing w:after="0" w:line="14" w:lineRule="exact"/>
        <w:rPr>
          <w:rFonts w:ascii="Arial" w:cs="Arial" w:eastAsia="Arial" w:hAnsi="Arial"/>
          <w:sz w:val="14"/>
          <w:szCs w:val="14"/>
          <w:color w:val="auto"/>
        </w:rPr>
      </w:pPr>
    </w:p>
    <w:p>
      <w:pPr>
        <w:ind w:left="520" w:right="5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fluctuate based on our level of investment and success in our marketing initiatives. If we are unable to cost-effectively grow our customer base, our business, financial condition and results of operations would be harmed.</w:t>
      </w:r>
    </w:p>
    <w:p>
      <w:pPr>
        <w:spacing w:after="0" w:line="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acquire and manage our products effectively and plan for future expenses, our operating results could be adversely affected.</w:t>
      </w:r>
    </w:p>
    <w:p>
      <w:pPr>
        <w:spacing w:after="0" w:line="72" w:lineRule="exact"/>
        <w:rPr>
          <w:rFonts w:ascii="Arial" w:cs="Arial" w:eastAsia="Arial" w:hAnsi="Arial"/>
          <w:sz w:val="14"/>
          <w:szCs w:val="14"/>
          <w:color w:val="auto"/>
        </w:rPr>
      </w:pPr>
    </w:p>
    <w:p>
      <w:pPr>
        <w:ind w:left="480" w:hanging="22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use of AI may subject us to new or heightened legal, regulatory, ethical, operational or other challenges.</w:t>
      </w:r>
    </w:p>
    <w:p>
      <w:pPr>
        <w:spacing w:after="0" w:line="6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We face risks arising from cost-cutting and restructuring of our operations, which could adversely affect our financial condition, results of operations, cash flows, or business reputation.</w:t>
      </w:r>
    </w:p>
    <w:p>
      <w:pPr>
        <w:spacing w:after="0" w:line="3" w:lineRule="exact"/>
        <w:rPr>
          <w:rFonts w:ascii="Arial" w:cs="Arial" w:eastAsia="Arial" w:hAnsi="Arial"/>
          <w:sz w:val="14"/>
          <w:szCs w:val="14"/>
          <w:b w:val="1"/>
          <w:bCs w:val="1"/>
          <w:i w:val="1"/>
          <w:iCs w:val="1"/>
          <w:color w:val="auto"/>
        </w:rPr>
      </w:pPr>
    </w:p>
    <w:p>
      <w:pPr>
        <w:ind w:left="520" w:right="3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4"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fail to realize all of the anticipated benefits of the Recapitalization Transactions, or those benefits may be short-lived or insufficient for our future needs.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manage our Board transition and related changes could materially adversely affect our business.</w:t>
      </w:r>
    </w:p>
    <w:p>
      <w:pPr>
        <w:spacing w:after="0" w:line="72"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6" w:lineRule="exact"/>
        <w:rPr>
          <w:rFonts w:ascii="Arial" w:cs="Arial" w:eastAsia="Arial" w:hAnsi="Arial"/>
          <w:sz w:val="14"/>
          <w:szCs w:val="14"/>
          <w:color w:val="auto"/>
        </w:rPr>
      </w:pPr>
    </w:p>
    <w:p>
      <w:pPr>
        <w:ind w:left="520" w:right="4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72" w:lineRule="exact"/>
        <w:rPr>
          <w:rFonts w:ascii="Arial" w:cs="Arial" w:eastAsia="Arial" w:hAnsi="Arial"/>
          <w:sz w:val="14"/>
          <w:szCs w:val="14"/>
          <w:color w:val="auto"/>
        </w:rPr>
      </w:pPr>
    </w:p>
    <w:p>
      <w:pPr>
        <w:ind w:left="520" w:right="38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6"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the experience and expertise of our Co-Founder and Chief Executive Officer, senior management team, key technical and strategic employees and hourly personnel.</w:t>
      </w:r>
    </w:p>
    <w:p>
      <w:pPr>
        <w:spacing w:after="0" w:line="3" w:lineRule="exact"/>
        <w:rPr>
          <w:rFonts w:ascii="Arial" w:cs="Arial" w:eastAsia="Arial" w:hAnsi="Arial"/>
          <w:sz w:val="14"/>
          <w:szCs w:val="14"/>
          <w:color w:val="auto"/>
        </w:rPr>
      </w:pPr>
    </w:p>
    <w:p>
      <w:pPr>
        <w:ind w:left="520" w:right="4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adequately obtain, maintain, protect and enforce our intellectual property and proprietary rights could harm our brand, devalue our proprietary content, and adversely affect our ability to compete effectively.</w:t>
      </w:r>
    </w:p>
    <w:p>
      <w:pPr>
        <w:spacing w:after="0" w:line="14"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brand and manufacturing partners from whom our products are sourced or co-manufactured.</w:t>
      </w:r>
    </w:p>
    <w:p>
      <w:pPr>
        <w:spacing w:after="0" w:line="61"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4" w:lineRule="exact"/>
        <w:rPr>
          <w:rFonts w:ascii="Arial" w:cs="Arial" w:eastAsia="Arial" w:hAnsi="Arial"/>
          <w:sz w:val="14"/>
          <w:szCs w:val="14"/>
          <w:color w:val="auto"/>
        </w:rPr>
      </w:pPr>
    </w:p>
    <w:p>
      <w:pPr>
        <w:ind w:left="520" w:right="2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16" w:lineRule="exact"/>
        <w:rPr>
          <w:rFonts w:ascii="Arial" w:cs="Arial" w:eastAsia="Arial" w:hAnsi="Arial"/>
          <w:sz w:val="14"/>
          <w:szCs w:val="14"/>
          <w:color w:val="auto"/>
        </w:rPr>
      </w:pPr>
    </w:p>
    <w:p>
      <w:pPr>
        <w:ind w:left="520" w:right="260" w:hanging="260"/>
        <w:spacing w:after="0" w:line="28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ind w:left="520" w:hanging="260"/>
        <w:spacing w:after="0" w:line="27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14" w:lineRule="exact"/>
        <w:rPr>
          <w:rFonts w:ascii="Arial" w:cs="Arial" w:eastAsia="Arial" w:hAnsi="Arial"/>
          <w:sz w:val="14"/>
          <w:szCs w:val="14"/>
          <w:color w:val="auto"/>
        </w:rPr>
      </w:pPr>
    </w:p>
    <w:p>
      <w:pPr>
        <w:ind w:left="520" w:right="3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a “controlled company” within the meaning of the rules and listing standards of The Nasdaq Stock Market LLC (Nasdaq) and rely on exemptions from certain corporate governance requirements, which means that our stockholders do not have the same protections as those afforded to stockholders of companies that are not “controlled.” This could make our Class A common stock less attractive to investors or otherwise harm our stock price.</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currently noncompliant with Nasdaq Listing Rule 5605(c)(2)(A), which requires listed companies to have at least three audit committee members.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the anticipated benefits of the Recapitalization Transactions, our future results of operations and financial position, industry and business</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trends, share-based compensation, business strategy and initiatives, including rental product acquisition, availability and quality initiatives, AI initiatives, business plans, promotional and marketing strategy, impacts from our cost-savings initiatives, anticipated future expenditures, product acquisition expectations, compliance with our debt covenants, market</w:t>
      </w:r>
    </w:p>
    <w:p>
      <w:pPr>
        <w:spacing w:after="0"/>
        <w:rPr>
          <w:sz w:val="20"/>
          <w:szCs w:val="20"/>
          <w:color w:val="auto"/>
        </w:rPr>
      </w:pPr>
      <w:r>
        <w:rPr>
          <w:rFonts w:ascii="Arial" w:cs="Arial" w:eastAsia="Arial" w:hAnsi="Arial"/>
          <w:sz w:val="14"/>
          <w:szCs w:val="14"/>
          <w:color w:val="auto"/>
        </w:rPr>
        <w:t>growth and our objectives for future operations.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2026.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FISCAL YEAR</w:t>
      </w:r>
    </w:p>
    <w:p>
      <w:pPr>
        <w:spacing w:after="0" w:line="200"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Our fiscal year ends on January 31 of the next calendar year. For example, in this Annual Report on Form 10-K, references to “fiscal year 2026” refer to the fiscal year ending January 31, 2027, references to “fiscal year 2025” refer to the fiscal year ended January 31, 2026, and references to “fiscal year 2024” refer to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power women to feel their best every day.</w:t>
      </w:r>
    </w:p>
    <w:p>
      <w:pPr>
        <w:spacing w:after="0" w:line="200"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3.5 million lifetime customers across all of our offerings and we had 183,552 total subscribers (active and paused) as of January 31, 2026. We had 143,796 active subscribers as of January 31, 2026. In fiscal year 2025, 90% of our total revenue was generated by subscribers compared to 88% in fiscal year 2024.</w:t>
      </w:r>
    </w:p>
    <w:p>
      <w:pPr>
        <w:spacing w:after="0" w:line="16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159" w:lineRule="exact"/>
        <w:rPr>
          <w:sz w:val="20"/>
          <w:szCs w:val="20"/>
          <w:color w:val="auto"/>
        </w:rPr>
      </w:pPr>
    </w:p>
    <w:p>
      <w:pPr>
        <w:jc w:val="both"/>
        <w:ind w:right="280"/>
        <w:spacing w:after="0" w:line="274" w:lineRule="auto"/>
        <w:rPr>
          <w:sz w:val="20"/>
          <w:szCs w:val="20"/>
          <w:color w:val="auto"/>
        </w:rPr>
      </w:pPr>
      <w:r>
        <w:rPr>
          <w:rFonts w:ascii="Arial" w:cs="Arial" w:eastAsia="Arial" w:hAnsi="Arial"/>
          <w:sz w:val="14"/>
          <w:szCs w:val="14"/>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24 times what she pays for a monthly RTR Subscription on an annualized basis (more than $48,000 in designer retail value in fiscal year 2025</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8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For example, many of our brand partners work with us because we introduce them to new, desirable customers and deepen awareness of their brands. Over the last 16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172" w:lineRule="exact"/>
        <w:rPr>
          <w:sz w:val="20"/>
          <w:szCs w:val="20"/>
          <w:color w:val="auto"/>
        </w:rPr>
      </w:pPr>
    </w:p>
    <w:p>
      <w:pPr>
        <w:ind w:left="520" w:right="280" w:hanging="260"/>
        <w:spacing w:after="0" w:line="265"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Brand Partner Advantage. Our assortment contains thousands of new, current season styles that luxury competitors simultaneously carry - 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10" w:lineRule="exact"/>
        <w:rPr>
          <w:rFonts w:ascii="Arial" w:cs="Arial" w:eastAsia="Arial" w:hAnsi="Arial"/>
          <w:sz w:val="14"/>
          <w:szCs w:val="14"/>
          <w:color w:val="auto"/>
        </w:rPr>
      </w:pPr>
    </w:p>
    <w:p>
      <w:pPr>
        <w:ind w:left="520" w:right="80" w:hanging="260"/>
        <w:spacing w:after="0" w:line="27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4747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5" w:lineRule="exact"/>
        <w:rPr>
          <w:sz w:val="20"/>
          <w:szCs w:val="20"/>
          <w:color w:val="auto"/>
        </w:rPr>
      </w:pPr>
    </w:p>
    <w:p>
      <w:pPr>
        <w:jc w:val="both"/>
        <w:ind w:right="180" w:firstLine="5"/>
        <w:spacing w:after="0" w:line="229" w:lineRule="auto"/>
        <w:tabs>
          <w:tab w:leader="none" w:pos="72"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520" w:right="6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Technology and Logistics Advantage.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How It Works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offer customers three ways to access our closet: monthly subscription or “Subscription”, a-la-carte rentals or “Reserve” and purchasing through our Resale offering.</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Subscription</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i w:val="1"/>
          <w:iCs w:val="1"/>
          <w:color w:val="auto"/>
        </w:rPr>
        <w:t xml:space="preserve">Pick a Plan. </w:t>
      </w:r>
      <w:r>
        <w:rPr>
          <w:rFonts w:ascii="Arial" w:cs="Arial" w:eastAsia="Arial" w:hAnsi="Arial"/>
          <w:sz w:val="14"/>
          <w:szCs w:val="14"/>
          <w:color w:val="auto"/>
        </w:rPr>
        <w:t>When customers subscribe, they select from a menu of entry plans. Each plan starts with five items, or “spots,” per shipment, and varies based on how often the</w:t>
      </w:r>
      <w:r>
        <w:rPr>
          <w:rFonts w:ascii="Arial" w:cs="Arial" w:eastAsia="Arial" w:hAnsi="Arial"/>
          <w:sz w:val="14"/>
          <w:szCs w:val="14"/>
          <w:i w:val="1"/>
          <w:iCs w:val="1"/>
          <w:color w:val="auto"/>
        </w:rPr>
        <w:t xml:space="preserve"> </w:t>
      </w:r>
      <w:r>
        <w:rPr>
          <w:rFonts w:ascii="Arial" w:cs="Arial" w:eastAsia="Arial" w:hAnsi="Arial"/>
          <w:sz w:val="14"/>
          <w:szCs w:val="14"/>
          <w:color w:val="auto"/>
        </w:rPr>
        <w:t>subscriber wishes to receive new shipments, each a “swap.” Today, our subscribers onboard into plans that offer one or more shipments with pricing ranging from $109 to $275 per month.</w:t>
      </w:r>
    </w:p>
    <w:p>
      <w:pPr>
        <w:spacing w:after="0" w:line="15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i w:val="1"/>
          <w:iCs w:val="1"/>
          <w:color w:val="auto"/>
        </w:rPr>
        <w:t xml:space="preserve">Customize. </w:t>
      </w:r>
      <w:r>
        <w:rPr>
          <w:rFonts w:ascii="Arial" w:cs="Arial" w:eastAsia="Arial" w:hAnsi="Arial"/>
          <w:sz w:val="14"/>
          <w:szCs w:val="14"/>
          <w:color w:val="auto"/>
        </w:rPr>
        <w:t>Subscribers can customize their plans to adapt to their changing lifestyles, needs and budgets by adding spots at a prorated price of up to $31 or $33 per item per</w:t>
      </w:r>
      <w:r>
        <w:rPr>
          <w:rFonts w:ascii="Arial" w:cs="Arial" w:eastAsia="Arial" w:hAnsi="Arial"/>
          <w:sz w:val="14"/>
          <w:szCs w:val="14"/>
          <w:i w:val="1"/>
          <w:iCs w:val="1"/>
          <w:color w:val="auto"/>
        </w:rPr>
        <w:t xml:space="preserve"> </w:t>
      </w:r>
      <w:r>
        <w:rPr>
          <w:rFonts w:ascii="Arial" w:cs="Arial" w:eastAsia="Arial" w:hAnsi="Arial"/>
          <w:sz w:val="14"/>
          <w:szCs w:val="14"/>
          <w:color w:val="auto"/>
        </w:rPr>
        <w:t>month and shipments for up to $35 - $60 per shipment per month, as they see fit (plus applicable taxes and fees).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Choose Items. </w:t>
      </w:r>
      <w:r>
        <w:rPr>
          <w:rFonts w:ascii="Arial" w:cs="Arial" w:eastAsia="Arial" w:hAnsi="Arial"/>
          <w:sz w:val="14"/>
          <w:szCs w:val="14"/>
          <w:color w:val="auto"/>
        </w:rPr>
        <w:t>After picking a plan, subscribers browse our broad assortment of items to build their first shipment.</w:t>
      </w:r>
    </w:p>
    <w:p>
      <w:pPr>
        <w:spacing w:after="0" w:line="200"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color w:val="auto"/>
        </w:rPr>
        <w:t>Wear, Repeat</w:t>
      </w:r>
      <w:r>
        <w:rPr>
          <w:rFonts w:ascii="Arial" w:cs="Arial" w:eastAsia="Arial" w:hAnsi="Arial"/>
          <w:sz w:val="14"/>
          <w:szCs w:val="14"/>
          <w:color w:val="auto"/>
        </w:rPr>
        <w:t>. When subscribers place an order, we aim to deliver their order within three business days of shipping from our fulfillment centers in our reusable garment bags,</w:t>
      </w:r>
      <w:r>
        <w:rPr>
          <w:rFonts w:ascii="Arial" w:cs="Arial" w:eastAsia="Arial" w:hAnsi="Arial"/>
          <w:sz w:val="14"/>
          <w:szCs w:val="14"/>
          <w:i w:val="1"/>
          <w:iCs w:val="1"/>
          <w:color w:val="auto"/>
        </w:rPr>
        <w:t xml:space="preserve"> </w:t>
      </w:r>
      <w:r>
        <w:rPr>
          <w:rFonts w:ascii="Arial" w:cs="Arial" w:eastAsia="Arial" w:hAnsi="Arial"/>
          <w:sz w:val="14"/>
          <w:szCs w:val="14"/>
          <w:color w:val="auto"/>
        </w:rPr>
        <w:t>cleaned and ready to wear.</w:t>
      </w:r>
    </w:p>
    <w:p>
      <w:pPr>
        <w:spacing w:after="0" w:line="141"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Subscribers keep items for as long as they would like and may choose to return some or all of their items with each new shipment. When subscribers select the items they want to return on our app, we allow them to immediately start building their next shipment, maximizing their time with items at home. After a grace period, we typically charge a modest late fee for delayed returns.</w:t>
      </w:r>
    </w:p>
    <w:p>
      <w:pPr>
        <w:spacing w:after="0" w:line="15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Subscribers typically visit our app multiple times per week to browse our offering, build their next shipment, and plan for their upcoming occasions. They are asked to give us real-time feedback on the size, fit and quality of the items they rent. The structured data we collect from customer feedback allows us to both improve her experience as well as optimize our garment care and, therefore, our return on investment of the items returned. Our customers also have the option of leaving photo reviews of items they rented to share their experience with the Rent the Runway community, including fit information, occasions they rented for and styling tips. Once subscribers confirm their new shipment, they can return their items in RTR’s reusable garment bag to the nearest preferred shipping partner location using a prepaid return label. In addition, a majority of our subscribers have the option to return their items via our at-home pickup offering that we introduced in 2021. As of January 31, 2026, our at-home pickup offering covered 91% of our subscriber base.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Reserve</w:t>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our customers have the option of leaving a review, and we clean and care for items when they are returned.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Resale</w:t>
      </w:r>
    </w:p>
    <w:p>
      <w:pPr>
        <w:spacing w:after="0" w:line="198"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addition to renting, customers also shop pre-loved styles from our closet at a discount to retail price, up to 90% off of designer retail value (which we calculate using original retail and/or comparable value prices). A Subscription is not required for purchase. Our subscribers also have the option to purchase items they already have at home.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Customer Value Proposition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Through our platform, we have helped approximately 3.5 million lifetime customers discover the transformative power of utilizing our Closet in the Cloud across all of our offerings.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customer base is diverse and spans age, household income distribution and U.S. geography.</w:t>
      </w:r>
    </w:p>
    <w:p>
      <w:pPr>
        <w:spacing w:after="0" w:line="186"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Subscribers are customers who access our Closet in the Cloud via our monthly Subscription offering. The portion of our customers who are subscribers accounted for 90% of our revenue in fiscal year 2025. As of January 31, 2026, we had 143,796 Active Subscribers and 183,552 total subscribers including paused subscribers, and during fiscal year 2025, we had 143,558 Average Active Subscribers. Many of our subscribers started as customers in Reserve and/or Resale and we continue to see conversion from Reserve and Resale customers into subscribers for many years.</w:t>
      </w:r>
    </w:p>
    <w:p>
      <w:pPr>
        <w:spacing w:after="0" w:line="201" w:lineRule="exact"/>
        <w:rPr>
          <w:sz w:val="20"/>
          <w:szCs w:val="20"/>
          <w:color w:val="auto"/>
        </w:rPr>
      </w:pPr>
    </w:p>
    <w:p>
      <w:pPr>
        <w:ind w:left="520" w:right="520" w:hanging="260"/>
        <w:spacing w:after="0" w:line="28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Variety and Discovery. </w:t>
      </w:r>
      <w:r>
        <w:rPr>
          <w:rFonts w:ascii="Arial" w:cs="Arial" w:eastAsia="Arial" w:hAnsi="Arial"/>
          <w:sz w:val="14"/>
          <w:szCs w:val="14"/>
          <w:color w:val="auto"/>
        </w:rPr>
        <w:t>With thousands of styles across hundreds of brands in our Closet in the Cloud, Rent the Runway gives customers the ability to always wear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something new to them and inspires customers to expand their fashion tastes without risk of buyer’s remorse.</w:t>
      </w:r>
    </w:p>
    <w:p>
      <w:pPr>
        <w:ind w:left="520" w:right="16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Value. </w:t>
      </w:r>
      <w:r>
        <w:rPr>
          <w:rFonts w:ascii="Arial" w:cs="Arial" w:eastAsia="Arial" w:hAnsi="Arial"/>
          <w:sz w:val="14"/>
          <w:szCs w:val="14"/>
          <w:color w:val="auto"/>
        </w:rPr>
        <w:t>Rent the Runway makes thousands of designer styles accessible through our Subscription offering for a flat monthly price or through our Reserve offering on a per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item basis. We deliver significant financial value to customers, with our average subscriber wearing clothes worth more than 24 times what she pays for a monthly RTR Subscription on an annualized basis.</w:t>
      </w:r>
    </w:p>
    <w:p>
      <w:pPr>
        <w:spacing w:after="0" w:line="6" w:lineRule="exact"/>
        <w:rPr>
          <w:rFonts w:ascii="Arial" w:cs="Arial" w:eastAsia="Arial" w:hAnsi="Arial"/>
          <w:sz w:val="14"/>
          <w:szCs w:val="14"/>
          <w:color w:val="auto"/>
        </w:rPr>
      </w:pPr>
    </w:p>
    <w:p>
      <w:pPr>
        <w:ind w:left="520" w:right="280" w:hanging="260"/>
        <w:spacing w:after="0" w:line="28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Self-Confidence. </w:t>
      </w:r>
      <w:r>
        <w:rPr>
          <w:rFonts w:ascii="Arial" w:cs="Arial" w:eastAsia="Arial" w:hAnsi="Arial"/>
          <w:sz w:val="14"/>
          <w:szCs w:val="14"/>
          <w:color w:val="auto"/>
        </w:rPr>
        <w:t>According to our March 2023 Subscriber Survey, 83% of our subscribers say RTR makes them the most confident version of themselves at work or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social settings. Because there is no commitment to keep an item rented from RTR, we fuel greater self-expression for our customers.</w:t>
      </w:r>
    </w:p>
    <w:p>
      <w:pPr>
        <w:ind w:left="52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Personalization and Convenienc</w:t>
      </w:r>
      <w:r>
        <w:rPr>
          <w:rFonts w:ascii="Arial" w:cs="Arial" w:eastAsia="Arial" w:hAnsi="Arial"/>
          <w:sz w:val="14"/>
          <w:szCs w:val="14"/>
          <w:b w:val="1"/>
          <w:bCs w:val="1"/>
          <w:color w:val="auto"/>
        </w:rPr>
        <w:t>e</w:t>
      </w:r>
      <w:r>
        <w:rPr>
          <w:rFonts w:ascii="Arial" w:cs="Arial" w:eastAsia="Arial" w:hAnsi="Arial"/>
          <w:sz w:val="14"/>
          <w:szCs w:val="14"/>
          <w:color w:val="auto"/>
        </w:rPr>
        <w:t>. We use our rich customer data to create a personalized storefront for customers based on their style preferences, browsing history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past rentals. Our understanding of our customer improves with each interaction, and we use our personalization algorithms to provide size recommendations to each customer at the item level. By showing customers designs they will love that are attractively styled, and likely to fit, we continue to drive strong loyalty and monetization.</w:t>
      </w:r>
    </w:p>
    <w:p>
      <w:pPr>
        <w:spacing w:after="0" w:line="6" w:lineRule="exact"/>
        <w:rPr>
          <w:rFonts w:ascii="Arial" w:cs="Arial" w:eastAsia="Arial" w:hAnsi="Arial"/>
          <w:sz w:val="14"/>
          <w:szCs w:val="14"/>
          <w:color w:val="auto"/>
        </w:rPr>
      </w:pPr>
    </w:p>
    <w:p>
      <w:pPr>
        <w:ind w:left="520" w:right="20" w:hanging="260"/>
        <w:spacing w:after="0" w:line="265"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Experience and Community. </w:t>
      </w:r>
      <w:r>
        <w:rPr>
          <w:rFonts w:ascii="Arial" w:cs="Arial" w:eastAsia="Arial" w:hAnsi="Arial"/>
          <w:sz w:val="14"/>
          <w:szCs w:val="14"/>
          <w:color w:val="auto"/>
        </w:rPr>
        <w:t>Our customers are deeply engaged, as evidenced by the 68.0 million customer reviews posted as of January 2026. We continue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make enhancements to our review process designed to allow customers to make smarter choices and feel good about their selections. In addition, we introduced a subscriber loyalty program in fiscal year 2025. Rent the Runway has also benefited from virality and word-of-mouth marketing over the years and has focused on enhancing our social media and word-of-mouth channels in fiscal years 2025 and 2026.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Unique Brand Partner Approach</w:t>
      </w:r>
    </w:p>
    <w:p>
      <w:pPr>
        <w:spacing w:after="0" w:line="200"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69% in fiscal year 2025. We procure virtually 100% of our products directly from or in collaboration with brand partners and our business model has been built on shared success with brands. Through their relationships with us, they get access to unique data and exposure to a broad customer base, and our variety of sourcing channels provides brands with flexibility that is designed to meet their needs and ours. Our partnerships with brands have created a significant product and cost advantage. Because we source directly from brands, we also can control our assortment and acquire styles in the volumes and sizes we want, we have access to current season items and all of our items are guaranteed authentic without the cost or infrastructure of traditional authentication platforms. See Part II, Item 7, “Management’s Discussion and Analysis of Financial Condition and Results of Operations—Our Product Acquisition Strategy.”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Wholesale</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Wholesale includes products we acquire directly from our brand partners, typically at a discount to wholesale price based on our scale. We have observed that the original retail prices set by the brands are often at an approximately 2.5x mark-up to the wholesale price. As we continue to expand our selection and grow the share of our assortment acquired from a designer, we benefit from greater discounts on product acquisition. Wholesale represented 31% of our product acquisition in fiscal year 2025.</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by RTR</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Through Share by RTR, we acquire items directly from brand partners on consignment, at zero or a fraction of the Wholesale cost with performance-based revenue share payments to our brand partners over time. Since launching Share by RTR in 2018 with just seven partners, we have grown to over 400 brands that partner with us on Share by RTR across all categories. The revenue share fees are calculated net of a logistics fee charged to the brands for each rental. If a piece is in greater demand, it will drive higher revenue, which could result in brands earning more on the item over time than if it had been sold through Wholesale subject to a maximum cap. Share by RTR aligns incentives between brands and RTR and reduces product risk as it is largely a pay-for-performance model. Our Share by RTR arrangements with brands target delivering 75% to 100% of comparable Wholesale cost to the brand in the first twelve to eighteen months; however there is no minimum commitment other than the upfront payment, if applicable. Nearly all Share by RTR deals consummated after September 2020 include a cap on total potential payments to the brand partner. Share by RTR represented 57% of our product acquisition in fiscal year 2025.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Exclusive Designs</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leverage our data to create highly desirable Exclusive Designs in collaboration with select brand partners that we manufacture through third-party partners to be more durable and at approximately 35% lower cost than Wholesale. For these collaborations, we provide a data blueprint to brands and, based on this data, they design new collections for us that carry their brand name. Beginning in fiscal year 2025, we introduced another approach to our Exclusive Designs in which certain brands design, source and manufacture the rental product directly in partnership with us.</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Our Exclusive Designs collections enable our brand partners to innovate their businesses and enter into new product lines at reduced cost to them. All of the styles are exclusive to rent on RTR for a period of time, after which brands may monetize these exclusive designs through other channels, which in some cases is subject to a royalty fee payment to Rent the Runway (that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We also have a small number of products bearing our trademarks, which are non-exclusive designs produced by third party partners at a significantly lower average cost than Wholesale to strategically fill assortment gaps. Exclusive Designs accounted for 12% of our product acquisition in fiscal year 2025.</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Our Marketing Strategy</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brand and deeply engaged consumer base have historically allowed us to acquire customers efficiently. Since our founding, we have spent less than 10% of total revenue on marketing, and our growth has been mostly organic. The majority of our customers over the last 16 years have been acquired organically. As we have scaled, we believe that our brand is a significant point of differentiation with consumers and brand partners and we believe we have a continued opportunity to increase brand awareness. As of February 2026, our unaided brand awareness was 35% among U.S. women ages 25 - 44 with a household income of $50,000 or more and 44% among U.S. women ages 25 - 44 with a household income of $100,000 or more.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Many of our customers share a love of the Rent the Runway experience and value proposition, which starts conversations both online and offline and leads to word of mouth adoption. Our clothing often becomes a visual billboard and advertisement for our platform. Many women share their Rent the Runway experience on social media and in their personal lives, which helps drive our organic growth and brand awareness. When our customers are wearing RTR and someone compliments them or asks about what they are wearing, 97% of our subscribers share that it’s Rent the Runway as opposed to the designer brand name. According to our March 2023 Subscriber Survey, nearly half of our subscribers have posted themselves wearing RTR on their social media over five times. Renting from us is an inherently social behavior: 76% of our subscribers rent along with a friend or colleague. In fiscal year 2025, we implemented a brand refresh and focused on community and customer-centric marketing approaches, as well as, diversification of our marketing channels and optimizing our spend.</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Our marketing strategy in fiscal year 2026 is aimed at continuing to unleash the power of community. We plan to continue to spotlight community and feature real members in an effort to build authentic consideration for our brand and customer offering. We’re focused on building a word-of-mouth engine that is intended to drive growth and reduce our reliance on paid marketing. Additionally, we expect to continue our focus on our search engine optimization (SEO) and answer engine optimization (AEO) channels to drive traffic and conversion. Although we focus on full funnel marketing, our marketing spend has prioritized, and is expected to continue to prioritize, paid marketing over upper funnel, brand marketing investments.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Data Approach</w:t>
      </w:r>
    </w:p>
    <w:p>
      <w:pPr>
        <w:spacing w:after="0" w:line="20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4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capture thousands of unique data points per subscriber per year and over 20 unique data points per item each time it is rented across four channels including website data, post-wear data, operations data and customer data. We also identify and tag approximately 75 detailed attributes per style. By mapping our interactions with our products’ inherent attributes, we create a feedback loop which allows us to optimize the supply of products in ways we believe that would be difficult for traditional retailers to achieve or replicate. We believe this is one of our biggest competitive advantages.</w:t>
      </w:r>
    </w:p>
    <w:p>
      <w:pPr>
        <w:spacing w:after="0" w:line="159"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believe that our differentiated business model enables us to collect substantially more data than traditional fashion retailers and we use this data to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helps to drive loyalty. As we learn more about a customer, our personalized features give us greater ability to direct her towards the items that optimize both customer lifetime value and rental product return on investment for us.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data benefits brand partners in numerous ways:</w:t>
      </w:r>
    </w:p>
    <w:p>
      <w:pPr>
        <w:spacing w:after="0" w:line="200" w:lineRule="exact"/>
        <w:rPr>
          <w:sz w:val="20"/>
          <w:szCs w:val="20"/>
          <w:color w:val="auto"/>
        </w:rPr>
      </w:pPr>
    </w:p>
    <w:p>
      <w:pPr>
        <w:ind w:left="520" w:right="280" w:hanging="260"/>
        <w:spacing w:after="0" w:line="26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the Garment Life Cycle: </w:t>
      </w:r>
      <w:r>
        <w:rPr>
          <w:rFonts w:ascii="Arial" w:cs="Arial" w:eastAsia="Arial" w:hAnsi="Arial"/>
          <w:sz w:val="14"/>
          <w:szCs w:val="14"/>
          <w:color w:val="auto"/>
        </w:rPr>
        <w:t>We help partners grow their business through the data we provide. For example, product longevity data often help our brands</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 the life of their garments, which can support their sustainability goals.</w:t>
      </w:r>
    </w:p>
    <w:p>
      <w:pPr>
        <w:ind w:left="520" w:right="100" w:hanging="260"/>
        <w:spacing w:after="0" w:line="269"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Customer Demand: </w:t>
      </w:r>
      <w:r>
        <w:rPr>
          <w:rFonts w:ascii="Arial" w:cs="Arial" w:eastAsia="Arial" w:hAnsi="Arial"/>
          <w:sz w:val="14"/>
          <w:szCs w:val="14"/>
          <w:color w:val="auto"/>
        </w:rPr>
        <w:t>As our customers wear (or don’t wear) and review items, we can assess demand due to our robust attribution of products paired with</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interaction data. This data highlights growth opportunities for brands as well as areas for improvement.</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data also allows us to optimize the return on investment on products and customer lifetime value, which are dependent on the following inputs, all of which continuously improve as our business scales.</w:t>
      </w:r>
    </w:p>
    <w:p>
      <w:pPr>
        <w:spacing w:after="0" w:line="184" w:lineRule="exact"/>
        <w:rPr>
          <w:sz w:val="20"/>
          <w:szCs w:val="20"/>
          <w:color w:val="auto"/>
        </w:rPr>
      </w:pPr>
    </w:p>
    <w:p>
      <w:pPr>
        <w:ind w:left="520" w:right="80" w:hanging="260"/>
        <w:spacing w:after="0" w:line="29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Scientific Product Acquisition: </w:t>
      </w:r>
      <w:r>
        <w:rPr>
          <w:rFonts w:ascii="Arial" w:cs="Arial" w:eastAsia="Arial" w:hAnsi="Arial"/>
          <w:sz w:val="14"/>
          <w:szCs w:val="14"/>
          <w:color w:val="auto"/>
        </w:rPr>
        <w:t>Our data provides a comprehensive picture of our products by bringing together customer feedback, operations data and inherent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attributes. Our teams utilize this data to optimize the styles we need and the quantity per style.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520" w:right="200" w:hanging="260"/>
        <w:spacing w:after="0" w:line="27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Price Optimization: </w:t>
      </w:r>
      <w:r>
        <w:rPr>
          <w:rFonts w:ascii="Arial" w:cs="Arial" w:eastAsia="Arial" w:hAnsi="Arial"/>
          <w:sz w:val="14"/>
          <w:szCs w:val="14"/>
          <w:color w:val="auto"/>
        </w:rPr>
        <w:t>We price our products across Subscription, Reserve and Resale by using data to take into account demand signals and the expected useful life and</w:t>
      </w:r>
      <w:r>
        <w:rPr>
          <w:rFonts w:ascii="Arial" w:cs="Arial" w:eastAsia="Arial" w:hAnsi="Arial"/>
          <w:sz w:val="14"/>
          <w:szCs w:val="14"/>
          <w:b w:val="1"/>
          <w:bCs w:val="1"/>
          <w:color w:val="auto"/>
        </w:rPr>
        <w:t xml:space="preserve"> </w:t>
      </w:r>
      <w:r>
        <w:rPr>
          <w:rFonts w:ascii="Arial" w:cs="Arial" w:eastAsia="Arial" w:hAnsi="Arial"/>
          <w:sz w:val="14"/>
          <w:szCs w:val="14"/>
          <w:color w:val="auto"/>
        </w:rPr>
        <w:t>turns of each item. We have the flexibility to set prices based on the business needs and plan to assess additional opportunities in this area, including the use of new AI tools for dynamic pricing designed for even greater efficiency.</w:t>
      </w:r>
    </w:p>
    <w:p>
      <w:pPr>
        <w:spacing w:after="0" w:line="6"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Lower Cost Product: </w:t>
      </w:r>
      <w:r>
        <w:rPr>
          <w:rFonts w:ascii="Arial" w:cs="Arial" w:eastAsia="Arial" w:hAnsi="Arial"/>
          <w:sz w:val="14"/>
          <w:szCs w:val="14"/>
          <w:color w:val="auto"/>
        </w:rPr>
        <w:t>We leverage our data to create highly desirable Exclusive Designs in collaboration with our brand partners that we or our brand partners manufacture</w:t>
      </w:r>
      <w:r>
        <w:rPr>
          <w:rFonts w:ascii="Arial" w:cs="Arial" w:eastAsia="Arial" w:hAnsi="Arial"/>
          <w:sz w:val="14"/>
          <w:szCs w:val="14"/>
          <w:b w:val="1"/>
          <w:bCs w:val="1"/>
          <w:color w:val="auto"/>
        </w:rPr>
        <w:t xml:space="preserve"> </w:t>
      </w:r>
      <w:r>
        <w:rPr>
          <w:rFonts w:ascii="Arial" w:cs="Arial" w:eastAsia="Arial" w:hAnsi="Arial"/>
          <w:sz w:val="14"/>
          <w:szCs w:val="14"/>
          <w:color w:val="auto"/>
        </w:rPr>
        <w:t>to be more durable at significantly lower cost. Since launching Exclusive Designs in 2018, we have developed over 45 collections.</w:t>
      </w:r>
    </w:p>
    <w:p>
      <w:pPr>
        <w:ind w:left="520" w:right="28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Longer Product Life: </w:t>
      </w:r>
      <w:r>
        <w:rPr>
          <w:rFonts w:ascii="Arial" w:cs="Arial" w:eastAsia="Arial" w:hAnsi="Arial"/>
          <w:sz w:val="14"/>
          <w:szCs w:val="14"/>
          <w:color w:val="auto"/>
        </w:rPr>
        <w:t>Our feedback to brands helps us customize for higher longevity of our products - we understand how to clean and care for garments to maximize</w:t>
      </w:r>
      <w:r>
        <w:rPr>
          <w:rFonts w:ascii="Arial" w:cs="Arial" w:eastAsia="Arial" w:hAnsi="Arial"/>
          <w:sz w:val="14"/>
          <w:szCs w:val="14"/>
          <w:b w:val="1"/>
          <w:bCs w:val="1"/>
          <w:color w:val="auto"/>
        </w:rPr>
        <w:t xml:space="preserve"> </w:t>
      </w:r>
      <w:r>
        <w:rPr>
          <w:rFonts w:ascii="Arial" w:cs="Arial" w:eastAsia="Arial" w:hAnsi="Arial"/>
          <w:sz w:val="14"/>
          <w:szCs w:val="14"/>
          <w:color w:val="auto"/>
        </w:rPr>
        <w:t>multi-year monetization and incremental turns per unit.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Science</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Data powers our technology and logistics operations, from recommender systems to forecasting. We have created data science algorithms that help us achieve better outcomes for the business.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Some of our most impactful proprietary algorithms include:</w:t>
      </w:r>
    </w:p>
    <w:p>
      <w:pPr>
        <w:spacing w:after="0" w:line="200"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Deep 1:1 Personalization: </w:t>
      </w:r>
      <w:r>
        <w:rPr>
          <w:rFonts w:ascii="Arial" w:cs="Arial" w:eastAsia="Arial" w:hAnsi="Arial"/>
          <w:sz w:val="14"/>
          <w:szCs w:val="14"/>
          <w:color w:val="auto"/>
        </w:rPr>
        <w:t>For each customer and item, we compute several scores that measure the affinity of item and customer through factorization machines and</w:t>
      </w:r>
    </w:p>
    <w:p>
      <w:pPr>
        <w:spacing w:after="0" w:line="22" w:lineRule="exact"/>
        <w:rPr>
          <w:rFonts w:ascii="Arial" w:cs="Arial" w:eastAsia="Arial" w:hAnsi="Arial"/>
          <w:sz w:val="14"/>
          <w:szCs w:val="14"/>
          <w:color w:val="auto"/>
        </w:rPr>
      </w:pPr>
    </w:p>
    <w:p>
      <w:pPr>
        <w:ind w:left="520" w:right="20"/>
        <w:spacing w:after="0" w:line="253" w:lineRule="auto"/>
        <w:rPr>
          <w:rFonts w:ascii="Arial" w:cs="Arial" w:eastAsia="Arial" w:hAnsi="Arial"/>
          <w:sz w:val="14"/>
          <w:szCs w:val="14"/>
          <w:color w:val="auto"/>
        </w:rPr>
      </w:pPr>
      <w:r>
        <w:rPr>
          <w:rFonts w:ascii="Arial" w:cs="Arial" w:eastAsia="Arial" w:hAnsi="Arial"/>
          <w:sz w:val="14"/>
          <w:szCs w:val="14"/>
          <w:color w:val="auto"/>
        </w:rPr>
        <w:t>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ind w:left="520" w:hanging="260"/>
        <w:spacing w:after="0" w:line="25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Retention Predictive Model: </w:t>
      </w:r>
      <w:r>
        <w:rPr>
          <w:rFonts w:ascii="Arial" w:cs="Arial" w:eastAsia="Arial" w:hAnsi="Arial"/>
          <w:sz w:val="14"/>
          <w:szCs w:val="14"/>
          <w:color w:val="auto"/>
        </w:rPr>
        <w:t>We leverage a retention predictive model and analytics to identify and understand the relative importance of various drivers of loyalty and</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 the interventions that have the highest probability of improving customer retention. We regularly leverage this data to experiment with different approaches to retain customers based on this model in a targeted and personalized way.</w:t>
      </w:r>
    </w:p>
    <w:p>
      <w:pPr>
        <w:ind w:left="520" w:right="80" w:hanging="260"/>
        <w:spacing w:after="0" w:line="26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Computer Vision for Products: </w:t>
      </w:r>
      <w:r>
        <w:rPr>
          <w:rFonts w:ascii="Arial" w:cs="Arial" w:eastAsia="Arial" w:hAnsi="Arial"/>
          <w:sz w:val="14"/>
          <w:szCs w:val="14"/>
          <w:color w:val="auto"/>
        </w:rPr>
        <w:t>For each style in our assortment, we generate an embedding with over 2,000 visual style dimensions using deep learning that capture</w:t>
      </w:r>
      <w:r>
        <w:rPr>
          <w:rFonts w:ascii="Arial" w:cs="Arial" w:eastAsia="Arial" w:hAnsi="Arial"/>
          <w:sz w:val="14"/>
          <w:szCs w:val="14"/>
          <w:b w:val="1"/>
          <w:bCs w:val="1"/>
          <w:color w:val="auto"/>
        </w:rPr>
        <w:t xml:space="preserve"> </w:t>
      </w:r>
      <w:r>
        <w:rPr>
          <w:rFonts w:ascii="Arial" w:cs="Arial" w:eastAsia="Arial" w:hAnsi="Arial"/>
          <w:sz w:val="14"/>
          <w:szCs w:val="14"/>
          <w:color w:val="auto"/>
        </w:rPr>
        <w:t>color, pattern shape, sleeve length, etc. We leverage this data as a feature in our recommender systems, to cluster styles to inform product acquisition and provide product attributes in our product catalog amongst other uses.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Technology and Logistics Platform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built a cohesive platform that pairs proprietary and third-party software with differentiated infrastructure and hardware all tailored to the sharing economy of physical goods.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proprietary software and key integrations with third-parties leverage our vast and unique dataset to optimize key outcomes for RTR.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and Third-Party Software and Systems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We have purpose-built technology to support three key areas of our business:</w:t>
      </w:r>
    </w:p>
    <w:p>
      <w:pPr>
        <w:spacing w:after="0" w:line="20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Facing e-Commerce (including 2-Way e-Commerce)</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Rental Reverse Logistics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Merchandising &amp; Products Control</w:t>
      </w: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fiscal year 2026, we expect to continue to make improvements across our technology stack, including continued improvements to our cloud infrastructure, to enable greater scale, and enhanced resiliency. Additionally, we continue to enhance our core platforms to improve search, merchandising, and product discovery, aimed at creating a more seamless and personalized customer experience. We continue to focus on improving the performance of our website and mobile application, including increasing reliability to improve the customer experience and keep pace with industry standards. We have also significantly increased our investment in artificial intelligence (AI) driven solutions and features, focusing on applications that enhance both the customer and operational experience. These AI initiatives are designed to provide even more personalized product and fit recommendations, optimize rental product allocation and logistics planning, and ultimately improve developer velocity through advanced tooling and automation, designed to ensure that our platform remains at the forefront of the circular economy.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Facing e-Commerce (including 2-Way e-commerce)</w:t>
      </w:r>
    </w:p>
    <w:p>
      <w:pPr>
        <w:spacing w:after="0" w:line="9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have a 2-way relationship with our customers — in that nearly every item is returned and the customer provides feedback. We have built custom frontend platforms that support Subscription, Reserve and Resale in one cohesive experience for the customer, which allows us to optimize our product offering for the customer based on her needs.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Rental Reverse Logistics</w:t>
      </w:r>
    </w:p>
    <w:p>
      <w:pPr>
        <w:spacing w:after="0" w:line="177"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We designed our technology and reverse logistics operations to support the processes in our fulfillment centers and ensure that we can process orders efficiently and extend the useful life of our products.</w:t>
      </w:r>
    </w:p>
    <w:p>
      <w:pPr>
        <w:spacing w:after="0" w:line="141"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Garment Science:</w:t>
      </w:r>
    </w:p>
    <w:p>
      <w:pPr>
        <w:spacing w:after="0" w:line="22" w:lineRule="exact"/>
        <w:rPr>
          <w:rFonts w:ascii="Arial" w:cs="Arial" w:eastAsia="Arial" w:hAnsi="Arial"/>
          <w:sz w:val="14"/>
          <w:szCs w:val="14"/>
          <w:b w:val="1"/>
          <w:bCs w:val="1"/>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Cleaning Intelligence: We have over a decade of data and expertise in optimizing the life of a garment by leveraging different cleaning and care methods.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Cleaning Automation: Automation supports dynamic sorting of items into as many as 21 different cleaning programs.</w:t>
      </w:r>
    </w:p>
    <w:p>
      <w:pPr>
        <w:spacing w:after="0" w:line="8" w:lineRule="exact"/>
        <w:rPr>
          <w:rFonts w:ascii="Arial" w:cs="Arial" w:eastAsia="Arial" w:hAnsi="Arial"/>
          <w:sz w:val="14"/>
          <w:szCs w:val="14"/>
          <w:color w:val="auto"/>
        </w:rPr>
      </w:pPr>
    </w:p>
    <w:p>
      <w:pPr>
        <w:ind w:left="1020" w:hanging="251"/>
        <w:spacing w:after="0"/>
        <w:tabs>
          <w:tab w:leader="none" w:pos="10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Garment Care and Restoration: All units undergo one or more quality audits before being available to rent for the next customer.</w:t>
      </w:r>
    </w:p>
    <w:p>
      <w:pPr>
        <w:spacing w:after="0" w:line="37" w:lineRule="exact"/>
        <w:rPr>
          <w:rFonts w:ascii="Arial" w:cs="Arial" w:eastAsia="Arial" w:hAnsi="Arial"/>
          <w:sz w:val="14"/>
          <w:szCs w:val="14"/>
          <w:color w:val="auto"/>
        </w:rPr>
      </w:pPr>
    </w:p>
    <w:p>
      <w:pPr>
        <w:jc w:val="both"/>
        <w:ind w:left="520" w:right="4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Intelligent Fulfillment Network</w:t>
      </w:r>
      <w:r>
        <w:rPr>
          <w:rFonts w:ascii="Arial" w:cs="Arial" w:eastAsia="Arial" w:hAnsi="Arial"/>
          <w:sz w:val="14"/>
          <w:szCs w:val="14"/>
          <w:color w:val="auto"/>
        </w:rPr>
        <w:t>: Our unified booking engine, the proprietary “brain” of our distribution capabilities, dynamically manages decisions such as which fulfillment</w:t>
      </w:r>
      <w:r>
        <w:rPr>
          <w:rFonts w:ascii="Arial" w:cs="Arial" w:eastAsia="Arial" w:hAnsi="Arial"/>
          <w:sz w:val="14"/>
          <w:szCs w:val="14"/>
          <w:b w:val="1"/>
          <w:bCs w:val="1"/>
          <w:color w:val="auto"/>
        </w:rPr>
        <w:t xml:space="preserve"> </w:t>
      </w:r>
      <w:r>
        <w:rPr>
          <w:rFonts w:ascii="Arial" w:cs="Arial" w:eastAsia="Arial" w:hAnsi="Arial"/>
          <w:sz w:val="14"/>
          <w:szCs w:val="14"/>
          <w:color w:val="auto"/>
        </w:rPr>
        <w:t>center to ship a unit from or which transportation type to select to reduce cost. We are therefore able to maintain uptime throughout the year, such as during power or other outages by moving demand to another facility.</w:t>
      </w:r>
    </w:p>
    <w:p>
      <w:pPr>
        <w:spacing w:after="0" w:line="6" w:lineRule="exact"/>
        <w:rPr>
          <w:rFonts w:ascii="Arial" w:cs="Arial" w:eastAsia="Arial" w:hAnsi="Arial"/>
          <w:sz w:val="14"/>
          <w:szCs w:val="14"/>
          <w:color w:val="auto"/>
        </w:rPr>
      </w:pPr>
    </w:p>
    <w:p>
      <w:pPr>
        <w:ind w:left="520" w:right="24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Optimized Storage: </w:t>
      </w:r>
      <w:r>
        <w:rPr>
          <w:rFonts w:ascii="Arial" w:cs="Arial" w:eastAsia="Arial" w:hAnsi="Arial"/>
          <w:sz w:val="14"/>
          <w:szCs w:val="14"/>
          <w:color w:val="auto"/>
        </w:rPr>
        <w:t>Garments and accessories are stored in multi-story pick modules that utilize both on-hanger and flat pack storage solutions. All items are stored</w:t>
      </w:r>
      <w:r>
        <w:rPr>
          <w:rFonts w:ascii="Arial" w:cs="Arial" w:eastAsia="Arial" w:hAnsi="Arial"/>
          <w:sz w:val="14"/>
          <w:szCs w:val="14"/>
          <w:b w:val="1"/>
          <w:bCs w:val="1"/>
          <w:color w:val="auto"/>
        </w:rPr>
        <w:t xml:space="preserve"> </w:t>
      </w:r>
      <w:r>
        <w:rPr>
          <w:rFonts w:ascii="Arial" w:cs="Arial" w:eastAsia="Arial" w:hAnsi="Arial"/>
          <w:sz w:val="14"/>
          <w:szCs w:val="14"/>
          <w:color w:val="auto"/>
        </w:rPr>
        <w:t>randomly, maximizing the utilization of cubic storage space. Random storage allows for efficient putaway of garments and dynamically created pick paths that save labor cost.</w:t>
      </w:r>
    </w:p>
    <w:p>
      <w:pPr>
        <w:spacing w:after="0" w:line="6" w:lineRule="exact"/>
        <w:rPr>
          <w:rFonts w:ascii="Arial" w:cs="Arial" w:eastAsia="Arial" w:hAnsi="Arial"/>
          <w:sz w:val="14"/>
          <w:szCs w:val="14"/>
          <w:color w:val="auto"/>
        </w:rPr>
      </w:pPr>
    </w:p>
    <w:p>
      <w:pPr>
        <w:ind w:left="520" w:right="20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RFID: </w:t>
      </w:r>
      <w:r>
        <w:rPr>
          <w:rFonts w:ascii="Arial" w:cs="Arial" w:eastAsia="Arial" w:hAnsi="Arial"/>
          <w:sz w:val="14"/>
          <w:szCs w:val="14"/>
          <w:color w:val="auto"/>
        </w:rPr>
        <w:t>We tag each unit of apparel and all reusable garment bags with RFID tags, which increases throughput, reduces cost, improves rental product control and enables</w:t>
      </w:r>
      <w:r>
        <w:rPr>
          <w:rFonts w:ascii="Arial" w:cs="Arial" w:eastAsia="Arial" w:hAnsi="Arial"/>
          <w:sz w:val="14"/>
          <w:szCs w:val="14"/>
          <w:b w:val="1"/>
          <w:bCs w:val="1"/>
          <w:color w:val="auto"/>
        </w:rPr>
        <w:t xml:space="preserve"> </w:t>
      </w:r>
      <w:r>
        <w:rPr>
          <w:rFonts w:ascii="Arial" w:cs="Arial" w:eastAsia="Arial" w:hAnsi="Arial"/>
          <w:sz w:val="14"/>
          <w:szCs w:val="14"/>
          <w:color w:val="auto"/>
        </w:rPr>
        <w:t>new forms of automation. Since launching RFID tags in 2021, hundreds of thousands of scans each day are created by these tags in a fraction of a second, replacing manual barcode scans that took much longer.</w:t>
      </w:r>
    </w:p>
    <w:p>
      <w:pPr>
        <w:spacing w:after="0" w:line="6" w:lineRule="exact"/>
        <w:rPr>
          <w:rFonts w:ascii="Arial" w:cs="Arial" w:eastAsia="Arial" w:hAnsi="Arial"/>
          <w:sz w:val="14"/>
          <w:szCs w:val="14"/>
          <w:color w:val="auto"/>
        </w:rPr>
      </w:pPr>
    </w:p>
    <w:p>
      <w:pPr>
        <w:ind w:left="520" w:right="240" w:hanging="260"/>
        <w:spacing w:after="0" w:line="284"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Fulfillment Efficiency: </w:t>
      </w:r>
      <w:r>
        <w:rPr>
          <w:rFonts w:ascii="Arial" w:cs="Arial" w:eastAsia="Arial" w:hAnsi="Arial"/>
          <w:sz w:val="14"/>
          <w:szCs w:val="14"/>
          <w:color w:val="auto"/>
        </w:rPr>
        <w:t>We have automated various parts of the fulfillment process including picking, order consolidation and packing. Our fulfillment engine dynamically</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prioritizes customer orders based on promised delivery date, transportation departure schedules and available capacity.</w:t>
      </w:r>
    </w:p>
    <w:p>
      <w:pPr>
        <w:ind w:left="520" w:right="10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Innovation: </w:t>
      </w:r>
      <w:r>
        <w:rPr>
          <w:rFonts w:ascii="Arial" w:cs="Arial" w:eastAsia="Arial" w:hAnsi="Arial"/>
          <w:sz w:val="14"/>
          <w:szCs w:val="14"/>
          <w:color w:val="auto"/>
        </w:rPr>
        <w:t>We have invested in an outbound and inbound network that allows our customers to receive packages and return items efficiently via national</w:t>
      </w:r>
      <w:r>
        <w:rPr>
          <w:rFonts w:ascii="Arial" w:cs="Arial" w:eastAsia="Arial" w:hAnsi="Arial"/>
          <w:sz w:val="14"/>
          <w:szCs w:val="14"/>
          <w:b w:val="1"/>
          <w:bCs w:val="1"/>
          <w:color w:val="auto"/>
        </w:rPr>
        <w:t xml:space="preserve"> </w:t>
      </w:r>
      <w:r>
        <w:rPr>
          <w:rFonts w:ascii="Arial" w:cs="Arial" w:eastAsia="Arial" w:hAnsi="Arial"/>
          <w:sz w:val="14"/>
          <w:szCs w:val="14"/>
          <w:color w:val="auto"/>
        </w:rPr>
        <w:t>returns logistics providers, including through our convenient at-home pickup program.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Merchandising and Product Control</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proprietary product catalog system is the backbone of our rental product management. A flexible taxonomy supports myriad types of products, and allows us to ingest and manage items at the SKU level. This system uses a combination of manual and automated processes to assign product attributes per style, making the ingestion of new styles into the Rent the Runway catalog fast and easy without sacrificing valuable data collection. The catalog serves as the starting point for our products, and drives many areas of the Rent the Runway website and operation including quality control, search, navigation, and filtering. Our system allows us to customize controls around the availability of rentable items and is designed to enable us to optimize product utilization.</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have built the majority of our circular platform, we strategically leverage third-party software for commodity functionality where our problems are not unique. These include pieces of the customer experience and service tools and enterprise resource planning capabilities.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Logistics Infrastructure</w:t>
      </w:r>
    </w:p>
    <w:p>
      <w:pPr>
        <w:spacing w:after="0" w:line="92"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Within our warehouses, we have integrated superior garment care equipment, internally and externally developed software and proprietary cleaning programs to deliver high-end garment processing at massive scale. We have implemented large-scale, innovative automation and other processes for garment storage, picking, shipping, receiving and restoration of garments to excellent condition. We are also evaluating and investing in AI technologies to improve operational efficiencies within our fulfillment centers. These initiatives are intended to drive cost savings, while increasing our total shipment capacity and increasing the longevity of products, our biggest asset.</w:t>
      </w:r>
    </w:p>
    <w:p>
      <w:pPr>
        <w:spacing w:after="0" w:line="159" w:lineRule="exact"/>
        <w:rPr>
          <w:sz w:val="20"/>
          <w:szCs w:val="20"/>
          <w:color w:val="auto"/>
        </w:rPr>
      </w:pPr>
    </w:p>
    <w:p>
      <w:pPr>
        <w:ind w:left="520" w:hanging="260"/>
        <w:spacing w:after="0" w:line="26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Strategic Distribution: </w:t>
      </w:r>
      <w:r>
        <w:rPr>
          <w:rFonts w:ascii="Arial" w:cs="Arial" w:eastAsia="Arial" w:hAnsi="Arial"/>
          <w:sz w:val="14"/>
          <w:szCs w:val="14"/>
          <w:color w:val="auto"/>
        </w:rPr>
        <w:t>We have two fulfillment centers, in Arlington, Texas and Secaucus, New Jersey totaling approximately 486,000 square feet. We have the capacity to</w:t>
      </w:r>
      <w:r>
        <w:rPr>
          <w:rFonts w:ascii="Arial" w:cs="Arial" w:eastAsia="Arial" w:hAnsi="Arial"/>
          <w:sz w:val="14"/>
          <w:szCs w:val="14"/>
          <w:b w:val="1"/>
          <w:bCs w:val="1"/>
          <w:color w:val="auto"/>
        </w:rPr>
        <w:t xml:space="preserve"> </w:t>
      </w:r>
      <w:r>
        <w:rPr>
          <w:rFonts w:ascii="Arial" w:cs="Arial" w:eastAsia="Arial" w:hAnsi="Arial"/>
          <w:sz w:val="14"/>
          <w:szCs w:val="14"/>
          <w:color w:val="auto"/>
        </w:rPr>
        <w:t>store more than two million garments and accessories on multiple floors across our fulfillment centers. We aim to deliver industry leading fulfillment promises with a goal of delivering subscription orders within two to three business days.</w:t>
      </w:r>
    </w:p>
    <w:p>
      <w:pPr>
        <w:ind w:left="520" w:right="54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Garment Care Hardware: </w:t>
      </w:r>
      <w:r>
        <w:rPr>
          <w:rFonts w:ascii="Arial" w:cs="Arial" w:eastAsia="Arial" w:hAnsi="Arial"/>
          <w:sz w:val="14"/>
          <w:szCs w:val="14"/>
          <w:color w:val="auto"/>
        </w:rPr>
        <w:t>Our facilities are equipped with a curated set of over 420 pieces of digitally integrated garment care hardware including wet cleaning, dry</w:t>
      </w:r>
      <w:r>
        <w:rPr>
          <w:rFonts w:ascii="Arial" w:cs="Arial" w:eastAsia="Arial" w:hAnsi="Arial"/>
          <w:sz w:val="14"/>
          <w:szCs w:val="14"/>
          <w:b w:val="1"/>
          <w:bCs w:val="1"/>
          <w:color w:val="auto"/>
        </w:rPr>
        <w:t xml:space="preserve"> </w:t>
      </w:r>
      <w:r>
        <w:rPr>
          <w:rFonts w:ascii="Arial" w:cs="Arial" w:eastAsia="Arial" w:hAnsi="Arial"/>
          <w:sz w:val="14"/>
          <w:szCs w:val="14"/>
          <w:color w:val="auto"/>
        </w:rPr>
        <w:t>cleaning and spray cleaning machines; dryers, steam tunnels, pressers, spotting boards, auto-baggers and commercial sewing machines.</w:t>
      </w:r>
    </w:p>
    <w:p>
      <w:pPr>
        <w:ind w:left="520" w:right="20" w:hanging="260"/>
        <w:spacing w:after="0" w:line="253"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Processing: </w:t>
      </w:r>
      <w:r>
        <w:rPr>
          <w:rFonts w:ascii="Arial" w:cs="Arial" w:eastAsia="Arial" w:hAnsi="Arial"/>
          <w:sz w:val="14"/>
          <w:szCs w:val="14"/>
          <w:color w:val="auto"/>
        </w:rPr>
        <w:t>Garments flow through the facility on both rail and belt-driven conveyance guided by RFID tags linked to a massive array of cleaning instructions set by our</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operating system. A variety of item types are sorted based on cleaning, storage and repair methods. After discrete processing, they fall back into continuous flow and random storage, which drives labor efficiency and maximizes use of physical space.</w:t>
      </w: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Proven Scalability: </w:t>
      </w:r>
      <w:r>
        <w:rPr>
          <w:rFonts w:ascii="Arial" w:cs="Arial" w:eastAsia="Arial" w:hAnsi="Arial"/>
          <w:sz w:val="14"/>
          <w:szCs w:val="14"/>
          <w:color w:val="auto"/>
        </w:rPr>
        <w:t>Our infrastructure is highly scalable and we expect our weekly processing capacity to increase over time.</w:t>
      </w:r>
    </w:p>
    <w:p>
      <w:pPr>
        <w:spacing w:after="0" w:line="8" w:lineRule="exact"/>
        <w:rPr>
          <w:rFonts w:ascii="Arial" w:cs="Arial" w:eastAsia="Arial" w:hAnsi="Arial"/>
          <w:sz w:val="14"/>
          <w:szCs w:val="14"/>
          <w:color w:val="auto"/>
        </w:rPr>
      </w:pPr>
    </w:p>
    <w:p>
      <w:pPr>
        <w:ind w:left="520" w:right="120" w:hanging="260"/>
        <w:spacing w:after="0" w:line="258"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Management: </w:t>
      </w:r>
      <w:r>
        <w:rPr>
          <w:rFonts w:ascii="Arial" w:cs="Arial" w:eastAsia="Arial" w:hAnsi="Arial"/>
          <w:sz w:val="14"/>
          <w:szCs w:val="14"/>
          <w:color w:val="auto"/>
        </w:rPr>
        <w:t>Since August 2023, we have partnered with a major national carrier to provide us with competitive shipping rates and consolidate the vast</w:t>
      </w:r>
      <w:r>
        <w:rPr>
          <w:rFonts w:ascii="Arial" w:cs="Arial" w:eastAsia="Arial" w:hAnsi="Arial"/>
          <w:sz w:val="14"/>
          <w:szCs w:val="14"/>
          <w:b w:val="1"/>
          <w:bCs w:val="1"/>
          <w:color w:val="auto"/>
        </w:rPr>
        <w:t xml:space="preserve"> </w:t>
      </w:r>
      <w:r>
        <w:rPr>
          <w:rFonts w:ascii="Arial" w:cs="Arial" w:eastAsia="Arial" w:hAnsi="Arial"/>
          <w:sz w:val="14"/>
          <w:szCs w:val="14"/>
          <w:color w:val="auto"/>
        </w:rPr>
        <w:t>majority of our shipping needs. We believe this partnership enables us to continue serving our customers with premium delivery and return service, and to further expand our elevated returns and delivery experience like At-Home Pick Up and Saturday Delivery. We also partner with other service providers in certain markets in order to serve our customers effectively.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2026 Strategy</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belief is that we can drive future growth by investing in and improving the customer experience. Unlike traditional e-commerce companies, we are an experience-based company that our subscribers engage with multiple times a week. Our goal is to make customers’ time spent with Rent the Runway as efficient and delightful as possible and to continue to invest in our customer experience. Overall, we are focused on unlocking new ways for our customers to engage with us to expand the value of our platform and increase revenue, while maintaining financial discipline and driving cost efficiencies. We continue to work towards our key business and financial goals via a cross-functional pod structure, with dedicated employee pods for rental product, growth, and retention initiatives, which are designed to be nimble and results-driven and are expected to incorporate new AI technologies into how we work to drive productivity, efficiency and scale. As in fiscal year 2025, our plans for fiscal year 2026 are focused on improving customer retention and acquisition by increasing the availability and desirability of our rental products and continuing to leverage non-Wholesale procurement channels. We also expect to utilize AI technologies to improve efficiencies in our operation, including rental product quality control and utilization rates. In addition, we are focused on enhancing discovery on our site to drive stronger acquisition and retention, including by leveraging AI technologies. We plan to scale product enhancements and features that enhance the customer experience and give our subscribers even greater flexibility in how they engage with us, such as tools to add additional items to a Subscription plan on the spot or in response to a “back in stock” notification.</w:t>
      </w:r>
    </w:p>
    <w:p>
      <w:pPr>
        <w:spacing w:after="0" w:line="34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In fiscal year 2026, our marketing efforts are expected to continue to focus on improving our organic social channels and scaling our “word of mouth” strategy. We plan to increase community-centric content featuring real members to drive authentic consideration of our brand and customer offering. Finally, we expect to focus on our SEO and AEO channels to drive traffic and conversion.</w:t>
      </w:r>
    </w:p>
    <w:p>
      <w:pPr>
        <w:spacing w:after="0" w:line="155" w:lineRule="exact"/>
        <w:rPr>
          <w:sz w:val="20"/>
          <w:szCs w:val="20"/>
          <w:color w:val="auto"/>
        </w:rPr>
      </w:pPr>
    </w:p>
    <w:p>
      <w:pPr>
        <w:ind w:right="500"/>
        <w:spacing w:after="0" w:line="265" w:lineRule="auto"/>
        <w:rPr>
          <w:sz w:val="20"/>
          <w:szCs w:val="20"/>
          <w:color w:val="auto"/>
        </w:rPr>
      </w:pPr>
      <w:r>
        <w:rPr>
          <w:rFonts w:ascii="Arial" w:cs="Arial" w:eastAsia="Arial" w:hAnsi="Arial"/>
          <w:sz w:val="14"/>
          <w:szCs w:val="14"/>
          <w:color w:val="auto"/>
        </w:rPr>
        <w:t>Finally, we are also exploring new revenue-generating initiatives that leverage our existing customer base and infrastructure, such as the recently launched pilots of our RTR marketplace and B2B cleaning services in our warehouse operations. We believe these are opportunities to diversify our revenue streams while testing and learning into complementary offerings for both our customers and brand partners. We also aim to expand our advertising and partnerships offerings that enable brands to market to our customers via sampling programs, sponsored content, and other channels.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Seasonality</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prior periods, business decisions including, but not limited to, changes in prices for our Subscription programs, changes in timing and amounts of promotional spending, changes in timing and amounts of paid marketing spending, and changes in timing and quantity of rental product availability, have impacted typical seasonal trends. Given continued business changes, our future seasonality may not resemble historical trends.</w:t>
      </w:r>
    </w:p>
    <w:p>
      <w:pPr>
        <w:spacing w:after="0" w:line="99"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Related To Our Business and Industry — Our business is affected by seasonality.”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Competition</w:t>
      </w:r>
    </w:p>
    <w:p>
      <w:pPr>
        <w:spacing w:after="0" w:line="20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Related To Our Business and Industry — The global fashion industry is highly competitive and rapidly changing, and we may not be able to compete effectively.”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Government Regulation</w:t>
      </w:r>
    </w:p>
    <w:p>
      <w:pPr>
        <w:spacing w:after="0" w:line="200"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data privacy, cybersecurity, intellectual property, health and safety, environmental, competition, import/export,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6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data privacy, data security and data protection, consumer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6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See Part I, Item 1A, “Risk Factors — Risks Related to Our Legal and Regulatory Environment” for additional information about the laws and regulations we are subject to and the risks to our business associated with such laws and regulations.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Intellectual Property</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320"/>
        <w:spacing w:after="0" w:line="274" w:lineRule="auto"/>
        <w:rPr>
          <w:sz w:val="20"/>
          <w:szCs w:val="20"/>
          <w:color w:val="auto"/>
        </w:rPr>
      </w:pPr>
      <w:r>
        <w:rPr>
          <w:rFonts w:ascii="Arial" w:cs="Arial" w:eastAsia="Arial" w:hAnsi="Arial"/>
          <w:sz w:val="14"/>
          <w:szCs w:val="14"/>
          <w:color w:val="auto"/>
        </w:rPr>
        <w:t>As of January 31, 2026, we had five issued patents in the United States that expire between 2031 and 2037, and one issued foreign patent. While we believe our patents in the aggregate generally enhance our competitive position, no single patent is material to us as a whole.</w:t>
      </w:r>
    </w:p>
    <w:p>
      <w:pPr>
        <w:spacing w:after="0" w:line="152"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We register our brand names and product names, taglines and logos in the United States to the extent we determine appropriate and cost-effective. As of January 31, 2026, we had a total of 18 registered trademarks in the United States and 74 registered trademarks in non-U.S. jurisdictions, as well as certain pending trademark applications. As of January 31, 2026, we had also registered a total of 17 copyrights. We also register domain names for certain websites that we use in our business, such as www.renttherunway.com, as well as similar variations to protect our brands and marks from cybersquatters.</w:t>
      </w: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work-for-hire, and/or invention assignment agreements (or similar agreements) with our employees, consultants, and contractors involved in the development of intellectual property on our behalf. We also typically enter into confidentiality agreements with other third parties in order to limit access to, and disclosure and use of, our confidential information and proprietary information. We also place limitations on the use of our proprietary technology and intellectual property through provisions in our terms of service. We intend to consider additional measures to establish and protect our intellectual property rights to the extent we believe it would be beneficial and cost effective.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200"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As of January 31, 2026, we had a total of 942 full-time employees and 73 part-time employees in the United States and Ireland, the majority of whom are based in our fulfillment centers in New Jersey and Texas. As of January 31, 2026, our technology team consisted of 112 employees, across engineering, data analytics, IT, product, software quality assurance, user experience and design, including a team of 60 in Galway, Ireland, primarily in engineering and data analytics. None of our employees are represented by a labor union or covered by collective bargaining agreements and we have not experienced any work stoppages.</w:t>
      </w:r>
    </w:p>
    <w:p>
      <w:pPr>
        <w:spacing w:after="0" w:line="159"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We strive to make Rent the Runway an inclusive and safe workplace, with opportunities for our employees to grow and develop in their careers, supported by competitive compensation and benefits programs. Our culture is underpinned by our Core Values, including that we are all founders of Rent the Runway, and we Dream BIG and go after it, adapt and learn from everything we do and debating, honest conversations and collaborating make the Company stronger.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Corporate Information</w:t>
      </w:r>
    </w:p>
    <w:p>
      <w:pPr>
        <w:spacing w:after="0" w:line="189" w:lineRule="exact"/>
        <w:rPr>
          <w:sz w:val="20"/>
          <w:szCs w:val="20"/>
          <w:color w:val="auto"/>
        </w:rPr>
      </w:pPr>
    </w:p>
    <w:p>
      <w:pPr>
        <w:jc w:val="both"/>
        <w:ind w:right="80"/>
        <w:spacing w:after="0" w:line="255" w:lineRule="auto"/>
        <w:rPr>
          <w:sz w:val="20"/>
          <w:szCs w:val="20"/>
          <w:color w:val="auto"/>
        </w:rPr>
      </w:pPr>
      <w:r>
        <w:rPr>
          <w:rFonts w:ascii="Arial" w:cs="Arial" w:eastAsia="Arial" w:hAnsi="Arial"/>
          <w:sz w:val="14"/>
          <w:szCs w:val="14"/>
          <w:color w:val="auto"/>
        </w:rPr>
        <w:t>We were incorporated as Rent the Runway, Inc. in Delaware on March 3, 2009. We completed our initial public offering (“IPO”) in October 2021. Our Class A common stock trades on The Nasdaq Global Market (“Nasdaq”) under the symbol RENT. Our principal executive offices are located at 10 Jay Street, Brooklyn, New York 11201 and our website address is www.renttherunway.com.</w:t>
      </w:r>
    </w:p>
    <w:p>
      <w:pPr>
        <w:spacing w:after="0" w:line="155"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color w:val="auto"/>
        </w:rPr>
        <w:t>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10 -Q,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w:t>
      </w:r>
    </w:p>
    <w:p>
      <w:pPr>
        <w:spacing w:after="0" w:line="15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our website does not constitute part of this Annual Report on Form 10-K or any other report we file or furnish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i w:val="1"/>
          <w:iCs w:val="1"/>
          <w:color w:val="auto"/>
        </w:rPr>
        <w:t>Certain risks may have a material and/or adverse effect on our business, financial condition and results of operations. These risks include those described below and may include additional risks and uncertainties not presently known to us or that we currently deem immaterial. These risks should be read in conjunction with the other information in this Annual Report on Form 10-K, including our consolidated financial statements and related notes thereto and “Management’s discussion and analysis of financial condition and results of operations” in Part II, Item 7 of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Recapitalization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realize all of the anticipated benefits of the Recapitalization Transactions, or those benefits may be short-lived or insufficient for our future needs.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October 28, 2025, we completed recapitalization transactions to strengthen our financial position and financial flexibility by significantly reducing our existing indebtedness and adding capital to the business (the “Recapitalization Transactions”). See “Note 3 — Liquidity” and “Note 4 — Recapitalization Transactions” in the Notes to the Consolidated Financial Statements for more information.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Upon the closing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New Credit Agreement amended and restated our prior credit agreement, dated as of July 23, 2018, by and among the Company, as borrower, the lenders from time to time party thereto and the Agent (as successor-in-interest to Double Helix Pte Ltd.) (the “Existing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Further, in the past we have sought waivers and/or concessions from our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the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manage our Board transition and related changes could materially adversely affect our business.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To facilitate the Recapitalization Transactions, the Board has been restructured, including new and departing members, changes to the Audit Committee composition, and the designation of Mr. Fonseca as Executive Chair, and this transition may cause temporary uncertainty and disruption. Additionally, the Investor Group has indicated that it is continuing to use commercially reasonable efforts to identify and designate a third Investor Group director to the Board, which could take place in the near future.</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potential uncertainty and disruption resulting from the Board transition and related changes, along with the ongoing efforts to identify a third Investor Group director, could have an adverse effect on our business, financial condition and results of operations. For more information on the Board transition, see “Note 4 — Recapitalization Transactions” in the Notes to the Consolidated Financial Statements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4"/>
          <w:szCs w:val="14"/>
          <w:color w:val="auto"/>
        </w:rPr>
        <w:t>We must continue to drive revenue growth to be successful. To effectively drive growth, we must continue to enhance customer experience and attract and retain customers (particularly subscribers), invest in rental product, iterate our subscription products, manage the interplay between our various offerings, invest in digital consumer innovation, maintain and expand our brand awareness and marketing, evolve our marketing and product strategies to address emerging machine learning, automated decision-making and artificial intelligence algorithms, models and technologies (collectively, “AI”), including agentic AI, and maintain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w:t>
      </w:r>
    </w:p>
    <w:p>
      <w:pPr>
        <w:spacing w:after="0" w:line="3" w:lineRule="exact"/>
        <w:rPr>
          <w:sz w:val="20"/>
          <w:szCs w:val="20"/>
          <w:color w:val="auto"/>
        </w:rPr>
      </w:pPr>
    </w:p>
    <w:p>
      <w:pPr>
        <w:ind w:right="520"/>
        <w:spacing w:after="0" w:line="238" w:lineRule="auto"/>
        <w:rPr>
          <w:sz w:val="20"/>
          <w:szCs w:val="20"/>
          <w:color w:val="auto"/>
        </w:rPr>
      </w:pPr>
      <w:r>
        <w:rPr>
          <w:rFonts w:ascii="Arial" w:cs="Arial" w:eastAsia="Arial" w:hAnsi="Arial"/>
          <w:sz w:val="14"/>
          <w:szCs w:val="14"/>
          <w:color w:val="auto"/>
        </w:rPr>
        <w:t>preserve our Company culture as we grow could also harm our future success, including our ability to retain and recruit personnel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growth strategy is focused on continuing to retain and grow our subscriber and customer base, by continuing to invest in our rental product, offerings and technology to improve her experience, and continuing to drive acquisition through effective and efficient marketing. The majority of our revenue is generated by our subscribers. Our base Subscription plans range in price and customers can customize their Subscription monthly by purchasing additional slots and shipments. Although we often highlight certain Subscription plans over others in an attempt to optimize conversion and highlight opportunities to add shipments and spots to Subscription plans mid-month, we cannot be certain that these actions will be successful. Also,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w:t>
      </w:r>
    </w:p>
    <w:p>
      <w:pPr>
        <w:spacing w:after="0" w:line="3" w:lineRule="exact"/>
        <w:rPr>
          <w:sz w:val="20"/>
          <w:szCs w:val="20"/>
          <w:color w:val="auto"/>
        </w:rPr>
      </w:pPr>
    </w:p>
    <w:p>
      <w:pPr>
        <w:ind w:right="180"/>
        <w:spacing w:after="0" w:line="229" w:lineRule="auto"/>
        <w:rPr>
          <w:sz w:val="20"/>
          <w:szCs w:val="20"/>
          <w:color w:val="auto"/>
        </w:rPr>
      </w:pPr>
      <w:r>
        <w:rPr>
          <w:rFonts w:ascii="Arial" w:cs="Arial" w:eastAsia="Arial" w:hAnsi="Arial"/>
          <w:sz w:val="14"/>
          <w:szCs w:val="14"/>
          <w:color w:val="auto"/>
        </w:rPr>
        <w:t>be able to retain a significant portion of subscribers beyond the existing monthly subscription periods. In addition, any limitation or restriction imposed on our ability to bill our subscribers on a recurring basis, enforce our terms of service, collect data or deliver relevant promotions or media, whether due to new regulations or otherwise, may significantly</w:t>
      </w:r>
    </w:p>
    <w:p>
      <w:pPr>
        <w:spacing w:after="0" w:line="239" w:lineRule="auto"/>
        <w:rPr>
          <w:sz w:val="20"/>
          <w:szCs w:val="20"/>
          <w:color w:val="auto"/>
        </w:rPr>
      </w:pPr>
      <w:r>
        <w:rPr>
          <w:rFonts w:ascii="Arial" w:cs="Arial" w:eastAsia="Arial" w:hAnsi="Arial"/>
          <w:sz w:val="14"/>
          <w:szCs w:val="14"/>
          <w:color w:val="auto"/>
        </w:rPr>
        <w:t>lower our subscription retention rate. We also offer our customers the option to rent or buy items via our Reserve offering and Resale offering, respectively, which we believe is a strong competitive advantage but adds complexity to our business that we must effectively manage to drive growth. For example, our Resale strategy shifts from time to time to optimize rental product in-stock and revenue by reducing or increasing our units sold via Resale. Further, in fiscal year 2025, we focused on active subscriber growth and experienced weakness in Reserve, which we anticipate will continue in fiscal year 2026 as we plan to revisit our Reserve strategy, plans, and leadership. Our Subscription plans and offerings do not have demonstrably long track records of success and may not grow as much or as fast as we expect. For example, our active subscriber count decreased year-over-year in fiscal year 2024 and, although we are focused on growth initiatives and our active subscriber count increased year-over-year in fiscal year 2025, it may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anticipate an increase in our year-over-year revenue growth rate in fiscal year 2026, if our growth and/or growth rates do not meet expectations, the perception of our business, financial condition and results of operations by investors and our third-party service providers and brand partners may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right="340" w:hanging="193"/>
        <w:spacing w:after="0" w:line="290" w:lineRule="auto"/>
        <w:tabs>
          <w:tab w:leader="none" w:pos="5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price and structure our Subscription, Reserve and Resale offerings so that we are able to attract new customers, and retain and expand our relationships with existing customers;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 and promotions;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380" w:hanging="193"/>
        <w:spacing w:after="0" w:line="290" w:lineRule="auto"/>
        <w:tabs>
          <w:tab w:leader="none" w:pos="5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leverage and develop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effectively manage our customer acquisition funnel to avoid disruption to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 effective and efficient in our marketing, particularly our paid marketing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keep pace with AI developments such as agentic search for shopping and successfully integrate and leverage AI tools and resources;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effectively respond to changes in macroeconomic realities, including consumer confidence, inflation, labor markets, tariffs, rising fuel costs, and consolidation or disruption in the retail industry and our individual brand partners; and</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global trade policies, cybersecurity or privacy incidents (including those resulting from our use of AI) and other factors that could affect our physical and digital infrastructure.</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Further, our cash position and New Credit Agreement covenants may limit our ability to invest sufficiently in future growth initiatives, including, but not limited to, funding marketing initiatives and procuring rental product.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 and maintain and grow brand awareness.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how effectively differentiated our brand, offerings, customer experience and value proposition are from those of our competitors;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40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manage the interplay between our offerings, and attract and retain customers;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 and to merchandise it effectively;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 including the use of AI in e-commerce;</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requirements of digital marketing platforms, including those supporting search and social advertising, and mobile app platforms;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price at which we offer our Subscription, Reserve and Resale offerings and our ability to optimize pricing;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customer satisfaction with our offering and customer policies and 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3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2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volatility in tariff rates and global trade policies; war in the Middle East;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and increases in brand, shipping, and other supplier costs as a result.</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In response to the changing business environment and related inflationary pressure, we have implemented pricing increases and expect to do so in the future if our costs continue to increase. Such price increases may include, but are not limited to, higher Subscription fees and/or Reserve rental fees, new or increased shipping fees, or other types of fees or surcharges. Such pricing changes may be negatively perceived by customers, particularly in a period of economic uncertainty, and/or may fail to adequately mitigate cost increases we face, and our business and financial results could be harmed. Furthermore, increases in consumer discretionary spending tend to fluctuate and may decrease, particularly if there is a recession, a weaker jobs market,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fluctuate based on our level of investment and success in our organic and paid marketing initiatives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3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improving our email marketing performance, refreshing our lifecycle marketing engine, increasing paid marketing efficiency, focusing on referrals and other community-driven “word of mouth” strategies, and aiming to optimize discovery via search engine optimization, agentic search, and enhanced iOS App Store presence. These efforts are ongoing and, although we have seen some positive results, they are subject to change and may not result in a sustained increase in customer conversion, loyalty or engagement. In fiscal year 2026 we are planning to allocate a portion of our marketing budget to drive growth through these community-driven “word-of-mouth” channels, which may not meet our expectations and/or adversely impact overall customer acquisitions as we reduce spend in lower-funnel marketing channels. The impact of emerging technologies, including, but not limited to, AI tools such as agentic search, is not yet certain and may increase these risks. See “Our use of AI may subject us to new or heightened legal, regulatory, ethical, operational or other challenges.” As a result, our levels of paid and organic growth may continue to fluctuate and/or overall growth may decline.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determine that more significant investment in marketing will be required in the future. However, in light of cost constraints, we reduced our marketing spend, particularly in paid marketing, in fiscal years 2024 and 2025 (relative to years prior), which resulted in lower customer acquisitions in fiscal year 2024 and led us to invest more heavily in promotions in fiscal year 2025. Our marketing spend levels and prioritization of lower funnel marketing may have also negatively impacted brand awareness despite our efforts to revitalize our brand. In addition, we believe that our overall levels of marketing spend relative to our revenue - both historic and projected for fiscal year 2026 - indicate that we are underinvested in marketing relative to typical market practice for our industry and our competitors and have less channel diversification. Further, although we focus on full funnel marketing, our marketing spend has prioritized, and is expected to continue to prioritize, paid marketing over upper funnel, brand marketing investments, which may have a negative impact on brand awareness and growth. In addition, our marketing efforts may be unsuccessful for various reasons, including a failure to effectively reach potential customers or to be cost-effective (particularly as costs increase for performance marketing), changes in regulations (e.g., privacy, pricing, and auto-renew regulations) or third-party interference that could limit the effectiveness of search engines, social media platforms, and other tools for marketing, and the possibility that potential customers may decide not to rent through our platform or the spend of new customers may not yield the intended return on investment, any of which could negatively affect our results of operations. We also may incur marketing expenses significantly in advance of the time we anticipate recognized revenue associated with such expenses. In addition, the success of our marketing initiatives overall depends upon our marketing team and leadership, which is lean and has experienced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5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utilize promotional pricing to attract customers and subscribers who may have heightened price sensitivity and who may not be willing to pay full price for our offering when the promotion period expires. For example, we have observed that subscribers who receive steep discounts have higher rates of cancellation. Our promotional and pricing strategy changes regularly and is subject to experimentation. In fiscal year 2025, we increased our use of promotional pricing to drive growth in customer acquisitions, and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 customer preferences may change and customers may not rent through our platform as frequently or spend as much with us. Customers may also react negatively to policy changes that we make from time to time, such as more stringent late fees or pricing increases, which could cause them to cancel their subscriptions.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keep pace with new and emerging technologies, such as AI tools for shopping and styling;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right="54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merchandising, and rental product availability;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reliability;</w:t>
      </w:r>
    </w:p>
    <w:p>
      <w:pPr>
        <w:spacing w:after="0" w:line="93"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level of our investment in marketing and the success of our marketing strategies and tactics, including changes in efficiency of our historic or current customer acquisition and retention methods;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future outbreak of disease or public health concern, such as COVID-19; and</w:t>
      </w:r>
    </w:p>
    <w:p>
      <w:pPr>
        <w:spacing w:after="0" w:line="93" w:lineRule="exact"/>
        <w:rPr>
          <w:rFonts w:ascii="Arial" w:cs="Arial" w:eastAsia="Arial" w:hAnsi="Arial"/>
          <w:sz w:val="14"/>
          <w:szCs w:val="14"/>
          <w:color w:val="auto"/>
        </w:rPr>
      </w:pPr>
    </w:p>
    <w:p>
      <w:pPr>
        <w:ind w:left="580" w:right="580" w:hanging="193"/>
        <w:spacing w:after="0" w:line="290" w:lineRule="auto"/>
        <w:tabs>
          <w:tab w:leader="none" w:pos="5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failure (or perceived failure) to meet different and sometimes conflicting stakeholder expectations regarding our environmental, social and governance (“ESG”)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For example, we implemented a price increase for our subscription plans and began enforcing a more stringent late fee policy in fiscal year 2025 and anticipate that we will likely increase prices again in the future. If our customers no longer perceive our Subscription plans as appropriately priced and cancel or pause their subscriptions, our business and financial results could be harmed. We are focused on investing in the customer experience and delivering greater value to her, including by nearly doubling our rental product selection in fiscal year 2025 and maintaining these levels in fiscal year 2026, and emphasizing the value proposition of our offering in our marketing materials, among other</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initiatives; however these or other initiatives to retain customers may not be successful at improving customer satisfaction, subscriber retention and/or revenues and may require additional costs or lead to unanticipated consequences. For example, we may offer discounts to retain subscribers who have heightened price sensitivity and who may not be willing</w:t>
      </w:r>
    </w:p>
    <w:p>
      <w:pPr>
        <w:ind w:right="40"/>
        <w:spacing w:after="0" w:line="242" w:lineRule="auto"/>
        <w:rPr>
          <w:sz w:val="20"/>
          <w:szCs w:val="20"/>
          <w:color w:val="auto"/>
        </w:rPr>
      </w:pPr>
      <w:r>
        <w:rPr>
          <w:rFonts w:ascii="Arial" w:cs="Arial" w:eastAsia="Arial" w:hAnsi="Arial"/>
          <w:sz w:val="14"/>
          <w:szCs w:val="14"/>
          <w:color w:val="auto"/>
        </w:rPr>
        <w:t>to continue to pay full price for a Subscription. Reductions or changes to when and under what circumstances such Subscription discounts are offered may impact retention.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had a net income (loss) of $22.6 million and $(69.9) million for the years ended January 31, 2026 and 2025, respectively, and have in the past had net losses. We reported net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income for the year ended January 31, 2026 due to the recognition of a Gain on Debt Restructuring of $96.3 million. As of January 31, 2026, we had an accumulated deficit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$(1,100.4) million. Further, for a variety of reasons, it is difficult for us to predict our future operating results. We will need to generate and sustain increased revenue and manage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our costs to achieve profitability. Even if we do, we may not be able to sustain or increase our profitability.</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Fiscal year 2025 was a year of investment as we significantly increased the amount of new rental product we acquired and, therefore, increased our net losses year-over-year, excluding the Gain on Debt Restructuring discussed above. We may also continue to generate net losses in order to:</w:t>
      </w:r>
    </w:p>
    <w:p>
      <w:pPr>
        <w:spacing w:after="0" w:line="53" w:lineRule="exact"/>
        <w:rPr>
          <w:sz w:val="20"/>
          <w:szCs w:val="20"/>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enhance our current offerings and 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for reasons within or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27" w:lineRule="exact"/>
        <w:rPr>
          <w:sz w:val="20"/>
          <w:szCs w:val="20"/>
          <w:color w:val="auto"/>
        </w:rPr>
      </w:pPr>
    </w:p>
    <w:p>
      <w:pPr>
        <w:ind w:right="500"/>
        <w:spacing w:after="0" w:line="299" w:lineRule="auto"/>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4"/>
          <w:szCs w:val="14"/>
          <w:color w:val="auto"/>
        </w:rPr>
        <w:t>.</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availability, including depth and breadth levels, has negatively impacted active subscriber retention in the past. Although we are focused on ensuring that there are adequate quantities of rental product on our site and aim to acquire approximately the same quantity of rental product year-over-year in fiscal year 2026, we expect that new rental product levels will fluctuate quarterly due to the timing of our purchases, seasonality and other factors within or outside of our control, which may negatively impact customer retention and, therefore, revenue. Any future decreases in our rental product availability levels or perceived availability levels, including in connection with other business objectives, may negatively impact active subscribers.</w:t>
      </w:r>
    </w:p>
    <w:p>
      <w:pPr>
        <w:spacing w:after="0" w:line="1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primarily relying on a single national carrier may impact customer sentiment and satisfaction, which could lead to unanticipated costs and/or have a material adverse effect on our business and financial condition.</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44" w:lineRule="exact"/>
        <w:rPr>
          <w:sz w:val="20"/>
          <w:szCs w:val="20"/>
          <w:color w:val="auto"/>
        </w:rPr>
      </w:pPr>
    </w:p>
    <w:p>
      <w:pPr>
        <w:jc w:val="both"/>
        <w:ind w:right="200"/>
        <w:spacing w:after="0" w:line="247" w:lineRule="auto"/>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governmental regulations, labor disputes and other factors. We are also subject to risks of damage or loss during delivery by our shipping vendors.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Customers who do not receive their orders in good condition or on time, or perceive our shipping promise as too slow, often become dissatisfied and even cease using our services, which may adversely affect our business and operating results if the issues become persistent or impact a significant amount of customers. Our shipping vendors have faced and</w:t>
      </w:r>
    </w:p>
    <w:p>
      <w:pPr>
        <w:ind w:right="60"/>
        <w:spacing w:after="0" w:line="239" w:lineRule="auto"/>
        <w:rPr>
          <w:sz w:val="20"/>
          <w:szCs w:val="20"/>
          <w:color w:val="auto"/>
        </w:rPr>
      </w:pPr>
      <w:r>
        <w:rPr>
          <w:rFonts w:ascii="Arial" w:cs="Arial" w:eastAsia="Arial" w:hAnsi="Arial"/>
          <w:sz w:val="14"/>
          <w:szCs w:val="14"/>
          <w:color w:val="auto"/>
        </w:rPr>
        <w:t>may continue to face increased volumes which, in turn, has caused and could in the future cause a decrease in their service levels, including shipping delays, or result in an increase in their prices. We have experienced increased shipping costs in recent years, and these costs are expected to increase in the future, particularly in light of the current macroeconomic landscape and global conflicts. In addition, although we have achieved efficiencies in our supply chain operations in recent years, these efficiencies may not be sustainable or meet our broader business objectives. Increases in shipping costs, in particular for our primary shipping vendor, are likely to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58"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In addition to offering the ability to return products by dropping off items with our primary third-party shipping vendor, we offer at-home pickup for customers located in multiple markets.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acquire and manage our products effectively and plan for future expenses, our operating results could be adversely affected.</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have been focused on expanding our relationships with brand partners and continuing to develop our Exclusive Designs and Share by RTR arrangements, which are our more capital-efficient ways of acquiring rental product, particularly in light of our 2025 and 2026 rental product strategy. For our Exclusive Designs, RTR traditionally has sourced the materials and relied upon third-party manufacturing partners to produce products; however, we have updated our Exclusive Designs model and, starting in fiscal year 2025, certain brands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increased or changing tariffs,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and conflict in the Middle East have in the past led to, and are likely to continue to lead to, increased fuel and, therefore,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5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help ensure adequate availability levels the failure of which may adversely affect our operating results. We cannot control products while they are out of our possession or prevent all damage while in our fulfillment centers, during shipping, or while with customers, third-party suppliers or partners. We are focused on enhancing our automation and quality control processes to ensure that we are appropriately managing our rental product; however, we may deactivate rental product prematurely, which could reduce availability to our customers, or we may deactivate rental product too slowly, which could increase costs and harm our reputation if customers and potential customers believe that our products are not of high quality or may be damaged.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resources to promote and maintain our brand; however we believe that we are underinvested in brand marketing and channel diversification relative to typical market practice and our competitors (as discussed elsewhere in these risk factors). Further, although we focus on full funnel marketing, our marketing spend has prioritized, and is expected to continue to prioritize, paid marketing over upper funnel, brand marketing investments, which may negatively impact our brand awareness and growth. Further,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Furthermore, whether accurate or not, negative publicity about our business, operations, leadership or employees, and customer complaints have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b w:val="1"/>
          <w:bCs w:val="1"/>
          <w:i w:val="1"/>
          <w:iCs w:val="1"/>
          <w:color w:val="auto"/>
        </w:rPr>
        <w:t>If we are not able to continue to improve our website and mobile app performance, keep pace with technological changes or consumer expectations, enhance our current offerings, and develop new offerings in a timely way to respond to the changing needs of partners and customers, our business, financial performance, and growth may be harmed</w:t>
      </w:r>
      <w:r>
        <w:rPr>
          <w:rFonts w:ascii="Arial" w:cs="Arial" w:eastAsia="Arial" w:hAnsi="Arial"/>
          <w:sz w:val="14"/>
          <w:szCs w:val="14"/>
          <w:color w:val="auto"/>
        </w:rPr>
        <w:t>.</w:t>
      </w:r>
    </w:p>
    <w:p>
      <w:pPr>
        <w:spacing w:after="0" w:line="3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include new software applications or related services based on AI, including agentic search and machine learning, augmented reality, or robotics or more generally evolving trends in e -commerce. For example, we continue to focus on improving the performance and design of our website and mobile application for our customers, including by leveraging AI tools and resources and increased personalization;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to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 For risks related to our adoption and use of AI, see “Our use of AI may subject us to new or heightened legal, regulatory, ethical, operational or other challenges.”</w:t>
      </w:r>
    </w:p>
    <w:p>
      <w:pPr>
        <w:spacing w:after="0" w:line="14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we are focused on increasing personalization and introducing AI styling tools for our customers. We have also recently launched a pilot of a marketplace offering designed to sell customers complementary products, such as clothing basics, shapewear and shoes, that are not available on our core platform. These new offerings and updates do not have demonstrably long track records of success for us and could result in higher costs, increased liability, not meet our expectations and goals, be a distraction from our core business goals, dilute our brand, and/or have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AI may subject us to new or heightened legal, regulatory, ethical, operational or other challenges.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currently use AI in connection with our business and operations and expect to expand our uses of AI. There are significant risks involved in utilizing AI, and no assurance can be provided that such use will enhance our business or operations or result in our business or operations being more efficient or profitable. For example, AI models and algorithms, and the data and other material or content on which they rely,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If we do not have sufficient rights to use the models, algorithms, data or other material or content on which our AI solutions rely, or the output thereof, we could also incur liability through the violation of applicable laws and regulations, third-party intellectual property, privacy or other rights, or contracts to which we are a party. If any of our employees, contractors, vendors or service providers use any third-party AI solutions in connection with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protect and enforce, our intellectual property rights or confidential information, harming our competitive position and business. Further, any content created by us using generative AI may not be subject to copyright protection which may adversely affect our intellectual property rights in, or ability to commercialize or use, any such content. In addition, the use of AI solutions by companies has resulted in, and may in the future result in, failures, interruptions and security breaches of their information technology networks and systems and data privacy, data security, data protection and consumer protection violations that implicate the personal or confidential information of users of such AI solutions. Our competitors may also adopt or develop more effective AI-based solutions, which could place us at a competitive disadvantage.</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regulation of AI is rapidly evolving worldwide as legislators and regulators are increasingly focused on this emerging technology. The technologies underlying AI and its uses are already subject to a variety of laws and regulations, including intellectual property, data privacy, data security, data protection, consumer protection, competition and equal opportunity laws and regulations,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and data privacy, data security, data protection and consumer protection laws and regulations to AI or are considering general legal frameworks for AI. It is possible that we will not be able to anticipate how to respond to these rapidly evolving frameworks, and we could be required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from time to time and are likely to occur in the future, which could harm our ability to meet customer expectations, fulfill orders, manage our products, and achieve our objectives for operating efficiencies and profitability.</w:t>
      </w:r>
    </w:p>
    <w:p>
      <w:pPr>
        <w:spacing w:after="0" w:line="244" w:lineRule="exact"/>
        <w:rPr>
          <w:sz w:val="20"/>
          <w:szCs w:val="20"/>
          <w:color w:val="auto"/>
        </w:rPr>
      </w:pPr>
    </w:p>
    <w:p>
      <w:pPr>
        <w:ind w:right="200"/>
        <w:spacing w:after="0"/>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w:t>
      </w:r>
    </w:p>
    <w:p>
      <w:pPr>
        <w:spacing w:after="0" w:line="3"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and functionality of our offerings. Our use of AI-assisted coding may increase the potential for errors or vulnerabilities in our code base. In some cases, such as our mobile application, certain errors are only able to be correctable through updates distributed through slower, third-party mechanisms, such as app stores, and may need to comply with</w:t>
      </w:r>
    </w:p>
    <w:p>
      <w:pPr>
        <w:ind w:right="20"/>
        <w:spacing w:after="0" w:line="239" w:lineRule="auto"/>
        <w:rPr>
          <w:sz w:val="20"/>
          <w:szCs w:val="20"/>
          <w:color w:val="auto"/>
        </w:rPr>
      </w:pPr>
      <w:r>
        <w:rPr>
          <w:rFonts w:ascii="Arial" w:cs="Arial" w:eastAsia="Arial" w:hAnsi="Arial"/>
          <w:sz w:val="14"/>
          <w:szCs w:val="14"/>
          <w:color w:val="auto"/>
        </w:rPr>
        <w:t>third-party policies and procedures to be made available, which may add additional delays due to app review and customer delay in updating their mobile apps. In addition, our IT Systems and business operations are increasingly reliant on AI systems and technologies, which are complex, expected to pose new or unknown cybersecurity risks and challenges, and may have errors or inadequacies that are not easily detectable. As discussed elsewhere in these risk factors, these systems and technologies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or to keep pace with rapidly developing technologies, such as AI.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or maintain operational controls for data protection, retention, or deletion, whether due to cost savings, resource constraints, a failure to identify the need or other reasons, could negatively impact our business.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Additionally, despite various security measures that have been implemented, our IT Systems and those of our third-party service providers and business partners as well as the Confidential Information stored thereon are vulnerable to numerous and rapidly evolving cybersecurity risks that threaten their confidentiality, integrity and availability, including security incidents, technology developments (including, but not limited to, AI developments),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inadvertent disclosures or other similar events. Notably, AI technologies have introduced new and complex cybersecurity risks, including, but not limited to, more sophisticated AI-powered phishing campaigns and the potential for novel attack vectors using AI, which presents a significant challenge for the Company and our third-party providers and business partners.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AI)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(including, but not limited to, our ability to keep pace with evolving AI threats) may not be, and have not always been, effective in every instance.</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contracted customer service provider, shipping partners, human resources information system, payment processor, data warehouses, and various IT Systems providers. Because we do not control these service providers and our ability to monitor their security measures is limited,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Due to applicable laws and regulations or contractual obligations, we may be held responsible for such incidents as they relate to the information we share with them. Moreover, we or our third-party service providers may be more vulnerable to such attacks in remote or hybrid work environments or when operating internationally. Any cyberattack, security incident, or material disruption or slowdown affecting our Confidential Information or IT Systems or those of our third -party service providers or business partners, could result in actual or alleged breaches of applicable laws or our contractual obligations,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48"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7"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38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in order to keep pace with industry standards and meet customer expectations, including with respect to the implementation of AI tools and resources;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80" w:hanging="193"/>
        <w:spacing w:after="0" w:line="271"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148"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AI,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Annual Report,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28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seasonality of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litigation matters and demands that may be costly to manage or that have a negative impact on our reputation;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We face risks arising from cost-cutting and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taken and plan to continue to take actions intended to drive efficiencies and maintain a cost structure that aligns with our business and financial objectives. For example, in September 2022 and January 2024, we announced significant restructuring plans intended to reduce costs, streamline our organizational structure and drive operational efficiencies and growth. We have also taken smaller actions with similar goals in mind, such as off-shoring over a majority of our customer service operations in fiscal years 2025 and 2026 and eliminating our customer service styling program in fiscal year 2025. These plans or other future restructuring plans, including as a result of leveraging AI efficiencies, present significant risks that could have a material adverse effect on our operations, financial condition, results of operations, cash flow, or business reputation. Such risks include:</w:t>
      </w:r>
    </w:p>
    <w:p>
      <w:pPr>
        <w:spacing w:after="0" w:line="55"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growth, cash flow and profitability goals;</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07"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Chief Executive Officer and President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Further, uncertainty during the current transition period following the Recapitalization Transactions, including the related Board transitions, or a perception that the new management incentive plan is not sufficiently motivating, could result in regrettable management attrition. The loss of one or more of our executive officers, the failure to appropriately manage executive transitions, or the failure by our executive team to effectively work with our new Board and our employees and lead our Company, could harm our business. We do not maintain key man life insurance with respect to any member of management or other employee.</w:t>
      </w:r>
    </w:p>
    <w:p>
      <w:pPr>
        <w:spacing w:after="0" w:line="152" w:lineRule="exact"/>
        <w:rPr>
          <w:sz w:val="20"/>
          <w:szCs w:val="20"/>
          <w:color w:val="auto"/>
        </w:rPr>
      </w:pPr>
    </w:p>
    <w:p>
      <w:pPr>
        <w:ind w:right="60"/>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product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w:t>
      </w:r>
    </w:p>
    <w:p>
      <w:pPr>
        <w:spacing w:after="0" w:line="3" w:lineRule="exact"/>
        <w:rPr>
          <w:sz w:val="20"/>
          <w:szCs w:val="20"/>
          <w:color w:val="auto"/>
        </w:rPr>
      </w:pPr>
    </w:p>
    <w:p>
      <w:pPr>
        <w:ind w:right="440"/>
        <w:spacing w:after="0" w:line="229" w:lineRule="auto"/>
        <w:rPr>
          <w:sz w:val="20"/>
          <w:szCs w:val="20"/>
          <w:color w:val="auto"/>
        </w:rPr>
      </w:pPr>
      <w:r>
        <w:rPr>
          <w:rFonts w:ascii="Arial" w:cs="Arial" w:eastAsia="Arial" w:hAnsi="Arial"/>
          <w:sz w:val="14"/>
          <w:szCs w:val="14"/>
          <w:color w:val="auto"/>
        </w:rPr>
        <w:t>prospective and existing employees often consider the value of the equity awards they may receive in connection with their employment and i) our stock price has declined significantly since our 2021 IPO and ii) we expect to grant future equity awards to a small group of senior leaders. If the perceived value of our equity awards is inadequate or</w:t>
      </w:r>
    </w:p>
    <w:p>
      <w:pPr>
        <w:ind w:right="200"/>
        <w:spacing w:after="0" w:line="242" w:lineRule="auto"/>
        <w:rPr>
          <w:sz w:val="20"/>
          <w:szCs w:val="20"/>
          <w:color w:val="auto"/>
        </w:rPr>
      </w:pPr>
      <w:r>
        <w:rPr>
          <w:rFonts w:ascii="Arial" w:cs="Arial" w:eastAsia="Arial" w:hAnsi="Arial"/>
          <w:sz w:val="14"/>
          <w:szCs w:val="14"/>
          <w:color w:val="auto"/>
        </w:rPr>
        <w:t>experiences significant volatility, it may adversely affect our ability to recruit and retain key employees. Although we have implemented different types of programs with a goal of incentivizing our employees,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have an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challenges with employee morale, perception of our business and financial condition, and challenging labor market conditions such as rising wages and competition in hiring.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spacing w:after="0" w:line="35" w:lineRule="exact"/>
        <w:rPr>
          <w:sz w:val="20"/>
          <w:szCs w:val="20"/>
          <w:color w:val="auto"/>
        </w:rPr>
      </w:pPr>
    </w:p>
    <w:p>
      <w:pPr>
        <w:jc w:val="both"/>
        <w:ind w:left="580" w:right="140" w:hanging="193"/>
        <w:spacing w:after="0" w:line="271" w:lineRule="auto"/>
        <w:tabs>
          <w:tab w:leader="none" w:pos="5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failure to maintain and/or improve employee morale and engagement for a variety of reasons, including, but not limited to, our office-centric approach in our New York City headquarters, past and future restructurings and layoffs, the perception of our business and financial condition, and our continued efforts to ensure a cost-conscious and efficient workforce that supports our growth and profitability goals;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failure to successfully integrate AI tools and resources into the day-to-day operations of our teams;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272"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w:t>
      </w:r>
    </w:p>
    <w:p>
      <w:pPr>
        <w:ind w:right="40"/>
        <w:spacing w:after="0" w:line="239" w:lineRule="auto"/>
        <w:rPr>
          <w:sz w:val="20"/>
          <w:szCs w:val="20"/>
          <w:color w:val="auto"/>
        </w:rPr>
      </w:pPr>
      <w:r>
        <w:rPr>
          <w:rFonts w:ascii="Arial" w:cs="Arial" w:eastAsia="Arial" w:hAnsi="Arial"/>
          <w:sz w:val="14"/>
          <w:szCs w:val="14"/>
          <w:color w:val="auto"/>
        </w:rPr>
        <w:t>between the United States and other countries with respect to global trade policies, tariffs and treatises. The United States has imposed significant tariffs on foreign countries, including China, related to the importation of certain product categories, and countries may change their business and trade policies in anticipation of or in response to the United States’s increased import tariffs and other changes in U.S. trade policies already enacted or that may be enacted in the future. For example,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The U.S. Supreme Court invalidated the reciprocal tariffs on February 20, 2026; however,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has contributed to continued volatility in the supply chain.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rPr>
          <w:sz w:val="20"/>
          <w:szCs w:val="20"/>
          <w:color w:val="auto"/>
        </w:rPr>
      </w:pPr>
      <w:r>
        <w:rPr>
          <w:rFonts w:ascii="Arial" w:cs="Arial" w:eastAsia="Arial" w:hAnsi="Arial"/>
          <w:sz w:val="14"/>
          <w:szCs w:val="14"/>
          <w:color w:val="auto"/>
        </w:rPr>
        <w:t>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For example, to respond to inflationary and tariff pressures, in August 2025, we implemented increased prices for our subscription plans. Any future developments of these issues, or the perception regarding such developments, could increase the costs associated with procuring rental product, negatively impact our brand partners’ business operations which could in turn negatively impact us, reduce the supply of materials used in the design and</w:t>
      </w:r>
    </w:p>
    <w:p>
      <w:pPr>
        <w:spacing w:after="0" w:line="3"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manufacture of our rental products; and negatively impact customer demand for our products, any of which could have a material adverse effect on our business, financial condition and results of operation.</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57"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55"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realize all of the anticipated benefits of the Recapitalization Transactions, or those benefits may be short-lived or insufficient for our future needs.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October 28, 2025, we completed the recapitalization transactions to strengthen our financial position and financial flexibility by significantly reducing our existing indebtedness and adding capital to the business (the “Recapitalization Transactions”). See “Note 3 — Liquidity” and “Note 4 — Recapitalization Transactions” in the Notes to the Consolidated Financial Statements for more information.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manage our Board transition and related changes could materially adversely affect our business.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To facilitate the Recapitalization Transactions, the Board has been restructured, including new and departing members, changes to the Audit Committee composition, and the designation of Mr. Fonseca as Executive Chair, and this transition may cause temporary uncertainty and disruption. Additionally, the Investor Group (defined below) has indicated that it is continuing to use commercially reasonable efforts to identify and designate a third Investor Group director to the Board, which could take place in the near future.</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potential uncertainty and disruption resulting from the Board transition and related changes, along with the ongoing efforts to identify a third Investor Group director, could have an adverse effect on our business, financial condition and results of operations. For more information on the Board transition, see “Note 4 — Recapitalization Transactions” in the Notes to the Consolidated Financial Statements for more information.</w:t>
      </w:r>
    </w:p>
    <w:p>
      <w:pPr>
        <w:spacing w:after="0" w:line="15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our market capitalization, business performance and/or level of indebtedness and/or governance structure may adversely impact efforts to raise additional capital. If we are unable to obtain adequate financing or financing on terms satisfactory to us, our ability to</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w:t>
      </w:r>
    </w:p>
    <w:p>
      <w:pPr>
        <w:spacing w:after="0"/>
        <w:rPr>
          <w:sz w:val="20"/>
          <w:szCs w:val="20"/>
          <w:color w:val="auto"/>
        </w:rPr>
      </w:pPr>
      <w:r>
        <w:rPr>
          <w:rFonts w:ascii="Arial" w:cs="Arial" w:eastAsia="Arial" w:hAnsi="Arial"/>
          <w:sz w:val="14"/>
          <w:szCs w:val="14"/>
          <w:color w:val="auto"/>
        </w:rPr>
        <w:t>general could limit our access to capital markets and increase our costs of borrowing.</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Under the terms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New Credit Agreement amended and restated our prior credit agreement, dated as of July 23, 2018, by and among the Company, as borrower, the lenders from time to time party thereto and the Agent (as successor-in-interest to Double Helix Pte Ltd.) (the “Existing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Further, in the past we have sought waivers and/or concessions from our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the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169"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17"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color w:val="auto"/>
        </w:rPr>
        <w:t>As of January 31, 2026, we had $156.6 million aggregate amount of borrowings, consisting of principal and debt (premium) discount under the New Credit Agreement. If we are unable to successfully manage our long-term debt obligations, our liquidity, results of operations, cash flows, and financial condition may be materially adversely impacted. See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 xml:space="preserve">Risks Related to the Recapitalization Transactions,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9 —Long-Term Debt in the Notes to the Consolidated Financial Statements for more information on our indebtedness and the Recapitalization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 xml:space="preserve">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have established plans to preserve existing cash liquidity, which includes additional reductions to labor, operating expenses, and/or capital expenditures. However, these actions may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if needed, will depend on the condition of the capital markets and our financial condition at such time, as well as cooperation with our lender.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9 —Long-Term Debt” in the Notes to the Consolidated Financial Statements for more information on our indebtedness and the Recapitalization Transactions.</w:t>
      </w:r>
    </w:p>
    <w:p>
      <w:pPr>
        <w:spacing w:after="0" w:line="231" w:lineRule="exact"/>
        <w:rPr>
          <w:sz w:val="20"/>
          <w:szCs w:val="20"/>
          <w:color w:val="auto"/>
        </w:rPr>
      </w:pPr>
    </w:p>
    <w:p>
      <w:pPr>
        <w:ind w:right="680"/>
        <w:spacing w:after="0" w:line="299" w:lineRule="auto"/>
        <w:rPr>
          <w:sz w:val="20"/>
          <w:szCs w:val="20"/>
          <w:color w:val="auto"/>
        </w:rPr>
      </w:pPr>
      <w:r>
        <w:rPr>
          <w:rFonts w:ascii="Arial" w:cs="Arial" w:eastAsia="Arial" w:hAnsi="Arial"/>
          <w:sz w:val="14"/>
          <w:szCs w:val="14"/>
          <w:b w:val="1"/>
          <w:bCs w:val="1"/>
          <w:i w:val="1"/>
          <w:iCs w:val="1"/>
          <w:color w:val="auto"/>
        </w:rPr>
        <w:t>Our New Credit Agreement contains covenants and other restrictions on our actions that may limit our operational flexibility or otherwise adversely affect our business, financial condition and results of operations.</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terms of our New Credit Agreement include a number of covenants that limit our ability to (subject to negotiated exceptions), among other things, incur additional indebtedness, incur liens on assets, enter into agreements related to mergers and acquisitions, dispose of assets or pay dividends and make distributions. These and other restrictions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 See Risks Related to the</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 xml:space="preserve">Recapitalization Transactions, Note 4 </w:t>
      </w:r>
      <w:r>
        <w:rPr>
          <w:rFonts w:ascii="Arial" w:cs="Arial" w:eastAsia="Arial" w:hAnsi="Arial"/>
          <w:sz w:val="15"/>
          <w:szCs w:val="15"/>
          <w:color w:val="auto"/>
        </w:rPr>
        <w:t>—</w:t>
      </w:r>
      <w:r>
        <w:rPr>
          <w:rFonts w:ascii="Arial" w:cs="Arial" w:eastAsia="Arial" w:hAnsi="Arial"/>
          <w:sz w:val="14"/>
          <w:szCs w:val="14"/>
          <w:color w:val="auto"/>
        </w:rPr>
        <w:t xml:space="preserve"> “Recapitalization Transactions” and Note 9 —Long-Term Debt in the Notes to the Consolidated Financial Statements for more information on our indebtedness and the Recapitalization Transactions.</w:t>
      </w:r>
    </w:p>
    <w:p>
      <w:pPr>
        <w:spacing w:after="0" w:line="36"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 failure by us to comply with the covenants specified in the New Credit Agreement could result in an event of default under the agreement, which would give the lender the right to declare all borrowings outstanding, together with accrued and unpaid interest and fees, to be immediately due and payable. If the debt under the New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 w:cs="Arial" w:eastAsia="Arial" w:hAnsi="Arial"/>
          <w:sz w:val="14"/>
          <w:szCs w:val="14"/>
          <w:color w:val="auto"/>
        </w:rPr>
        <w:t>.</w:t>
      </w:r>
    </w:p>
    <w:p>
      <w:pPr>
        <w:spacing w:after="0" w:line="43"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as described below. As of January 31, 2026,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6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qualified executive officers.</w:t>
      </w:r>
    </w:p>
    <w:p>
      <w:pPr>
        <w:spacing w:after="0" w:line="221"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or a “smaller reporting company.” At such time, our compliance with Section 404 will require that we incur substantial expenses and expend significant management efforts. However, for as long as we are an “emerging growth company” or a “smaller reporting company with under $75M in public float,” our independent registered public accounting firm will not be required to attest to the effectiveness of our internal control over financial reporting pursuant to Section 404(b). See “We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80" w:hanging="193"/>
        <w:spacing w:after="0" w:line="271"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earnings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Scrutiny and evolving expectations from consumers, investors, regulators, policymakers, employees and other stakeholders regarding environmental, social and governance matters may adversely impact our business and reputation.</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There has been heightened and, at 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5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57" w:lineRule="exact"/>
        <w:rPr>
          <w:sz w:val="20"/>
          <w:szCs w:val="20"/>
          <w:color w:val="auto"/>
        </w:rPr>
      </w:pPr>
    </w:p>
    <w:p>
      <w:pPr>
        <w:ind w:right="380"/>
        <w:spacing w:after="0" w:line="302" w:lineRule="auto"/>
        <w:rPr>
          <w:sz w:val="20"/>
          <w:szCs w:val="20"/>
          <w:color w:val="auto"/>
        </w:rPr>
      </w:pPr>
      <w:r>
        <w:rPr>
          <w:rFonts w:ascii="Arial" w:cs="Arial" w:eastAsia="Arial" w:hAnsi="Arial"/>
          <w:sz w:val="14"/>
          <w:szCs w:val="14"/>
          <w:b w:val="1"/>
          <w:bCs w:val="1"/>
          <w:i w:val="1"/>
          <w:iCs w:val="1"/>
          <w:color w:val="auto"/>
        </w:rPr>
        <w:t>The COVID-19 pandemic had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20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data privacy, data security and data protection, AI,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spacing w:after="0" w:line="14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3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data privacy, data security and data protection,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17, “Commitments and Contingencies” in the Notes to the Consolidated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for more details about the class action and other matters.</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particularly as our use of AI tools and resources (and the use of AI tools and resources by third parties) increases, if we or our third-party partners fail to adequately safeguard our intellectual property. Failure to adequately protect and enforce our intellectual property rights and/or develop new intellectual property could harm our brand, devalue our proprietary technology and content, and adversely affect our ability to compete effectively.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which could compete with or devalue our business. For example, the trademark clearance and prosecution process is expensive and time consuming. As such, we may not be able to engage in the clearance process or obtain registrations for every trademark that we use. If our unregistered trademarks are infringed, we may have inadequate protections in place to enforce against third party uses. Additionally, we may not timely or successfully register our trademarks in all jurisdictions, which could enable third parties to use or inhibit use of our brand name and thus create potential impediments to our business, including any efforts to expand the business outside of the U.S. The copyright registrations we have obtained for our website may not adequately protect all material contained on our website, and these registrations do not cover any material that is not part of our website. As such, if our copyrighted works are infringed or otherwise violated, we may not have sufficient registrations in place to enforce our rights in court or to obtain potentially available statutory damages, and we may need to take additional steps to be able to enforce our rights.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work-for-hire or assignment provisions. However, we cannot guarantee that we have entered into such agreements with each party that has developed intellectual property for us or that may have had access to our proprietary information and technology, know-how, and trade secrets, and in certain jurisdictions the agreements that we have entered into may not be enforceable.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and other enforcement actions may be necessary in the future to enforce our intellectual property rights and to protect our trade secrets. The legal systems of certain countries do not favor the enforcement of patents, trademarks, copyrights, trade secrets and other intellectual property and proprietary protection, which could make it difficult for us to stop the infringement, misappropriation, dilution or other violation of our intellectual property or marketing of competing products or solutions in violation of our intellectual property or proprietary rights generally. In particular, the ownership, protectability and enforceability of intellectual property and other proprietary rights arising from or in connection with the use of AI is subject to uncertainty and has not been fully addressed by laws or courts inside or outside the U.S.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proceedings could result in rendering our patents unenforceable or could result in narrowing the scope of the patent claims so that they no longer cover the technology we intend to protect. The outcome following legal assertions of invalidity and unenforceability is unpredictable. An adverse result in any litigation or defense proceedings could have a material adverse impact on our business by making the technology at issue freely available for others to use. Our inability to protect our trade secrets and proprietary technology against unauthorized copying, disclosure,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even with appropriate protective mechanisms in place,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For example, as trademark clearance and prosecution matters can be expensive and time consuming, we may not be able to engage in a comprehensive clearance process or obtain registrations for every trademark that we use. As such, a third party could claim that our unregistered mark closely resembles the third party’s trademark used for similar services and could make trademark infringement or passing off claims against us. Further, we may not be able to engage in copyright clearance for all content that we use in our business. As such, third parties could claim that content on our website or social media pages (or posted by social media influencers or brand ambassadors that we engage) infringes or otherwise violates the intellectual property rights of others.</w:t>
      </w: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measures in place designed to avoid infringing, misappropriating or otherwise violating the intellectual property rights of others. However, there is a risk that third parties may assert patent infringement claims against us for the sole purpose of extracting a settlement for a sum that may amount to nuisance value. For example, non-practicing entities may file lawsuits against us, regardless of merit, seeking to arrive at a quick settlement and payment. Moreover, despite our efforts to ensure that our employees and other third parties do not use the intellectual property and other proprietary information of third parties in their work for us, we may be subject to claims that we, our employees or third parties working on our behalf have inadvertently or otherwise used or disclosed intellectual property or other proprietary information of a former employer or other third parties.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may also be subject to claims of infringement, misappropriation or other violation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from time to time, we have received cease and desist and demand letters from third 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such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misappropriation or other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to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particularly with limited community support, may also present additional security risks because the public availability of such software may make it easier for hackers and other third parties to compromise our platform. Further, due to the ad hoc nature of updates to open-source software, we may be unable to maintain the most secure versions of the software.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industry standards and consumer expectations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 regulations, standards or guidelines.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U.S. data privacy, data security, data protection, and consumer protection laws are complex and changing rapidly, with the frequent imposition of new and changing requirements across our business. Many U.S. states have enacted, or are considering enacting, laws regulating the online collection, use, processing,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Further, the California Consumer Privacy Act of 2018, as amended by the California Privacy Rights Act of 2020 (collectively,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146"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European Economic Area,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evolving privacy policy requirements of the mobile application platforms, the adoption by consumers of browser settings or “ad-blocking” software, and the development and deployment of new technologies (including technologies using AI) could materially impact our ability to collect data or reduce our ability to deliver relevant promotions or media, which could materially impair the results of our operations. In addition, while we strive to publish and prominently display privacy policies that are accurate, comprehensive, and compliant with applicable laws, regulations and industry standards, we cannot ensure that our privacy policies and other statements regarding our practices will be sufficient to protect us from claims, proceedings, liability or adverse publicity relating to data privacy, data security, data protection and consumer protection. Although we endeavor to comply with our privacy policies, we may at times fail to do so or be alleged to have failed to do so, and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or if our practices are not consistent or viewed as not consistent with legal and regulatory requirements, including changes in laws and regulations or new interpretations or applications of existing laws and regulations, we may become subject to audits, inquiries, whistleblower complaints, adverse media coverage, investigations, loss of export privileges, or severe criminal or civil sanctions, any of which may have a material adverse effect on our business, financial condition, and results of operations.</w:t>
      </w:r>
    </w:p>
    <w:p>
      <w:pPr>
        <w:spacing w:after="0" w:line="320"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Further, we are subject to the Payment Card Industry Data Security Standard (“PCI DSS”), which is a multifaceted security standard that is designed to protect payment card data as mandated by payment card industry entities. We rely on vendors to handle PCI DSS matters for us and to ensure PCI DSS compliance. Despite our compliance efforts, we may become subject to claims that we have violated the PCI DSS, based on past, present, and future business practices, which could subject us to fines, restrictions and expulsion from card acceptance programs, have an adverse impact on our business and reputation, and be costly for us to defend.</w:t>
      </w:r>
    </w:p>
    <w:p>
      <w:pPr>
        <w:spacing w:after="0" w:line="13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use of AI tools and resources may also subject us to additional data privacy, data security, data protection and consumer protection risks that may impact our business. See “Risks Related to Our Business and Industry—Our use of AI may subject us to new or heightened legal, regulatory, ethical, operational or other challenges.”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not be successful in achieving compliance with the rapidly evolving data privacy, data security, AI, data protection, and consumer protection requirements discussed above, as well as other data privacy, security, AI,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or partners may not uphold their legal, regulatory or contractual obligations to comply with these data privacy, data security, data protection, consumer protection or AI requirements, thereby exposing us to risks in these areas. Any actual or perceived non-compliance could result in litigation (including class action lawsuits and mass arbitrations)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litigation or proceedings, or from disruptions in or failure or security intrusion of our IT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emission and discharge of wastewater; the health and safety of our employees; and the maintenance of our facilities and operations. Our compliance efforts are expected to require ongoing investments and may be costly to maintain.</w:t>
      </w:r>
    </w:p>
    <w:p>
      <w:pPr>
        <w:spacing w:after="0" w:line="323" w:lineRule="exact"/>
        <w:rPr>
          <w:sz w:val="20"/>
          <w:szCs w:val="20"/>
          <w:color w:val="auto"/>
        </w:rPr>
      </w:pPr>
    </w:p>
    <w:p>
      <w:pPr>
        <w:ind w:right="40"/>
        <w:spacing w:after="0"/>
        <w:rPr>
          <w:sz w:val="20"/>
          <w:szCs w:val="20"/>
          <w:color w:val="auto"/>
        </w:rPr>
      </w:pPr>
      <w:r>
        <w:rPr>
          <w:rFonts w:ascii="Arial" w:cs="Arial" w:eastAsia="Arial" w:hAnsi="Arial"/>
          <w:sz w:val="14"/>
          <w:szCs w:val="14"/>
          <w:color w:val="auto"/>
        </w:rPr>
        <w:t>These laws and regulations are complex and evolving. Despite our efforts, we have been, and may in the future be, subject to claims that we have violated such laws and regulations based on past, present, and future practices, which could have an adverse impact on our business and reputation, and be costly for us to defend. For example, we have received notices from regulatory agencies regarding permitting issues and compliance deficiencies related to our warehouse operations; we cannot guarantee that these or future matters will continue to be immaterial or resolved successfully. Failure to comply with such laws and regulations, which tend to become more stringent over time, failure to obtain or maintain permits necessary for our warehouse operations, or failure to favorably resolve violation notices can result in significant fines, penalties, costs, liabilities or restrictions on operations (including shutdown), injunctive relief, civil or criminal sanctions, and could expose us to costs of investigation or remediation, as well as tort claims for property damage</w:t>
      </w:r>
    </w:p>
    <w:p>
      <w:pPr>
        <w:spacing w:after="0" w:line="3" w:lineRule="exact"/>
        <w:rPr>
          <w:sz w:val="20"/>
          <w:szCs w:val="20"/>
          <w:color w:val="auto"/>
        </w:rPr>
      </w:pPr>
    </w:p>
    <w:p>
      <w:pPr>
        <w:jc w:val="both"/>
        <w:ind w:right="20"/>
        <w:spacing w:after="0" w:line="229" w:lineRule="auto"/>
        <w:rPr>
          <w:sz w:val="20"/>
          <w:szCs w:val="20"/>
          <w:color w:val="auto"/>
        </w:rPr>
      </w:pPr>
      <w:r>
        <w:rPr>
          <w:rFonts w:ascii="Arial" w:cs="Arial" w:eastAsia="Arial" w:hAnsi="Arial"/>
          <w:sz w:val="14"/>
          <w:szCs w:val="14"/>
          <w:color w:val="auto"/>
        </w:rPr>
        <w:t>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w:t>
      </w:r>
    </w:p>
    <w:p>
      <w:pPr>
        <w:ind w:right="100"/>
        <w:spacing w:after="0" w:line="242" w:lineRule="auto"/>
        <w:rPr>
          <w:sz w:val="20"/>
          <w:szCs w:val="20"/>
          <w:color w:val="auto"/>
        </w:rPr>
      </w:pPr>
      <w:r>
        <w:rPr>
          <w:rFonts w:ascii="Arial" w:cs="Arial" w:eastAsia="Arial" w:hAnsi="Arial"/>
          <w:sz w:val="14"/>
          <w:szCs w:val="14"/>
          <w:color w:val="auto"/>
        </w:rPr>
        <w:t>particularly with respect to our cleaning operations. Further, we may be responsible as a lessee operator for the costs of investigation, removal or remediation of hazardous or non-hazardous substances or waste located on or in or emanating from our leased properties, as well as any property damage. Insurance coverage for such matters is unlikely to be available and, even if available, it may be inadequate to cover potential costs and losses. There can be no assurance that our future operations, properties, uses or conditions will not result in the imposition of liability upon us under environmental laws or other regulations, or expose us to third-party actions such as tort suits.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As of January 31, 2026, we had federal net operating loss carryforwards of $ 507.25 million, $7.8 million of which will expire at various times through 2038. Furthermore, we had state net operating loss carryforwards of $ 537.91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utilization of such losses is subject to limitations. In addition, for state income tax purposes, there may be periods during which the use of net operating loss carryforwards is suspended or otherwise limited, which could accelerate or permanently increase state taxes owed.</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under Sections 382 and 383 of the Internal Revenue Code of 1986, as amended (the “Code”), and corresponding provisions of state law, an ownership change, generally defined as a significant change in equity ownership, may limit the Company’s ability to utilize net operating loss carryforwards and other tax attributes generated prior to the change. The Company previously completed a Section 382 analysis and concluded that an ownership change occurred in 2010; however, all net operating losses subject to that limitation were fully utilized in prior periods. The Company subsequently updated its Section 382 analysis through November 2025 and further determined that an additional ownership change occurred on October 28, 2025. As a result, net operating losses arising prior to that date are subject to annual limitations on utilization under Section 382, which may limit the amount of such net operating losses available to offset future taxable income. These limitations were considered in assessing the realizability of the Company’s deferred tax assets, and the Company has recorded a full valuation allowance against its U.S. deferred tax assets.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limitations on the utilization of net operating losses and other tax attributes, including those arising under Sections 382, 383 and 108 of the Code;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29"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10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previously migrated a substantial portion of our primary production environment, core architecture, and data storage to a third-party cloud provider, which provides a distributed computing infrastructure as a service platform for business operations. We are in the process of consolidating even more of our production environment, architecture, and data storage with this cloud provider and retain a separate third-party cloud provider for other discrete portions of our business. The consolidation of most of our business operations into a single cloud provider is intended to drive efficiencies and improve costs but could increase the impact to our company in the event of a security incident or other type of service interruption (as further described below). Further, this migration may take longer than anticipated, result in higher costs than planned, and lead to significant business disruption if our migration does not go as planned.</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cloud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w:t>
      </w:r>
    </w:p>
    <w:p>
      <w:pPr>
        <w:spacing w:after="0"/>
        <w:rPr>
          <w:sz w:val="20"/>
          <w:szCs w:val="20"/>
          <w:color w:val="auto"/>
        </w:rPr>
      </w:pPr>
      <w:r>
        <w:rPr>
          <w:rFonts w:ascii="Arial" w:cs="Arial" w:eastAsia="Arial" w:hAnsi="Arial"/>
          <w:sz w:val="14"/>
          <w:szCs w:val="14"/>
          <w:color w:val="auto"/>
        </w:rPr>
        <w:t>these types of disruptions could damage our brand and reputation and may adversely impact our business.</w:t>
      </w:r>
    </w:p>
    <w:p>
      <w:pPr>
        <w:spacing w:after="0" w:line="1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primary third-party cloud providers do not have an obligation to renew their agreements with us on terms acceptable to us or at all. Although alternative cloud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agreements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4"/>
          <w:szCs w:val="14"/>
          <w:color w:val="auto"/>
        </w:rPr>
        <w:t>.</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 Finally, if consumer use of AI agents or other AI tools grows, this may in turn reduce the usage of search engines, which could also result in reduced traffic to our websites. For risks related to AI, see “Our use of AI may subject us to new or heightened legal, regulatory, ethical, operational or other challenges.”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consumers may have difficulty accessing our sites, and our business and operating results are likely to suffer. Also, bots and non-human traffic accessing our site skew reporting, making results and trends more difficult to discern and, as a result, may impact our ability to assess the</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effectiveness of our marketing and product offerings, which could adversely affect our business and operating results. Our efforts to attract consumers and convert them into customers also rely on the use of cookies and similar tracking technologies, and our ability to use and benefit from such technologies may be restricted or prohibited by changes in</w:t>
      </w:r>
    </w:p>
    <w:p>
      <w:pPr>
        <w:ind w:right="60"/>
        <w:spacing w:after="0" w:line="241" w:lineRule="auto"/>
        <w:rPr>
          <w:sz w:val="20"/>
          <w:szCs w:val="20"/>
          <w:color w:val="auto"/>
        </w:rPr>
      </w:pPr>
      <w:r>
        <w:rPr>
          <w:rFonts w:ascii="Arial" w:cs="Arial" w:eastAsia="Arial" w:hAnsi="Arial"/>
          <w:sz w:val="14"/>
          <w:szCs w:val="14"/>
          <w:color w:val="auto"/>
        </w:rPr>
        <w:t>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5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such channels increase, we may incur additional marketing expenses or be required to allocate a larger portion of our marketing spend to other channels and our business and operating results could be adversely affected.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jc w:val="both"/>
        <w:ind w:right="3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U.S.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New Credit Agreement.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noncompliant with Nasdaq Listing Rule 5605(c)(2)(A), which requires listed companies to have at least three audit committee members.</w:t>
      </w:r>
    </w:p>
    <w:p>
      <w:pPr>
        <w:spacing w:after="0" w:line="187" w:lineRule="exact"/>
        <w:rPr>
          <w:sz w:val="20"/>
          <w:szCs w:val="20"/>
          <w:color w:val="auto"/>
        </w:rPr>
      </w:pPr>
    </w:p>
    <w:p>
      <w:pPr>
        <w:ind w:right="740"/>
        <w:spacing w:after="0" w:line="274" w:lineRule="auto"/>
        <w:rPr>
          <w:sz w:val="20"/>
          <w:szCs w:val="20"/>
          <w:color w:val="auto"/>
        </w:rPr>
      </w:pPr>
      <w:r>
        <w:rPr>
          <w:rFonts w:ascii="Arial" w:cs="Arial" w:eastAsia="Arial" w:hAnsi="Arial"/>
          <w:sz w:val="14"/>
          <w:szCs w:val="14"/>
          <w:color w:val="auto"/>
        </w:rPr>
        <w:t>On October 28, 2025, we notified Nasdaq of our non-compliance with Nasdaq Listing Rule 5605(c)(2)(A), which requires that the Audit Committee be comprised of three independent directors, and our intent to rely on the cure period provided by Nasdaq Listing Rule 5605(c)(4)(B).</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While we intend to appoint an independent director to the Audit Committee no later than our 2026 annual meeting of stockholders, as provided by Nasdaq Listing Rule 5605(c)(4) (B), there can be no assurances that we will be able to evidence compliance with all applicable requirements for continued listing on Nasdaq within the required timeframe. The failure to meet continuing compliance standards subjects our Class A Common Stock to a possible delisting. A delisting of our Class A Common Stock would have an adverse effect on the market liquidity of our Class A Common Stock and, as a result, the market price for our Class A Common Stock could become more volatile. Further, a delisting also could make it more difficult for us to raise additional capital.</w:t>
      </w:r>
    </w:p>
    <w:p>
      <w:pPr>
        <w:spacing w:after="0" w:line="15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32"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left="60" w:right="60"/>
        <w:spacing w:after="0" w:line="260"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 See also “Our shares of Class A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 which could make our Class A common stock less attractive to investors or otherwise harm our stock price.”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Annual Report, and others within or beyond our control, including:</w:t>
      </w:r>
    </w:p>
    <w:p>
      <w:pPr>
        <w:spacing w:after="0" w:line="46" w:lineRule="exact"/>
        <w:rPr>
          <w:sz w:val="20"/>
          <w:szCs w:val="20"/>
          <w:color w:val="auto"/>
        </w:rPr>
      </w:pPr>
    </w:p>
    <w:p>
      <w:pPr>
        <w:ind w:left="560" w:hanging="173"/>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4"/>
          <w:szCs w:val="14"/>
          <w:color w:val="auto"/>
        </w:rPr>
        <w:t>the Recapitalization Transactions;</w:t>
      </w:r>
    </w:p>
    <w:p>
      <w:pPr>
        <w:spacing w:after="0" w:line="81" w:lineRule="exact"/>
        <w:rPr>
          <w:rFonts w:ascii="Arial" w:cs="Arial" w:eastAsia="Arial" w:hAnsi="Arial"/>
          <w:sz w:val="16"/>
          <w:szCs w:val="16"/>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 in global trade policies, tariffs and other measures that could restrict international trade;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overall stock market conditions;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COVID-19 or future pandemics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geopolitical conditions, including war, incidents of terrorism, or responses to these events.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Our management has broad discretion, subject to our New Credit Agreement and Board oversight,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Annual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See Risks Related to the Recapitalization Transactions and “Note 4 — Recapitalization Transactions” in the Notes to the Consolidated Financial Statements for more information on the Recapitalization Transactions, including the sale and issuance of our common stock.</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Generally, 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but not limited to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and performance stock units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shares of Class A common stock are listed on the Nasdaq Global Market, and we are a “controlled company” within the meaning of the rules and listing standards of The Nasdaq Stock Market LLC (Nasdaq). As a result, we rely on exemptions from certain corporate governance requirements. Our stockholders do not have the same protections as those afforded to stockholders of companies that are not “controlled,” which could make our Class A common stock less attractive to investors or otherwise harm our stock price.</w:t>
      </w:r>
    </w:p>
    <w:p>
      <w:pPr>
        <w:spacing w:after="0" w:line="1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CHS US Investments LLC (“CHS”) and its affiliates control a majority of the voting power of our outstanding Class A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w:t>
      </w:r>
    </w:p>
    <w:p>
      <w:pPr>
        <w:spacing w:after="0" w:line="159" w:lineRule="exact"/>
        <w:rPr>
          <w:sz w:val="20"/>
          <w:szCs w:val="20"/>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are not required to have a board that is composed of a majority of “independent directors,” as defined under the rules and listing standards of Nasdaq;</w:t>
      </w:r>
    </w:p>
    <w:p>
      <w:pPr>
        <w:spacing w:after="0" w:line="22" w:lineRule="exact"/>
        <w:rPr>
          <w:rFonts w:ascii="Arial" w:cs="Arial" w:eastAsia="Arial" w:hAnsi="Arial"/>
          <w:sz w:val="14"/>
          <w:szCs w:val="14"/>
          <w:color w:val="auto"/>
        </w:rPr>
      </w:pPr>
    </w:p>
    <w:p>
      <w:pPr>
        <w:ind w:left="520" w:right="240" w:hanging="260"/>
        <w:spacing w:after="0" w:line="253"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are not required to have a compensation committee that is composed entirely of independent directors or have a written charter addressing the committee’s purpose and responsibilities; and</w:t>
      </w:r>
    </w:p>
    <w:p>
      <w:pPr>
        <w:ind w:left="520" w:right="80" w:hanging="260"/>
        <w:spacing w:after="0" w:line="269"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utilize, and intend to continue to utilize, certain of these exemptions. We do not have a compensation committee or a nominating and corporate governance committee. Accordingly, our stockholders do not have the same protections afforded to stockholders of companies that are subject to all of the corporate governance requirements of Nasdaq, which could make our Class A common stock less attractive to some investors or otherwise harm our stock price.</w:t>
      </w:r>
    </w:p>
    <w:p>
      <w:pPr>
        <w:spacing w:after="0" w:line="15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If at any time we cease to be a “controlled company” under Nasdaq listing rules, our board of directors will take all action necessary to comply with Nasdaq’s corporate governance rules, including establishing certain committees composed entirely of independent directors, subject to a permitted “phase-in” period. Notwithstanding our status as a controlled company, we will remain subject to the Nasdaq corporate governance standards that require us to have an audit committee with at least three independent directors, as well as to be composed entirely of independent directors. See “We are currently noncompliant with Nasdaq Listing Rule 5605(c)(2)(A), which requires listed companies to have at least three audit committee members.”</w:t>
      </w:r>
    </w:p>
    <w:p>
      <w:pPr>
        <w:spacing w:after="0" w:line="163"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There are provisions in our Amended Charter and Second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560" w:right="2120" w:hanging="5173"/>
        <w:spacing w:after="0" w:line="986" w:lineRule="auto"/>
        <w:tabs>
          <w:tab w:leader="none" w:pos="569" w:val="left"/>
        </w:tabs>
        <w:numPr>
          <w:ilvl w:val="0"/>
          <w:numId w:val="38"/>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-276860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320" w:hanging="193"/>
        <w:spacing w:after="0" w:line="271"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right="680" w:hanging="193"/>
        <w:spacing w:after="0" w:line="290"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subject to certain exceptions, thereby requiring that all stockholder actions be taken at a meeting of our stockholders;</w:t>
      </w:r>
    </w:p>
    <w:p>
      <w:pPr>
        <w:spacing w:after="0" w:line="35" w:lineRule="exact"/>
        <w:rPr>
          <w:rFonts w:ascii="Arial" w:cs="Arial" w:eastAsia="Arial" w:hAnsi="Arial"/>
          <w:sz w:val="14"/>
          <w:szCs w:val="14"/>
          <w:color w:val="auto"/>
        </w:rPr>
      </w:pPr>
    </w:p>
    <w:p>
      <w:pPr>
        <w:ind w:left="580" w:right="320" w:hanging="193"/>
        <w:spacing w:after="0" w:line="290"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investor rights agreement), subject to certain exceptions;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51"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effects of climate change and related regulatory, customer and investor responses may adversely impact our business.</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1C. Cybersecurity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Risk Management and Strategy</w:t>
      </w:r>
    </w:p>
    <w:p>
      <w:pPr>
        <w:spacing w:after="0" w:line="198"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 Our cybersecurity risk management program is managed separately from our other risk management programs.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Key elements of our cybersecurity risk management program include but are not limited to the following:</w:t>
      </w:r>
    </w:p>
    <w:p>
      <w:pPr>
        <w:spacing w:after="0" w:line="222" w:lineRule="exact"/>
        <w:rPr>
          <w:sz w:val="20"/>
          <w:szCs w:val="20"/>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risk assessments designed to help identify material cybersecurity risks to our critical systems and information;</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a security team principally responsible for managing our cybersecurity risk assessment processes, our security controls, and our response to cybersecurity incidents;</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the use of external service providers, where appropriate, to assess, test or otherwise assist with aspects of our security controls;</w:t>
      </w:r>
    </w:p>
    <w:p>
      <w:pPr>
        <w:spacing w:after="0" w:line="20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cybersecurity awareness training of our employees, incident response personnel, and senior management;</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4"/>
          <w:szCs w:val="14"/>
          <w:color w:val="auto"/>
        </w:rPr>
        <w:t>a cybersecurity incident response plan that includes procedures for responding to cybersecurity incidents;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520" w:right="140" w:hanging="260"/>
        <w:spacing w:after="0" w:line="239" w:lineRule="auto"/>
        <w:tabs>
          <w:tab w:leader="none" w:pos="516" w:val="left"/>
        </w:tabs>
        <w:numPr>
          <w:ilvl w:val="0"/>
          <w:numId w:val="41"/>
        </w:numPr>
        <w:rPr>
          <w:rFonts w:ascii="Arial" w:cs="Arial" w:eastAsia="Arial" w:hAnsi="Arial"/>
          <w:sz w:val="17"/>
          <w:szCs w:val="17"/>
          <w:color w:val="auto"/>
        </w:rPr>
      </w:pPr>
      <w:r>
        <w:rPr>
          <w:rFonts w:ascii="Arial" w:cs="Arial" w:eastAsia="Arial" w:hAnsi="Arial"/>
          <w:sz w:val="14"/>
          <w:szCs w:val="14"/>
          <w:color w:val="auto"/>
        </w:rPr>
        <w:t>a risk management process for certain third-party service providers, suppliers, and vendors based on, among other things, their criticality to our operations, access to RTR data, cybersecurity risk profile, and business requirements.</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headings: “Any significant technology disruption or failure, cyberattack or data security incident could adversely affect our business, financial condition and operations.”, “Our business relies on third-party cloud infrastructures, and any disruption of, or interference with, our use of cloud infrastructures could adversely affect our business, financial condition or results of operations.”, and “Our use of AI may subject us to new or heightened legal, regulatory, ethical, operational or other challenges.” included as part of our risk factor disclosures in Part I, Item 1A of this Annual Report on Form 10-K.</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Governance</w:t>
      </w:r>
    </w:p>
    <w:p>
      <w:pPr>
        <w:spacing w:after="0" w:line="198" w:lineRule="exact"/>
        <w:rPr>
          <w:sz w:val="20"/>
          <w:szCs w:val="20"/>
          <w:color w:val="auto"/>
        </w:rPr>
      </w:pPr>
    </w:p>
    <w:p>
      <w:pPr>
        <w:jc w:val="both"/>
        <w:ind w:right="240"/>
        <w:spacing w:after="0" w:line="271" w:lineRule="auto"/>
        <w:rPr>
          <w:sz w:val="20"/>
          <w:szCs w:val="20"/>
          <w:color w:val="auto"/>
        </w:rPr>
      </w:pPr>
      <w:r>
        <w:rPr>
          <w:rFonts w:ascii="Arial" w:cs="Arial" w:eastAsia="Arial" w:hAnsi="Arial"/>
          <w:sz w:val="14"/>
          <w:szCs w:val="14"/>
          <w:color w:val="auto"/>
        </w:rPr>
        <w:t>Our full Board considers cybersecurity risk as part of its risk oversight function and oversees management’s implementation of our cybersecurity risk management program. The Board receives quarterly reports from management on cybersecurity risks. In addition, management is responsible for updating the Board, where it deems appropriate, regarding any cybersecurity incidents it considers to be significant.</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SVP, Engineering and our VP, Technology &amp; CISO are the members of our management team who are primarily responsible for assessing and managing our material risks from cybersecurity threats. Their team has primary responsibility for our overall cybersecurity risk management program and they supervise our internal cybersecurity personnel and our external cybersecurity consultants. Our management team has deep expertise in e-commerce and consumer retail. In addition, our VP, Technology &amp; CISO’s experience includes developing secure products as well as head of security and CISO positions at both public and private companies.</w:t>
      </w:r>
    </w:p>
    <w:p>
      <w:pPr>
        <w:spacing w:after="0" w:line="15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Under the supervision of our SVP, Engineering and our VP, Technology &amp; CISO, the security team takes steps to stay informed about and monitor efforts to prevent, detect and respond to, as well as recovery and remediation efforts with respect to cybersecurity risks and incidents through various means, which may include briefings from internal security personnel; threat intelligence and other information obtained from governmental, public or private sources, including external consultants engaged by us and participants in our vulnerability disclosure program; and alerts and reports produced by security tools deployed in our IT environment. The security team, under the leadership of the SVP, Engineering and VP, Technology &amp; CISO, meet periodically to review the status of the cybersecurity program, including, as applicable, the status of regularly monitored cybersecurity benchmarks, responses to external or internal incidence or intelligence, oversight of third-party vendors, and progress against discrete program goals. Trends in risks, risk mitigations, long-term progress against program goals, and discrete intelligence or incidents discussed in these meetings are then shared in periodic cybersecurity reports to the Board.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79"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Our corporate headquarters is located in Brooklyn, New York under a lease that expires in November 2032. This lease consists of approximately 71,000 square feet of space, of which we sublease (or have available to sublease) approximately 47,000 square feet to other parties. We also lease and operate two fulfillment centers in Secaucus, New Jersey and Arlington, Texas under leases that expire in August 2029 and May 2030, respectively. We also lease commercial spaces in New York City and Galway, Ireland.</w:t>
      </w:r>
    </w:p>
    <w:p>
      <w:pPr>
        <w:spacing w:after="0" w:line="155"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in “Note 17 — Commitments and Contingencies” in the Notes to the Consolidated Financial Statements is incorporated by reference into this Item.</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300" w:top="123" w:right="7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Market under the symbol “RENT.”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As of April 2, 2026, there were approximately 134 stockholders of record of our Class A common stock and zero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96" w:lineRule="exact"/>
        <w:rPr>
          <w:sz w:val="20"/>
          <w:szCs w:val="20"/>
          <w:color w:val="auto"/>
        </w:rPr>
      </w:pPr>
    </w:p>
    <w:p>
      <w:pPr>
        <w:spacing w:after="0" w:line="270" w:lineRule="auto"/>
        <w:rPr>
          <w:sz w:val="20"/>
          <w:szCs w:val="20"/>
          <w:color w:val="auto"/>
        </w:rPr>
      </w:pPr>
      <w:r>
        <w:rPr>
          <w:rFonts w:ascii="Arial" w:cs="Arial" w:eastAsia="Arial" w:hAnsi="Arial"/>
          <w:sz w:val="14"/>
          <w:szCs w:val="14"/>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4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following graph shows a comparison from October 27, 2021 (the date our common stock commenced trading on Nasdaq), through January 31, 2026,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4001770" cy="2452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0177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2025 and 2024 financial condition and results of operations and year-to-year comparisons between fiscal years 2025 and 2024. Discussion of fiscal year 2023 financial condition and results of operations and year-to-year comparisons between fiscal years 2024 and 2023 are included in Part II, Item 7, “Management’s Discussion and Analysis of Financial Condition and Results of Operations” in our Annual Report on Form 10-K for the fiscal year ended January 31, 2025.</w:t>
      </w:r>
    </w:p>
    <w:p>
      <w:pPr>
        <w:spacing w:after="0" w:line="173"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3.5 million lifetime customers across all of our offerings and we had 183,552 ending Total Subscribers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(active and paused) as of January 31, 2026. We had 143,796 Active Subscribers as of January 31, 2026. The majority of our revenue is highly recurring and is generated by our subscribers. For the years ended January 31, 2026 and 2025, respectively, 90% and 88%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Fiscal Fourth Quarter and Recent Business Highlights:</w:t>
      </w:r>
    </w:p>
    <w:p>
      <w:pPr>
        <w:spacing w:after="0" w:line="21" w:lineRule="exact"/>
        <w:rPr>
          <w:sz w:val="20"/>
          <w:szCs w:val="20"/>
          <w:color w:val="auto"/>
        </w:rPr>
      </w:pPr>
    </w:p>
    <w:p>
      <w:pPr>
        <w:jc w:val="both"/>
        <w:ind w:left="580" w:right="420" w:hanging="257"/>
        <w:spacing w:after="0" w:line="253"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Drove Significant Growth in Active Subscriber Base</w:t>
      </w:r>
      <w:r>
        <w:rPr>
          <w:rFonts w:ascii="Arial" w:cs="Arial" w:eastAsia="Arial" w:hAnsi="Arial"/>
          <w:sz w:val="14"/>
          <w:szCs w:val="14"/>
          <w:color w:val="auto"/>
        </w:rPr>
        <w:t>: Ended Fiscal Year 2025 with 143,796 active subscribers, representing a 20% year-over-year increase. This</w:t>
      </w:r>
      <w:r>
        <w:rPr>
          <w:rFonts w:ascii="Arial" w:cs="Arial" w:eastAsia="Arial" w:hAnsi="Arial"/>
          <w:sz w:val="14"/>
          <w:szCs w:val="14"/>
          <w:b w:val="1"/>
          <w:bCs w:val="1"/>
          <w:color w:val="auto"/>
        </w:rPr>
        <w:t xml:space="preserve"> </w:t>
      </w:r>
      <w:r>
        <w:rPr>
          <w:rFonts w:ascii="Arial" w:cs="Arial" w:eastAsia="Arial" w:hAnsi="Arial"/>
          <w:sz w:val="14"/>
          <w:szCs w:val="14"/>
          <w:color w:val="auto"/>
        </w:rPr>
        <w:t>growth was supported by making our largest ever inventory investment last year, which served as the primary lever to driving substantial improvements in subscriber loyalty.</w:t>
      </w:r>
    </w:p>
    <w:p>
      <w:pPr>
        <w:ind w:left="580" w:right="360" w:hanging="257"/>
        <w:spacing w:after="0" w:line="253"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 xml:space="preserve">Record levels of Customer Satisfaction: </w:t>
      </w:r>
      <w:r>
        <w:rPr>
          <w:rFonts w:ascii="Arial" w:cs="Arial" w:eastAsia="Arial" w:hAnsi="Arial"/>
          <w:sz w:val="14"/>
          <w:szCs w:val="14"/>
          <w:color w:val="auto"/>
        </w:rPr>
        <w:t>Achieved 39% year-over-year growth in Subscription Net Promoter Score for fiscal year 2025, which has more than tripled</w:t>
      </w:r>
      <w:r>
        <w:rPr>
          <w:rFonts w:ascii="Arial" w:cs="Arial" w:eastAsia="Arial" w:hAnsi="Arial"/>
          <w:sz w:val="14"/>
          <w:szCs w:val="14"/>
          <w:b w:val="1"/>
          <w:bCs w:val="1"/>
          <w:color w:val="auto"/>
        </w:rPr>
        <w:t xml:space="preserve"> </w:t>
      </w:r>
      <w:r>
        <w:rPr>
          <w:rFonts w:ascii="Arial" w:cs="Arial" w:eastAsia="Arial" w:hAnsi="Arial"/>
          <w:sz w:val="14"/>
          <w:szCs w:val="14"/>
          <w:color w:val="auto"/>
        </w:rPr>
        <w:t>since 2022</w:t>
      </w:r>
    </w:p>
    <w:p>
      <w:pPr>
        <w:ind w:left="580" w:hanging="257"/>
        <w:spacing w:after="0" w:line="261"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Achieved Significant Success in Subscription Add-ons</w:t>
      </w:r>
      <w:r>
        <w:rPr>
          <w:rFonts w:ascii="Arial" w:cs="Arial" w:eastAsia="Arial" w:hAnsi="Arial"/>
          <w:sz w:val="14"/>
          <w:szCs w:val="14"/>
          <w:color w:val="auto"/>
        </w:rPr>
        <w:t>: Fourth quarter of fiscal year 2025 add-on revenue grew by 67% year-over-year, increasing from 40% in the</w:t>
      </w:r>
      <w:r>
        <w:rPr>
          <w:rFonts w:ascii="Arial" w:cs="Arial" w:eastAsia="Arial" w:hAnsi="Arial"/>
          <w:sz w:val="14"/>
          <w:szCs w:val="14"/>
          <w:b w:val="1"/>
          <w:bCs w:val="1"/>
          <w:color w:val="auto"/>
        </w:rPr>
        <w:t xml:space="preserve"> </w:t>
      </w:r>
      <w:r>
        <w:rPr>
          <w:rFonts w:ascii="Arial" w:cs="Arial" w:eastAsia="Arial" w:hAnsi="Arial"/>
          <w:sz w:val="14"/>
          <w:szCs w:val="14"/>
          <w:color w:val="auto"/>
        </w:rPr>
        <w:t>third quarter, 24% in the second quarter and 4% in the first quarter. We’re aiming to expand on this momentum in 2026 to drive higher revenue per subscriber by expanding membership flexibility, giving her more freedom to get the inventory she wants when she wants it, and higher cross-sell across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134747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1" w:lineRule="exact"/>
        <w:rPr>
          <w:sz w:val="20"/>
          <w:szCs w:val="20"/>
          <w:color w:val="auto"/>
        </w:rPr>
      </w:pPr>
    </w:p>
    <w:p>
      <w:pPr>
        <w:ind w:right="80" w:firstLine="5"/>
        <w:spacing w:after="0" w:line="229" w:lineRule="auto"/>
        <w:tabs>
          <w:tab w:leader="none" w:pos="72" w:val="left"/>
        </w:tabs>
        <w:numPr>
          <w:ilvl w:val="0"/>
          <w:numId w:val="43"/>
        </w:numPr>
        <w:rPr>
          <w:rFonts w:ascii="Arial" w:cs="Arial" w:eastAsia="Arial" w:hAnsi="Arial"/>
          <w:sz w:val="15"/>
          <w:szCs w:val="15"/>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left="580" w:right="100" w:hanging="257"/>
        <w:spacing w:after="0" w:line="26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b w:val="1"/>
          <w:bCs w:val="1"/>
          <w:color w:val="auto"/>
        </w:rPr>
        <w:t>Launched RTR Marketplace Pilot</w:t>
      </w:r>
      <w:r>
        <w:rPr>
          <w:rFonts w:ascii="Arial" w:cs="Arial" w:eastAsia="Arial" w:hAnsi="Arial"/>
          <w:sz w:val="14"/>
          <w:szCs w:val="14"/>
          <w:color w:val="auto"/>
        </w:rPr>
        <w:t>: In March 2026, we began testing a highly curated purchase destination for wardrobe essentials—including shoes, beauty, and basics</w:t>
      </w:r>
      <w:r>
        <w:rPr>
          <w:rFonts w:ascii="Arial" w:cs="Arial" w:eastAsia="Arial" w:hAnsi="Arial"/>
          <w:sz w:val="14"/>
          <w:szCs w:val="14"/>
          <w:b w:val="1"/>
          <w:bCs w:val="1"/>
          <w:color w:val="auto"/>
        </w:rPr>
        <w:t xml:space="preserve"> </w:t>
      </w:r>
      <w:r>
        <w:rPr>
          <w:rFonts w:ascii="Arial" w:cs="Arial" w:eastAsia="Arial" w:hAnsi="Arial"/>
          <w:sz w:val="14"/>
          <w:szCs w:val="14"/>
          <w:color w:val="auto"/>
        </w:rPr>
        <w:t>—to a subset of loyal subscribers with the goal to drive order "attach rates." According to a 2025 customer survey, 86% of respondents expressed interest in purchasing complementary items from Rent the Runway.</w:t>
      </w:r>
    </w:p>
    <w:p>
      <w:pPr>
        <w:ind w:left="580" w:right="80" w:hanging="257"/>
        <w:spacing w:after="0" w:line="253"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b w:val="1"/>
          <w:bCs w:val="1"/>
          <w:color w:val="auto"/>
        </w:rPr>
        <w:t>Search and Browsing Experience</w:t>
      </w:r>
      <w:r>
        <w:rPr>
          <w:rFonts w:ascii="Arial" w:cs="Arial" w:eastAsia="Arial" w:hAnsi="Arial"/>
          <w:sz w:val="14"/>
          <w:szCs w:val="14"/>
          <w:color w:val="auto"/>
        </w:rPr>
        <w:t>: We have recently launched a series of improvements that make it easier for our customers to find styles to rent. We have a new</w:t>
      </w:r>
      <w:r>
        <w:rPr>
          <w:rFonts w:ascii="Arial" w:cs="Arial" w:eastAsia="Arial" w:hAnsi="Arial"/>
          <w:sz w:val="14"/>
          <w:szCs w:val="14"/>
          <w:b w:val="1"/>
          <w:bCs w:val="1"/>
          <w:color w:val="auto"/>
        </w:rPr>
        <w:t xml:space="preserve"> </w:t>
      </w:r>
      <w:r>
        <w:rPr>
          <w:rFonts w:ascii="Arial" w:cs="Arial" w:eastAsia="Arial" w:hAnsi="Arial"/>
          <w:sz w:val="14"/>
          <w:szCs w:val="14"/>
          <w:color w:val="auto"/>
        </w:rPr>
        <w:t>search algorithm that we launched in February 2026 that has performed approximately 10% better in subscription conversion rate; in December 2025, we launched a new AI-driven similar styles recommendation across our product detail pages (PDPs) and introduced Quick Hearting, a new way of browsing that now powers 28% of her new hearts.</w:t>
      </w:r>
    </w:p>
    <w:p>
      <w:pPr>
        <w:ind w:left="580" w:hanging="257"/>
        <w:spacing w:after="0" w:line="253"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b w:val="1"/>
          <w:bCs w:val="1"/>
          <w:color w:val="auto"/>
        </w:rPr>
        <w:t>A Continued Shift to Bold Authenticity in our Marketing Strategy</w:t>
      </w:r>
      <w:r>
        <w:rPr>
          <w:rFonts w:ascii="Arial" w:cs="Arial" w:eastAsia="Arial" w:hAnsi="Arial"/>
          <w:sz w:val="14"/>
          <w:szCs w:val="14"/>
          <w:color w:val="auto"/>
        </w:rPr>
        <w:t>: In 2025 we changed the way we market by leading with our community first, and as of April 2026, we</w:t>
      </w:r>
      <w:r>
        <w:rPr>
          <w:rFonts w:ascii="Arial" w:cs="Arial" w:eastAsia="Arial" w:hAnsi="Arial"/>
          <w:sz w:val="14"/>
          <w:szCs w:val="14"/>
          <w:b w:val="1"/>
          <w:bCs w:val="1"/>
          <w:color w:val="auto"/>
        </w:rPr>
        <w:t xml:space="preserve"> </w:t>
      </w:r>
      <w:r>
        <w:rPr>
          <w:rFonts w:ascii="Arial" w:cs="Arial" w:eastAsia="Arial" w:hAnsi="Arial"/>
          <w:sz w:val="14"/>
          <w:szCs w:val="14"/>
          <w:color w:val="auto"/>
        </w:rPr>
        <w:t>have over 1,900 creators across our community programs. In the fourth quarter of fiscal year 2025, our total social audience was up 15% year-over-year and CGC (customer generated content) grew over 3x year-over-year, primarily driven by creator-led content on Instagram and TikTok. Our “Muse” content engine surpassed 13 million impressions in the fourth quarter of fiscal year 2025 and has since driven 20 million impressions in February and March 2026 alone. In fiscal year 2026, we are allocating a portion of our paid media marketing budget to continue to further scale these community-led, organic, word-of-mouth channels.</w:t>
      </w:r>
    </w:p>
    <w:p>
      <w:pPr>
        <w:ind w:left="580" w:hanging="257"/>
        <w:spacing w:after="0" w:line="258"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b w:val="1"/>
          <w:bCs w:val="1"/>
          <w:color w:val="auto"/>
        </w:rPr>
        <w:t>Investing in AI-Driven Discovery in Fiscal Year 2026</w:t>
      </w:r>
      <w:r>
        <w:rPr>
          <w:rFonts w:ascii="Arial" w:cs="Arial" w:eastAsia="Arial" w:hAnsi="Arial"/>
          <w:sz w:val="14"/>
          <w:szCs w:val="14"/>
          <w:color w:val="auto"/>
        </w:rPr>
        <w:t>. We are working to transform the customer experience in 2026 from a traditional e-commerce grid to an AI-powered discovery model. We are focused on building an enhanced discovery platform to allow our customer to better search for inventory by being able to browse in outfit groupings, improve conversational search, and view items in robust PDPs with visual versatility, including seeing the item in motion and in her size. We’re also leaning into Answer Engine Optimization (AEO) and SEO strategies with a goal of ensuring that Rent the Runway is the top destination for discovery online.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years ended January 31, 2026 and 2025, respectively:</w:t>
      </w:r>
    </w:p>
    <w:p>
      <w:pPr>
        <w:spacing w:after="0" w:line="200"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Revenue was $329.8 million and $306.2 million, respectively, representing 7.7% growth year-over-year;</w:t>
      </w:r>
    </w:p>
    <w:p>
      <w:pPr>
        <w:spacing w:after="0" w:line="91" w:lineRule="exact"/>
        <w:rPr>
          <w:rFonts w:ascii="Arial" w:cs="Arial" w:eastAsia="Arial" w:hAnsi="Arial"/>
          <w:sz w:val="14"/>
          <w:szCs w:val="14"/>
          <w:color w:val="auto"/>
        </w:rPr>
      </w:pPr>
    </w:p>
    <w:p>
      <w:pPr>
        <w:ind w:left="620" w:hanging="233"/>
        <w:spacing w:after="0"/>
        <w:tabs>
          <w:tab w:leader="none" w:pos="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143,796 and 119,778 ending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a change of 20.1%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143,558 and 132,574 Average Active Subscribers</w:t>
      </w:r>
      <w:r>
        <w:rPr>
          <w:rFonts w:ascii="Arial" w:cs="Arial" w:eastAsia="Arial" w:hAnsi="Arial"/>
          <w:sz w:val="18"/>
          <w:szCs w:val="18"/>
          <w:color w:val="auto"/>
          <w:vertAlign w:val="superscript"/>
        </w:rPr>
        <w:t>4</w:t>
      </w:r>
      <w:r>
        <w:rPr>
          <w:rFonts w:ascii="Arial" w:cs="Arial" w:eastAsia="Arial" w:hAnsi="Arial"/>
          <w:sz w:val="14"/>
          <w:szCs w:val="14"/>
          <w:color w:val="auto"/>
        </w:rPr>
        <w:t>, respectively, representing a change of 8.3%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183,552 and 164,004 ending Total Subscribers (including paused subscribers), respectively, representing a change of 11.9%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Gross Profit was $107.5 million and $115.9 million, respectively, representing a gross margin of 32.6% and 37.9%, respectively;</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Income (Loss) was $22.6 million and $(69.9) million, respectively. Net Income (Loss) as a percentage of revenue was 6.9%, and (22.8)%, respectively, and included $0.2 million of restructuring and related charges for the year ended January 31, 2025;</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Adjusted EBITDA was $24.9 million and $46.9 million, respectively, representing an Adjusted EBITDA margin of 7.6% and 15.3%, respectively;</w:t>
      </w:r>
    </w:p>
    <w:p>
      <w:pPr>
        <w:spacing w:after="0" w:line="93" w:lineRule="exact"/>
        <w:rPr>
          <w:rFonts w:ascii="Arial" w:cs="Arial" w:eastAsia="Arial" w:hAnsi="Arial"/>
          <w:sz w:val="14"/>
          <w:szCs w:val="14"/>
          <w:color w:val="auto"/>
        </w:rPr>
      </w:pPr>
    </w:p>
    <w:p>
      <w:pPr>
        <w:ind w:left="580" w:right="38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was $3.5 million and $12.9 million, and net cash used in investing activities was $(49.5) million and $(20.1) million, respectively;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cash (used in) provided by financing activities was $18.6 million and $(0.3) million, respectively;</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as a percentage of revenue was 1.1% and 4.2% and net cash used in investing activities as a percentage of revenue was (15.0)% and (6.6)%,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134747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62" w:lineRule="exact"/>
        <w:rPr>
          <w:sz w:val="20"/>
          <w:szCs w:val="20"/>
          <w:color w:val="auto"/>
        </w:rPr>
      </w:pPr>
    </w:p>
    <w:p>
      <w:pPr>
        <w:ind w:left="80" w:hanging="75"/>
        <w:spacing w:after="0"/>
        <w:tabs>
          <w:tab w:leader="none" w:pos="80" w:val="left"/>
        </w:tabs>
        <w:numPr>
          <w:ilvl w:val="0"/>
          <w:numId w:val="46"/>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15" w:lineRule="exact"/>
        <w:rPr>
          <w:sz w:val="20"/>
          <w:szCs w:val="20"/>
          <w:color w:val="auto"/>
        </w:rPr>
      </w:pPr>
    </w:p>
    <w:p>
      <w:pPr>
        <w:ind w:firstLine="5"/>
        <w:spacing w:after="0" w:line="227" w:lineRule="auto"/>
        <w:tabs>
          <w:tab w:leader="none" w:pos="72" w:val="left"/>
        </w:tabs>
        <w:numPr>
          <w:ilvl w:val="0"/>
          <w:numId w:val="47"/>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4"/>
          <w:szCs w:val="14"/>
          <w:color w:val="auto"/>
        </w:rPr>
        <w:t>•</w:t>
        <w:tab/>
        <w:t>Cash and Cash Equivalents was $50.4 million and $77.4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136"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We acquire and monetize products in three ways: Wholesale, Share by RTR and Exclusive Designs. These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delivering 75% to 100% of comparable Wholesale cost to the brand in the first twelve to eighteen months; however there is no minimum commitment other than the upfront payment, if applicable. Nearly all Share by RTR deals consummated after September 2020 include a cap on total potential payments to the brand partner.</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chart below summarizes the percentage of new items acquired via each method. In total, approximately 69% of new items were acquired through the more capital-efficient channels in fiscal year 2025, approximately 70% in fiscal year 2024 and approximately 61% in fiscal year 2023. Both our purchasing power and the diversification into Share by RTR and Exclusive Designs have led to a decrease in rental product capital expenditures (or Purchases of Rental Product as presented in the Consolidated Statement of Cash Flows) as a percentage of revenue over time. We aim to acquire approximately the same quantity of rental product year-over-year in fiscal year 2026; however, we expect the total percentage of units acquired through our more capital-efficient channels to increase in fiscal year 2026 versus fiscal year 2025, with an increase in the percentage of units acquired through our Share by RTR program versus fiscal year 2025. We plan to further decrease the percentage of units acquired through Wholesale and increase the percentage of units acquired through our more capital-efficient channels over the longer term. We expect to incur lower capital expenditures for purchases of rental product in fiscal year 2026 relative to fiscal year 2025 due to a greater proportion of rental product acquired through our Share by RTR program in fiscal year 2026.</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800" w:type="dxa"/>
            <w:vAlign w:val="bottom"/>
            <w:tcBorders>
              <w:right w:val="single" w:sz="8" w:color="auto"/>
            </w:tcBorders>
          </w:tcPr>
          <w:p>
            <w:pPr>
              <w:spacing w:after="0"/>
              <w:rPr>
                <w:sz w:val="12"/>
                <w:szCs w:val="12"/>
                <w:color w:val="auto"/>
              </w:rPr>
            </w:pPr>
          </w:p>
        </w:tc>
        <w:tc>
          <w:tcPr>
            <w:tcW w:w="1900" w:type="dxa"/>
            <w:vAlign w:val="bottom"/>
            <w:tcBorders>
              <w:top w:val="single" w:sz="8" w:color="auto"/>
              <w:right w:val="single" w:sz="8" w:color="auto"/>
            </w:tcBorders>
            <w:vMerge w:val="restart"/>
            <w:shd w:val="clear" w:color="auto" w:fill="1F5122"/>
          </w:tcPr>
          <w:p>
            <w:pPr>
              <w:ind w:left="540"/>
              <w:spacing w:after="0"/>
              <w:rPr>
                <w:sz w:val="20"/>
                <w:szCs w:val="20"/>
                <w:color w:val="auto"/>
              </w:rPr>
            </w:pPr>
            <w:r>
              <w:rPr>
                <w:rFonts w:ascii="Arial" w:cs="Arial" w:eastAsia="Arial" w:hAnsi="Arial"/>
                <w:sz w:val="14"/>
                <w:szCs w:val="14"/>
                <w:b w:val="1"/>
                <w:bCs w:val="1"/>
                <w:color w:val="FFFFFF"/>
              </w:rPr>
              <w:t>Description</w:t>
            </w:r>
          </w:p>
        </w:tc>
        <w:tc>
          <w:tcPr>
            <w:tcW w:w="1900" w:type="dxa"/>
            <w:vAlign w:val="bottom"/>
            <w:tcBorders>
              <w:top w:val="single" w:sz="8" w:color="auto"/>
              <w:right w:val="single" w:sz="8" w:color="auto"/>
            </w:tcBorders>
            <w:shd w:val="clear" w:color="auto" w:fill="1F5122"/>
          </w:tcPr>
          <w:p>
            <w:pPr>
              <w:ind w:left="40"/>
              <w:spacing w:after="0" w:line="149"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1F5122"/>
          </w:tcPr>
          <w:p>
            <w:pPr>
              <w:jc w:val="center"/>
              <w:spacing w:after="0" w:line="149" w:lineRule="exact"/>
              <w:rPr>
                <w:sz w:val="20"/>
                <w:szCs w:val="20"/>
                <w:color w:val="auto"/>
              </w:rPr>
            </w:pPr>
            <w:r>
              <w:rPr>
                <w:rFonts w:ascii="Arial" w:cs="Arial" w:eastAsia="Arial" w:hAnsi="Arial"/>
                <w:sz w:val="14"/>
                <w:szCs w:val="14"/>
                <w:b w:val="1"/>
                <w:bCs w:val="1"/>
                <w:color w:val="FFFFFF"/>
                <w:w w:val="99"/>
              </w:rPr>
              <w:t>Consolidated Balance</w:t>
            </w:r>
          </w:p>
        </w:tc>
        <w:tc>
          <w:tcPr>
            <w:tcW w:w="1900" w:type="dxa"/>
            <w:vAlign w:val="bottom"/>
            <w:tcBorders>
              <w:top w:val="single" w:sz="8" w:color="auto"/>
              <w:right w:val="single" w:sz="8" w:color="auto"/>
            </w:tcBorders>
            <w:shd w:val="clear" w:color="auto" w:fill="1F5122"/>
          </w:tcPr>
          <w:p>
            <w:pPr>
              <w:jc w:val="center"/>
              <w:spacing w:after="0" w:line="149"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1F5122"/>
          </w:tcPr>
          <w:p>
            <w:pPr>
              <w:jc w:val="right"/>
              <w:ind w:right="29"/>
              <w:spacing w:after="0" w:line="149" w:lineRule="exact"/>
              <w:rPr>
                <w:sz w:val="20"/>
                <w:szCs w:val="20"/>
                <w:color w:val="auto"/>
              </w:rPr>
            </w:pPr>
            <w:r>
              <w:rPr>
                <w:rFonts w:ascii="Arial" w:cs="Arial" w:eastAsia="Arial" w:hAnsi="Arial"/>
                <w:sz w:val="14"/>
                <w:szCs w:val="14"/>
                <w:b w:val="1"/>
                <w:bCs w:val="1"/>
                <w:color w:val="FFFFFF"/>
              </w:rPr>
              <w:t>Percent of Items Acquired</w:t>
            </w:r>
          </w:p>
        </w:tc>
        <w:tc>
          <w:tcPr>
            <w:tcW w:w="0" w:type="dxa"/>
            <w:vAlign w:val="bottom"/>
          </w:tcPr>
          <w:p>
            <w:pPr>
              <w:spacing w:after="0"/>
              <w:rPr>
                <w:sz w:val="1"/>
                <w:szCs w:val="1"/>
                <w:color w:val="auto"/>
              </w:rPr>
            </w:pPr>
          </w:p>
        </w:tc>
      </w:tr>
      <w:tr>
        <w:trPr>
          <w:trHeight w:val="126"/>
        </w:trPr>
        <w:tc>
          <w:tcPr>
            <w:tcW w:w="18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shd w:val="clear" w:color="auto" w:fill="1F5122"/>
          </w:tcPr>
          <w:p>
            <w:pPr>
              <w:spacing w:after="0"/>
              <w:rPr>
                <w:sz w:val="10"/>
                <w:szCs w:val="10"/>
                <w:color w:val="auto"/>
              </w:rPr>
            </w:pPr>
          </w:p>
        </w:tc>
        <w:tc>
          <w:tcPr>
            <w:tcW w:w="1900" w:type="dxa"/>
            <w:vAlign w:val="bottom"/>
            <w:tcBorders>
              <w:right w:val="single" w:sz="8" w:color="auto"/>
            </w:tcBorders>
            <w:vMerge w:val="restart"/>
            <w:shd w:val="clear" w:color="auto" w:fill="1F5122"/>
          </w:tcPr>
          <w:p>
            <w:pPr>
              <w:ind w:left="560"/>
              <w:spacing w:after="0"/>
              <w:rPr>
                <w:sz w:val="20"/>
                <w:szCs w:val="20"/>
                <w:color w:val="auto"/>
              </w:rPr>
            </w:pPr>
            <w:r>
              <w:rPr>
                <w:rFonts w:ascii="Arial" w:cs="Arial" w:eastAsia="Arial" w:hAnsi="Arial"/>
                <w:sz w:val="14"/>
                <w:szCs w:val="14"/>
                <w:b w:val="1"/>
                <w:bCs w:val="1"/>
                <w:color w:val="FFFFFF"/>
              </w:rPr>
              <w:t>Operations</w:t>
            </w:r>
          </w:p>
        </w:tc>
        <w:tc>
          <w:tcPr>
            <w:tcW w:w="1900" w:type="dxa"/>
            <w:vAlign w:val="bottom"/>
            <w:tcBorders>
              <w:right w:val="single" w:sz="8" w:color="auto"/>
            </w:tcBorders>
            <w:vMerge w:val="restart"/>
            <w:shd w:val="clear" w:color="auto" w:fill="1F5122"/>
          </w:tcPr>
          <w:p>
            <w:pPr>
              <w:jc w:val="center"/>
              <w:spacing w:after="0"/>
              <w:rPr>
                <w:sz w:val="20"/>
                <w:szCs w:val="20"/>
                <w:color w:val="auto"/>
              </w:rPr>
            </w:pPr>
            <w:r>
              <w:rPr>
                <w:rFonts w:ascii="Arial" w:cs="Arial" w:eastAsia="Arial" w:hAnsi="Arial"/>
                <w:sz w:val="14"/>
                <w:szCs w:val="14"/>
                <w:b w:val="1"/>
                <w:bCs w:val="1"/>
                <w:color w:val="FFFFFF"/>
              </w:rPr>
              <w:t>Sheets</w:t>
            </w:r>
          </w:p>
        </w:tc>
        <w:tc>
          <w:tcPr>
            <w:tcW w:w="1900" w:type="dxa"/>
            <w:vAlign w:val="bottom"/>
            <w:tcBorders>
              <w:right w:val="single" w:sz="8" w:color="auto"/>
            </w:tcBorders>
            <w:vMerge w:val="restart"/>
            <w:shd w:val="clear" w:color="auto" w:fill="1F5122"/>
          </w:tcPr>
          <w:p>
            <w:pPr>
              <w:jc w:val="center"/>
              <w:spacing w:after="0"/>
              <w:rPr>
                <w:sz w:val="20"/>
                <w:szCs w:val="20"/>
                <w:color w:val="auto"/>
              </w:rPr>
            </w:pPr>
            <w:r>
              <w:rPr>
                <w:rFonts w:ascii="Arial" w:cs="Arial" w:eastAsia="Arial" w:hAnsi="Arial"/>
                <w:sz w:val="14"/>
                <w:szCs w:val="14"/>
                <w:b w:val="1"/>
                <w:bCs w:val="1"/>
                <w:color w:val="FFFFFF"/>
              </w:rPr>
              <w:t>Cash Flows</w:t>
            </w:r>
          </w:p>
        </w:tc>
        <w:tc>
          <w:tcPr>
            <w:tcW w:w="1900" w:type="dxa"/>
            <w:vAlign w:val="bottom"/>
            <w:tcBorders>
              <w:right w:val="single" w:sz="8" w:color="auto"/>
            </w:tcBorders>
            <w:vMerge w:val="restart"/>
            <w:shd w:val="clear" w:color="auto" w:fill="1F5122"/>
          </w:tcPr>
          <w:p>
            <w:pPr>
              <w:jc w:val="right"/>
              <w:ind w:right="109"/>
              <w:spacing w:after="0"/>
              <w:rPr>
                <w:sz w:val="20"/>
                <w:szCs w:val="20"/>
                <w:color w:val="auto"/>
              </w:rPr>
            </w:pPr>
            <w:r>
              <w:rPr>
                <w:rFonts w:ascii="Arial" w:cs="Arial" w:eastAsia="Arial" w:hAnsi="Arial"/>
                <w:sz w:val="14"/>
                <w:szCs w:val="14"/>
                <w:b w:val="1"/>
                <w:bCs w:val="1"/>
                <w:color w:val="FFFFFF"/>
              </w:rPr>
              <w:t>in FY 2025 / 2024 / 2023</w:t>
            </w:r>
          </w:p>
        </w:tc>
        <w:tc>
          <w:tcPr>
            <w:tcW w:w="0" w:type="dxa"/>
            <w:vAlign w:val="bottom"/>
          </w:tcPr>
          <w:p>
            <w:pPr>
              <w:spacing w:after="0"/>
              <w:rPr>
                <w:sz w:val="1"/>
                <w:szCs w:val="1"/>
                <w:color w:val="auto"/>
              </w:rPr>
            </w:pPr>
          </w:p>
        </w:tc>
      </w:tr>
      <w:tr>
        <w:trPr>
          <w:trHeight w:val="65"/>
        </w:trPr>
        <w:tc>
          <w:tcPr>
            <w:tcW w:w="18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1F5122"/>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line="129" w:lineRule="exact"/>
              <w:rPr>
                <w:sz w:val="20"/>
                <w:szCs w:val="20"/>
                <w:color w:val="auto"/>
              </w:rPr>
            </w:pPr>
            <w:r>
              <w:rPr>
                <w:rFonts w:ascii="Arial" w:cs="Arial" w:eastAsia="Arial" w:hAnsi="Arial"/>
                <w:sz w:val="14"/>
                <w:szCs w:val="14"/>
                <w:color w:val="auto"/>
              </w:rPr>
              <w:t>Cost is recognized through</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Total cost is recognized as a</w:t>
            </w: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straight-line depreciation,</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with a three-year useful life</w:t>
            </w:r>
          </w:p>
        </w:tc>
        <w:tc>
          <w:tcPr>
            <w:tcW w:w="19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Total cost is capitalized as</w:t>
            </w: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capital expenditure</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0F7F40"/>
              </w:rPr>
              <w:t>WHOLESALE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from brand partners, typically</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restart"/>
          </w:tcPr>
          <w:p>
            <w:pPr>
              <w:jc w:val="right"/>
              <w:ind w:right="749"/>
              <w:spacing w:after="0"/>
              <w:rPr>
                <w:sz w:val="20"/>
                <w:szCs w:val="20"/>
                <w:color w:val="auto"/>
              </w:rPr>
            </w:pPr>
            <w:r>
              <w:rPr>
                <w:rFonts w:ascii="Arial" w:cs="Arial" w:eastAsia="Arial" w:hAnsi="Arial"/>
                <w:sz w:val="14"/>
                <w:szCs w:val="14"/>
                <w:color w:val="auto"/>
                <w:w w:val="98"/>
              </w:rPr>
              <w:t>31% / 30% / 39%</w:t>
            </w: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and 20% salvage value, in</w:t>
            </w: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"Rental Products" in long-</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("Purchases of Rental</w:t>
            </w:r>
          </w:p>
        </w:tc>
        <w:tc>
          <w:tcPr>
            <w:tcW w:w="1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line="74" w:lineRule="exact"/>
              <w:rPr>
                <w:sz w:val="20"/>
                <w:szCs w:val="20"/>
                <w:color w:val="auto"/>
              </w:rPr>
            </w:pPr>
            <w:r>
              <w:rPr>
                <w:rFonts w:ascii="Arial" w:cs="Arial" w:eastAsia="Arial" w:hAnsi="Arial"/>
                <w:sz w:val="8"/>
                <w:szCs w:val="8"/>
                <w:color w:val="auto"/>
              </w:rPr>
              <w:t>at a discount to wholesale</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the "Rental Product</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term assets</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Product") at time of</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price</w:t>
            </w: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Depreciation and Revenue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acquisition</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0" w:type="dxa"/>
            <w:vAlign w:val="bottom"/>
            <w:tcBorders>
              <w:left w:val="single" w:sz="8" w:color="auto"/>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line="161" w:lineRule="exact"/>
              <w:rPr>
                <w:sz w:val="20"/>
                <w:szCs w:val="20"/>
                <w:color w:val="auto"/>
              </w:rPr>
            </w:pPr>
            <w:r>
              <w:rPr>
                <w:rFonts w:ascii="Arial" w:cs="Arial" w:eastAsia="Arial" w:hAnsi="Arial"/>
                <w:sz w:val="14"/>
                <w:szCs w:val="14"/>
                <w:color w:val="auto"/>
              </w:rPr>
              <w:t xml:space="preserve">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AADEAD"/>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29" w:lineRule="exact"/>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Upfront and performance-</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from brand partners on</w:t>
            </w: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Upfront and performance-</w:t>
            </w: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19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consignment, at no upfront or</w:t>
            </w: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not capitalized on</w:t>
            </w:r>
          </w:p>
        </w:tc>
        <w:tc>
          <w:tcPr>
            <w:tcW w:w="1900" w:type="dxa"/>
            <w:vAlign w:val="bottom"/>
            <w:tcBorders>
              <w:right w:val="single" w:sz="8" w:color="auto"/>
            </w:tcBorders>
            <w:vMerge w:val="continue"/>
            <w:shd w:val="clear" w:color="auto" w:fill="AADEAD"/>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80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Arial" w:cs="Arial" w:eastAsia="Arial" w:hAnsi="Arial"/>
                <w:sz w:val="16"/>
                <w:szCs w:val="16"/>
                <w:b w:val="1"/>
                <w:bCs w:val="1"/>
                <w:color w:val="0F7F40"/>
              </w:rPr>
              <w:t xml:space="preserve">SHARE BY RTR </w:t>
            </w:r>
            <w:r>
              <w:rPr>
                <w:rFonts w:ascii="MS PGothic" w:cs="MS PGothic" w:eastAsia="MS PGothic" w:hAnsi="MS PGothic"/>
                <w:sz w:val="16"/>
                <w:szCs w:val="16"/>
                <w:color w:val="000000"/>
              </w:rPr>
              <w:t>⁽</w:t>
            </w:r>
            <w:r>
              <w:rPr>
                <w:rFonts w:ascii="Arial" w:cs="Arial" w:eastAsia="Arial" w:hAnsi="Arial"/>
                <w:sz w:val="16"/>
                <w:szCs w:val="16"/>
                <w:b w:val="1"/>
                <w:bCs w:val="1"/>
                <w:color w:val="0F7F40"/>
              </w:rPr>
              <w:t>²</w:t>
            </w:r>
            <w:r>
              <w:rPr>
                <w:rFonts w:ascii="MS PGothic" w:cs="MS PGothic" w:eastAsia="MS PGothic" w:hAnsi="MS PGothic"/>
                <w:sz w:val="16"/>
                <w:szCs w:val="16"/>
                <w:color w:val="000000"/>
              </w:rPr>
              <w:t>⁾</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a fraction of wholesale cost</w:t>
            </w: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00" w:type="dxa"/>
            <w:vAlign w:val="bottom"/>
            <w:tcBorders>
              <w:left w:val="single" w:sz="8" w:color="auto"/>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the balance sheet as we do</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vMerge w:val="restart"/>
          </w:tcPr>
          <w:p>
            <w:pPr>
              <w:jc w:val="right"/>
              <w:ind w:right="749"/>
              <w:spacing w:after="0"/>
              <w:rPr>
                <w:sz w:val="20"/>
                <w:szCs w:val="20"/>
                <w:color w:val="auto"/>
              </w:rPr>
            </w:pPr>
            <w:r>
              <w:rPr>
                <w:rFonts w:ascii="Arial" w:cs="Arial" w:eastAsia="Arial" w:hAnsi="Arial"/>
                <w:sz w:val="14"/>
                <w:szCs w:val="14"/>
                <w:color w:val="auto"/>
                <w:w w:val="98"/>
              </w:rPr>
              <w:t>57% / 48% / 33%</w:t>
            </w: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upfront, with performance-</w:t>
            </w: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incurred in the "Rental</w:t>
            </w: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payments flow through Net</w:t>
            </w:r>
          </w:p>
        </w:tc>
        <w:tc>
          <w:tcPr>
            <w:tcW w:w="1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Product Depreciation and</w:t>
            </w: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not own them</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Income as incurred</w:t>
            </w: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payments to our brand</w:t>
            </w: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partners over time</w:t>
            </w:r>
          </w:p>
        </w:tc>
        <w:tc>
          <w:tcPr>
            <w:tcW w:w="1900" w:type="dxa"/>
            <w:vAlign w:val="bottom"/>
            <w:tcBorders>
              <w:bottom w:val="single" w:sz="8" w:color="auto"/>
              <w:right w:val="single" w:sz="8" w:color="auto"/>
            </w:tcBorders>
            <w:shd w:val="clear" w:color="auto" w:fill="AADEAD"/>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shd w:val="clear" w:color="auto" w:fill="AADEAD"/>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6"/>
        </w:trPr>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jc w:val="right"/>
              <w:ind w:right="1710"/>
              <w:spacing w:after="0"/>
              <w:rPr>
                <w:sz w:val="20"/>
                <w:szCs w:val="20"/>
                <w:color w:val="auto"/>
              </w:rPr>
            </w:pPr>
            <w:r>
              <w:rPr>
                <w:rFonts w:ascii="Arial" w:cs="Arial" w:eastAsia="Arial" w:hAnsi="Arial"/>
                <w:sz w:val="12"/>
                <w:szCs w:val="12"/>
                <w:color w:val="auto"/>
                <w:w w:val="74"/>
              </w:rPr>
              <w:t>75</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-959485</wp:posOffset>
            </wp:positionV>
            <wp:extent cx="102870" cy="78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7874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377825</wp:posOffset>
            </wp:positionV>
            <wp:extent cx="7155180" cy="2445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24453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78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AADEAD"/>
          </w:tcPr>
          <w:p>
            <w:pPr>
              <w:spacing w:after="0" w:line="149" w:lineRule="exact"/>
              <w:rPr>
                <w:sz w:val="20"/>
                <w:szCs w:val="20"/>
                <w:color w:val="auto"/>
              </w:rPr>
            </w:pPr>
            <w:r>
              <w:rPr>
                <w:rFonts w:ascii="Arial" w:cs="Arial" w:eastAsia="Arial" w:hAnsi="Arial"/>
                <w:sz w:val="14"/>
                <w:szCs w:val="14"/>
                <w:color w:val="auto"/>
              </w:rPr>
              <w:t>Upfront and, when</w:t>
            </w: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AADEAD"/>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designed in</w:t>
            </w:r>
          </w:p>
        </w:tc>
        <w:tc>
          <w:tcPr>
            <w:tcW w:w="1900" w:type="dxa"/>
            <w:vAlign w:val="bottom"/>
            <w:tcBorders>
              <w:right w:val="single" w:sz="8" w:color="auto"/>
            </w:tcBorders>
            <w:shd w:val="clear" w:color="auto" w:fill="AADEAD"/>
          </w:tcPr>
          <w:p>
            <w:pPr>
              <w:spacing w:after="0" w:line="145" w:lineRule="exact"/>
              <w:rPr>
                <w:sz w:val="20"/>
                <w:szCs w:val="20"/>
                <w:color w:val="auto"/>
              </w:rPr>
            </w:pPr>
            <w:r>
              <w:rPr>
                <w:rFonts w:ascii="Arial" w:cs="Arial" w:eastAsia="Arial" w:hAnsi="Arial"/>
                <w:sz w:val="14"/>
                <w:szCs w:val="14"/>
                <w:color w:val="auto"/>
              </w:rPr>
              <w:t>applicable, performance-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AADEAD"/>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shd w:val="clear" w:color="auto" w:fill="AADEAD"/>
          </w:tcPr>
          <w:p>
            <w:pPr>
              <w:spacing w:after="0" w:line="142"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shd w:val="clear" w:color="auto" w:fill="AADEAD"/>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collaboration with our brand</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Upfront and, when</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7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partners and available</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applicable, revenue share</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45" w:lineRule="exact"/>
              <w:rPr>
                <w:sz w:val="20"/>
                <w:szCs w:val="20"/>
                <w:color w:val="auto"/>
              </w:rPr>
            </w:pPr>
            <w:r>
              <w:rPr>
                <w:rFonts w:ascii="Arial" w:cs="Arial" w:eastAsia="Arial" w:hAnsi="Arial"/>
                <w:sz w:val="14"/>
                <w:szCs w:val="14"/>
                <w:color w:val="auto"/>
              </w:rPr>
              <w:t>incurred in the "Rental</w:t>
            </w: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exclusively on our site for a</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payments flow through Net</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7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shd w:val="clear" w:color="auto" w:fill="AADEAD"/>
          </w:tcPr>
          <w:p>
            <w:pPr>
              <w:spacing w:after="0" w:line="142" w:lineRule="exact"/>
              <w:rPr>
                <w:sz w:val="20"/>
                <w:szCs w:val="20"/>
                <w:color w:val="auto"/>
              </w:rPr>
            </w:pPr>
            <w:r>
              <w:rPr>
                <w:rFonts w:ascii="Arial" w:cs="Arial" w:eastAsia="Arial" w:hAnsi="Arial"/>
                <w:sz w:val="14"/>
                <w:szCs w:val="14"/>
                <w:color w:val="auto"/>
              </w:rPr>
              <w:t>Product Depreciation and</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period of time.</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Income as incurred</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0F7F40"/>
              </w:rPr>
              <w:t>EXCLUSIVE DESIGNS</w:t>
            </w: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shd w:val="clear" w:color="auto" w:fill="AADEAD"/>
          </w:tcPr>
          <w:p>
            <w:pPr>
              <w:spacing w:after="0" w:line="159" w:lineRule="exact"/>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4"/>
                <w:szCs w:val="14"/>
                <w:color w:val="auto"/>
              </w:rPr>
              <w:t>Manufacturing cost is</w:t>
            </w:r>
          </w:p>
        </w:tc>
        <w:tc>
          <w:tcPr>
            <w:tcW w:w="1900" w:type="dxa"/>
            <w:vAlign w:val="bottom"/>
            <w:tcBorders>
              <w:right w:val="single" w:sz="8" w:color="auto"/>
            </w:tcBorders>
            <w:vMerge w:val="continue"/>
            <w:shd w:val="clear" w:color="auto" w:fill="AADEAD"/>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78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shd w:val="clear" w:color="auto" w:fill="AADEAD"/>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shd w:val="clear" w:color="auto" w:fill="AADEAD"/>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shd w:val="clear" w:color="auto" w:fill="AADEAD"/>
          </w:tcPr>
          <w:p>
            <w:pPr>
              <w:spacing w:after="0"/>
              <w:rPr>
                <w:sz w:val="6"/>
                <w:szCs w:val="6"/>
                <w:color w:val="auto"/>
              </w:rPr>
            </w:pPr>
          </w:p>
        </w:tc>
        <w:tc>
          <w:tcPr>
            <w:tcW w:w="1900" w:type="dxa"/>
            <w:vAlign w:val="bottom"/>
            <w:tcBorders>
              <w:right w:val="single" w:sz="8" w:color="auto"/>
            </w:tcBorders>
            <w:vMerge w:val="restart"/>
          </w:tcPr>
          <w:p>
            <w:pPr>
              <w:spacing w:after="0" w:line="145" w:lineRule="exact"/>
              <w:rPr>
                <w:sz w:val="20"/>
                <w:szCs w:val="20"/>
                <w:color w:val="auto"/>
              </w:rPr>
            </w:pPr>
            <w:r>
              <w:rPr>
                <w:rFonts w:ascii="Arial" w:cs="Arial" w:eastAsia="Arial" w:hAnsi="Arial"/>
                <w:sz w:val="14"/>
                <w:szCs w:val="14"/>
                <w:color w:val="auto"/>
              </w:rPr>
              <w:t>capitalized as "Rental</w:t>
            </w:r>
          </w:p>
        </w:tc>
        <w:tc>
          <w:tcPr>
            <w:tcW w:w="1900" w:type="dxa"/>
            <w:vAlign w:val="bottom"/>
            <w:tcBorders>
              <w:right w:val="single" w:sz="8" w:color="auto"/>
            </w:tcBorders>
            <w:shd w:val="clear" w:color="auto" w:fill="AADEAD"/>
          </w:tcPr>
          <w:p>
            <w:pPr>
              <w:spacing w:after="0"/>
              <w:rPr>
                <w:sz w:val="6"/>
                <w:szCs w:val="6"/>
                <w:color w:val="auto"/>
              </w:rPr>
            </w:pPr>
          </w:p>
        </w:tc>
        <w:tc>
          <w:tcPr>
            <w:tcW w:w="1880" w:type="dxa"/>
            <w:vAlign w:val="bottom"/>
            <w:vMerge w:val="restart"/>
          </w:tcPr>
          <w:p>
            <w:pPr>
              <w:jc w:val="right"/>
              <w:ind w:right="729"/>
              <w:spacing w:after="0" w:line="145" w:lineRule="exact"/>
              <w:rPr>
                <w:sz w:val="20"/>
                <w:szCs w:val="20"/>
                <w:color w:val="auto"/>
              </w:rPr>
            </w:pPr>
            <w:r>
              <w:rPr>
                <w:rFonts w:ascii="Arial" w:cs="Arial" w:eastAsia="Arial" w:hAnsi="Arial"/>
                <w:sz w:val="14"/>
                <w:szCs w:val="14"/>
                <w:color w:val="auto"/>
                <w:w w:val="98"/>
              </w:rPr>
              <w:t>12% / 22% / 28%</w:t>
            </w:r>
          </w:p>
        </w:tc>
        <w:tc>
          <w:tcPr>
            <w:tcW w:w="0" w:type="dxa"/>
            <w:vAlign w:val="bottom"/>
          </w:tcPr>
          <w:p>
            <w:pPr>
              <w:spacing w:after="0"/>
              <w:rPr>
                <w:sz w:val="1"/>
                <w:szCs w:val="1"/>
                <w:color w:val="auto"/>
              </w:rPr>
            </w:pPr>
          </w:p>
        </w:tc>
      </w:tr>
      <w:tr>
        <w:trPr>
          <w:trHeight w:val="70"/>
        </w:trPr>
        <w:tc>
          <w:tcPr>
            <w:tcW w:w="1780" w:type="dxa"/>
            <w:vAlign w:val="bottom"/>
            <w:tcBorders>
              <w:right w:val="single" w:sz="8" w:color="auto"/>
            </w:tcBorders>
            <w:vMerge w:val="restart"/>
          </w:tcPr>
          <w:p>
            <w:pPr>
              <w:ind w:left="20"/>
              <w:spacing w:after="0" w:line="184" w:lineRule="exact"/>
              <w:rPr>
                <w:sz w:val="20"/>
                <w:szCs w:val="20"/>
                <w:color w:val="auto"/>
              </w:rPr>
            </w:pPr>
            <w:r>
              <w:rPr>
                <w:rFonts w:ascii="MS PGothic" w:cs="MS PGothic" w:eastAsia="MS PGothic" w:hAnsi="MS PGothic"/>
                <w:sz w:val="16"/>
                <w:szCs w:val="16"/>
                <w:color w:val="000000"/>
              </w:rPr>
              <w:t>⁽</w:t>
            </w:r>
            <w:r>
              <w:rPr>
                <w:rFonts w:ascii="Arial" w:cs="Arial" w:eastAsia="Arial" w:hAnsi="Arial"/>
                <w:sz w:val="16"/>
                <w:szCs w:val="16"/>
                <w:b w:val="1"/>
                <w:bCs w:val="1"/>
                <w:color w:val="0F7F40"/>
              </w:rPr>
              <w:t>²</w:t>
            </w:r>
            <w:r>
              <w:rPr>
                <w:rFonts w:ascii="MS PGothic" w:cs="MS PGothic" w:eastAsia="MS PGothic" w:hAnsi="MS PGothic"/>
                <w:sz w:val="16"/>
                <w:szCs w:val="16"/>
                <w:color w:val="000000"/>
              </w:rPr>
              <w:t>⁾⁽</w:t>
            </w:r>
            <w:r>
              <w:rPr>
                <w:rFonts w:ascii="Arial" w:cs="Arial" w:eastAsia="Arial" w:hAnsi="Arial"/>
                <w:sz w:val="16"/>
                <w:szCs w:val="16"/>
                <w:b w:val="1"/>
                <w:bCs w:val="1"/>
                <w:color w:val="0F7F40"/>
              </w:rPr>
              <w:t>³</w:t>
            </w:r>
            <w:r>
              <w:rPr>
                <w:rFonts w:ascii="MS PGothic" w:cs="MS PGothic" w:eastAsia="MS PGothic" w:hAnsi="MS PGothic"/>
                <w:sz w:val="16"/>
                <w:szCs w:val="16"/>
                <w:color w:val="000000"/>
              </w:rPr>
              <w:t>⁾</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We (or our brands)</w:t>
            </w:r>
          </w:p>
        </w:tc>
        <w:tc>
          <w:tcPr>
            <w:tcW w:w="1900" w:type="dxa"/>
            <w:vAlign w:val="bottom"/>
            <w:tcBorders>
              <w:right w:val="single" w:sz="8" w:color="auto"/>
            </w:tcBorders>
            <w:shd w:val="clear" w:color="auto" w:fill="AADEAD"/>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Manufacturing cost is</w:t>
            </w: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8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shd w:val="clear" w:color="auto" w:fill="AADEAD"/>
          </w:tcPr>
          <w:p>
            <w:pPr>
              <w:spacing w:after="0"/>
              <w:rPr>
                <w:sz w:val="20"/>
                <w:szCs w:val="20"/>
                <w:color w:val="auto"/>
              </w:rPr>
            </w:pPr>
            <w:r>
              <w:rPr>
                <w:rFonts w:ascii="Arial" w:cs="Arial" w:eastAsia="Arial" w:hAnsi="Arial"/>
                <w:sz w:val="14"/>
                <w:szCs w:val="14"/>
                <w:color w:val="auto"/>
              </w:rPr>
              <w:t>Manufacturing cost is</w:t>
            </w:r>
          </w:p>
        </w:tc>
        <w:tc>
          <w:tcPr>
            <w:tcW w:w="1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Products" in long-term assets</w:t>
            </w:r>
          </w:p>
        </w:tc>
        <w:tc>
          <w:tcPr>
            <w:tcW w:w="1900" w:type="dxa"/>
            <w:vAlign w:val="bottom"/>
            <w:tcBorders>
              <w:right w:val="single" w:sz="8" w:color="auto"/>
            </w:tcBorders>
            <w:vMerge w:val="continue"/>
            <w:shd w:val="clear" w:color="auto" w:fill="AADEAD"/>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line="74" w:lineRule="exact"/>
              <w:rPr>
                <w:sz w:val="20"/>
                <w:szCs w:val="20"/>
                <w:color w:val="auto"/>
              </w:rPr>
            </w:pPr>
            <w:r>
              <w:rPr>
                <w:rFonts w:ascii="Arial" w:cs="Arial" w:eastAsia="Arial" w:hAnsi="Arial"/>
                <w:sz w:val="8"/>
                <w:szCs w:val="8"/>
                <w:color w:val="auto"/>
              </w:rPr>
              <w:t>manufacture through third-</w:t>
            </w: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recognized through straight-</w:t>
            </w: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shd w:val="clear" w:color="auto" w:fill="AADEAD"/>
          </w:tcPr>
          <w:p>
            <w:pPr>
              <w:spacing w:after="0" w:line="74" w:lineRule="exact"/>
              <w:rPr>
                <w:sz w:val="20"/>
                <w:szCs w:val="20"/>
                <w:color w:val="auto"/>
              </w:rPr>
            </w:pPr>
            <w:r>
              <w:rPr>
                <w:rFonts w:ascii="Arial" w:cs="Arial" w:eastAsia="Arial" w:hAnsi="Arial"/>
                <w:sz w:val="8"/>
                <w:szCs w:val="8"/>
                <w:color w:val="auto"/>
              </w:rPr>
              <w:t>recognized as a capital</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party partners. We pay the</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expenditure ("Purchases of</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7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shd w:val="clear" w:color="auto" w:fill="AADEAD"/>
          </w:tcPr>
          <w:p>
            <w:pPr>
              <w:spacing w:after="0" w:line="138" w:lineRule="exact"/>
              <w:rPr>
                <w:sz w:val="20"/>
                <w:szCs w:val="20"/>
                <w:color w:val="auto"/>
              </w:rPr>
            </w:pPr>
            <w:r>
              <w:rPr>
                <w:rFonts w:ascii="Arial" w:cs="Arial" w:eastAsia="Arial" w:hAnsi="Arial"/>
                <w:sz w:val="14"/>
                <w:szCs w:val="14"/>
                <w:color w:val="auto"/>
              </w:rPr>
              <w:t>line depreciation, with a</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shd w:val="clear" w:color="auto" w:fill="AADEAD"/>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brand partner an upfront fee</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AADEAD"/>
          </w:tcPr>
          <w:p>
            <w:pPr>
              <w:spacing w:after="0"/>
              <w:rPr>
                <w:sz w:val="20"/>
                <w:szCs w:val="20"/>
                <w:color w:val="auto"/>
              </w:rPr>
            </w:pPr>
            <w:r>
              <w:rPr>
                <w:rFonts w:ascii="Arial" w:cs="Arial" w:eastAsia="Arial" w:hAnsi="Arial"/>
                <w:sz w:val="14"/>
                <w:szCs w:val="14"/>
                <w:color w:val="auto"/>
              </w:rPr>
              <w:t>Rental Product") at time of</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three-year useful life and</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shd w:val="clear" w:color="auto" w:fill="AADEAD"/>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line="74" w:lineRule="exact"/>
              <w:rPr>
                <w:sz w:val="20"/>
                <w:szCs w:val="20"/>
                <w:color w:val="auto"/>
              </w:rPr>
            </w:pPr>
            <w:r>
              <w:rPr>
                <w:rFonts w:ascii="Arial" w:cs="Arial" w:eastAsia="Arial" w:hAnsi="Arial"/>
                <w:sz w:val="8"/>
                <w:szCs w:val="8"/>
                <w:color w:val="auto"/>
              </w:rPr>
              <w:t>and, in most cases, minimal</w:t>
            </w:r>
          </w:p>
        </w:tc>
        <w:tc>
          <w:tcPr>
            <w:tcW w:w="1900" w:type="dxa"/>
            <w:vAlign w:val="bottom"/>
            <w:tcBorders>
              <w:right w:val="single" w:sz="8" w:color="auto"/>
            </w:tcBorders>
            <w:vMerge w:val="restart"/>
            <w:shd w:val="clear" w:color="auto" w:fill="AADEAD"/>
          </w:tcPr>
          <w:p>
            <w:pPr>
              <w:spacing w:after="0" w:line="149" w:lineRule="exact"/>
              <w:rPr>
                <w:sz w:val="20"/>
                <w:szCs w:val="20"/>
                <w:color w:val="auto"/>
              </w:rPr>
            </w:pPr>
            <w:r>
              <w:rPr>
                <w:rFonts w:ascii="Arial" w:cs="Arial" w:eastAsia="Arial" w:hAnsi="Arial"/>
                <w:sz w:val="14"/>
                <w:szCs w:val="14"/>
                <w:color w:val="auto"/>
              </w:rPr>
              <w:t>20% salvage value, in the</w:t>
            </w: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shd w:val="clear" w:color="auto" w:fill="AADEAD"/>
          </w:tcPr>
          <w:p>
            <w:pPr>
              <w:spacing w:after="0" w:line="74" w:lineRule="exact"/>
              <w:rPr>
                <w:sz w:val="20"/>
                <w:szCs w:val="20"/>
                <w:color w:val="auto"/>
              </w:rPr>
            </w:pPr>
            <w:r>
              <w:rPr>
                <w:rFonts w:ascii="Arial" w:cs="Arial" w:eastAsia="Arial" w:hAnsi="Arial"/>
                <w:sz w:val="8"/>
                <w:szCs w:val="8"/>
                <w:color w:val="auto"/>
              </w:rPr>
              <w:t>acquisition</w:t>
            </w: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revenue share payments</w:t>
            </w:r>
          </w:p>
        </w:tc>
        <w:tc>
          <w:tcPr>
            <w:tcW w:w="1900" w:type="dxa"/>
            <w:vAlign w:val="bottom"/>
            <w:tcBorders>
              <w:right w:val="single" w:sz="8" w:color="auto"/>
            </w:tcBorders>
            <w:vMerge w:val="continue"/>
            <w:shd w:val="clear" w:color="auto" w:fill="AADEAD"/>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shd w:val="clear" w:color="auto" w:fill="AADEAD"/>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7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AADEAD"/>
          </w:tcPr>
          <w:p>
            <w:pPr>
              <w:spacing w:after="0" w:line="138" w:lineRule="exact"/>
              <w:rPr>
                <w:sz w:val="20"/>
                <w:szCs w:val="20"/>
                <w:color w:val="auto"/>
              </w:rPr>
            </w:pPr>
            <w:r>
              <w:rPr>
                <w:rFonts w:ascii="Arial" w:cs="Arial" w:eastAsia="Arial" w:hAnsi="Arial"/>
                <w:sz w:val="14"/>
                <w:szCs w:val="14"/>
                <w:color w:val="auto"/>
              </w:rPr>
              <w:t>"Rental Product Depreciation</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AADEAD"/>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7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shd w:val="clear" w:color="auto" w:fill="AADEAD"/>
          </w:tcPr>
          <w:p>
            <w:pPr>
              <w:spacing w:after="0" w:line="161" w:lineRule="exact"/>
              <w:rPr>
                <w:sz w:val="20"/>
                <w:szCs w:val="20"/>
                <w:color w:val="auto"/>
              </w:rPr>
            </w:pPr>
            <w:r>
              <w:rPr>
                <w:rFonts w:ascii="Arial" w:cs="Arial" w:eastAsia="Arial" w:hAnsi="Arial"/>
                <w:sz w:val="14"/>
                <w:szCs w:val="14"/>
                <w:color w:val="auto"/>
              </w:rPr>
              <w:t xml:space="preserve">and Revenue 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shd w:val="clear" w:color="auto" w:fill="AADEAD"/>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4"/>
          <w:szCs w:val="14"/>
          <w:color w:val="auto"/>
        </w:rPr>
        <w:t>For additional details, refer to the section titled "Business - Our Unique Brand Partner Approach."</w:t>
      </w:r>
    </w:p>
    <w:p>
      <w:pPr>
        <w:spacing w:after="0" w:line="21" w:lineRule="exact"/>
        <w:rPr>
          <w:sz w:val="20"/>
          <w:szCs w:val="20"/>
          <w:color w:val="auto"/>
        </w:rPr>
      </w:pPr>
    </w:p>
    <w:p>
      <w:pPr>
        <w:ind w:left="40" w:right="40"/>
        <w:spacing w:after="0" w:line="16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r>
        <w:rPr>
          <w:rFonts w:ascii="Arial" w:cs="Arial" w:eastAsia="Arial" w:hAnsi="Arial"/>
          <w:sz w:val="14"/>
          <w:szCs w:val="14"/>
          <w:color w:val="auto"/>
        </w:rPr>
        <w:t xml:space="preserve"> The cost of accessory items, which made up less than 10% of the gross book value of rental product as of January 31, 2026, is recognized through straight-line depreciation with two-year useful life and 30% salvage value.</w:t>
      </w:r>
    </w:p>
    <w:p>
      <w:pPr>
        <w:ind w:left="40" w:right="100"/>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²</w:t>
      </w:r>
      <w:r>
        <w:rPr>
          <w:rFonts w:ascii="MS PGothic" w:cs="MS PGothic" w:eastAsia="MS PGothic" w:hAnsi="MS PGothic"/>
          <w:sz w:val="14"/>
          <w:szCs w:val="14"/>
          <w:color w:val="auto"/>
        </w:rPr>
        <w:t>⁾</w:t>
      </w:r>
      <w:r>
        <w:rPr>
          <w:rFonts w:ascii="Arial" w:cs="Arial" w:eastAsia="Arial" w:hAnsi="Arial"/>
          <w:sz w:val="14"/>
          <w:szCs w:val="14"/>
          <w:color w:val="auto"/>
        </w:rPr>
        <w:t xml:space="preserve"> For Share by RTR and applicable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w:t>
      </w:r>
    </w:p>
    <w:p>
      <w:pPr>
        <w:spacing w:after="0" w:line="1" w:lineRule="exact"/>
        <w:rPr>
          <w:sz w:val="20"/>
          <w:szCs w:val="20"/>
          <w:color w:val="auto"/>
        </w:rPr>
      </w:pPr>
    </w:p>
    <w:p>
      <w:pPr>
        <w:ind w:left="40" w:right="60"/>
        <w:spacing w:after="0" w:line="222" w:lineRule="auto"/>
        <w:rPr>
          <w:sz w:val="20"/>
          <w:szCs w:val="20"/>
          <w:color w:val="auto"/>
        </w:rPr>
      </w:pPr>
      <w:r>
        <w:rPr>
          <w:rFonts w:ascii="Arial" w:cs="Arial" w:eastAsia="Arial" w:hAnsi="Arial"/>
          <w:sz w:val="14"/>
          <w:szCs w:val="14"/>
          <w:color w:val="auto"/>
        </w:rPr>
        <w:t>subscription 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w:t>
      </w:r>
    </w:p>
    <w:p>
      <w:pPr>
        <w:spacing w:after="0" w:line="1" w:lineRule="exact"/>
        <w:rPr>
          <w:sz w:val="20"/>
          <w:szCs w:val="20"/>
          <w:color w:val="auto"/>
        </w:rPr>
      </w:pPr>
    </w:p>
    <w:p>
      <w:pPr>
        <w:ind w:left="40" w:right="140"/>
        <w:spacing w:after="0" w:line="16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³</w:t>
      </w:r>
      <w:r>
        <w:rPr>
          <w:rFonts w:ascii="MS PGothic" w:cs="MS PGothic" w:eastAsia="MS PGothic" w:hAnsi="MS PGothic"/>
          <w:sz w:val="14"/>
          <w:szCs w:val="14"/>
          <w:color w:val="auto"/>
        </w:rPr>
        <w:t>⁾</w:t>
      </w:r>
      <w:r>
        <w:rPr>
          <w:rFonts w:ascii="Arial" w:cs="Arial" w:eastAsia="Arial" w:hAnsi="Arial"/>
          <w:sz w:val="14"/>
          <w:szCs w:val="14"/>
          <w:color w:val="auto"/>
        </w:rPr>
        <w:t xml:space="preserve"> Also includes a small number of products bearing our trademarks, which are non-Exclusive Designs produced by third-party partners, or our owned brands. These products are purchased at a significantly lower average cost than Wholesale.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Part I, Item 1, “Business”.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and Our Attractive Cohort Trends. </w:t>
      </w:r>
      <w:r>
        <w:rPr>
          <w:rFonts w:ascii="Arial" w:cs="Arial" w:eastAsia="Arial" w:hAnsi="Arial"/>
          <w:sz w:val="14"/>
          <w:szCs w:val="14"/>
          <w:color w:val="auto"/>
        </w:rPr>
        <w:t>We believe that we have a significant market opportunity to increase our base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subscribers and customers, and that our long-term growth depends in large part on our continued ability to acquire and retain subscribers and customers.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We are focused on our community-driven organic growth marketing strategy that is intended to drive improved brand awareness and acquisition. Our acquisitions are also reliant on new customer promotions. Our promotional strategy is subject to change depending on business and market conditions.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believe customer retention plays an important role in driving business growth. Customer retention is influenced by a number of factors, including rental product in-stock levels and satisfaction, product experience, and customer service levels. In fiscal year 2025, we approximately doubled the quantity of our rental product acquisitions year-over-year and enhanced the desirability of rental product acquisitions, which we believe increased customer satisfaction and improved retention versus fiscal year 2024. We also focused on new product features as well as a more personalized customer experience. In fiscal year 2026, we expect to continue to make efforts to increase customer retention through improved customer experience with our rental product as well as new product features.</w:t>
      </w:r>
    </w:p>
    <w:p>
      <w:pPr>
        <w:spacing w:after="0" w:line="97"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partly assess the health of our business by analyzing the performance of our historical customer cohorts over time. We place customers in cohorts based on the fiscal year in which they first transacted with RTR. A significant portion of our total revenue in each fiscal year is generated from customers acquired in previous years. For example, approximately one-third of our revenue in fiscal year 2025 was generated by customers who placed their first order with us in fiscal year 2018 or prior.</w:t>
      </w:r>
    </w:p>
    <w:p>
      <w:pPr>
        <w:spacing w:after="0" w:line="91"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We also assess the productivity of our historical customer cohorts by measuring the revenue and profit we generate from all new customers over their lifetime (“LTV”) against customer acquisition costs (“CAC”). We define LTV as cumulative total revenue generated across all of our product offerings (which includes Subscription and Reserve Rental Revenue and Other Revenue) by current or previous subscribers or customers, minus fulfillment expenses, rental product depreciation and revenue share expenses, credit card fees and customer service personnel and related expenses incurred to generate such revenue divided by the number of new customers acquired during that period. Any LTV generated by a customer is assigned to the original cohort year that the customer first joined. We define CAC as total marketing expense, excluding marketing personnel and related costs incurred in a fiscal year divided by the number of new customers acquired in that period. We acquire customers efficiently as evidenced by over a majority of our lifetime customers having joined organically.</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As seen in the table below, our LTV to CAC ratio has remained relatively consistent for our fiscal year 2018 through fiscal year 2025 customer cohorts, with the exception of our fiscal year 2020 cohort which was impacted by the COVID-19 pandemic. The fiscal year 2021 cohort, which benefited from strong loyalty post-recovery from the pandemic, exhibited an LTV to CAC ratio of 0.7x in its first six months and 1.3x in its first twelve months, implying that we recovered our customer acquisition cost between six months and twelve months for this cohort. Our fiscal year 2025 cohort thus far is exhibiting an LTV to CAC ratio of 0.3x in its first six months, down slightly from recent years due to the impact of the company’s decision to significantly increase the quantity and quality of rental product available to customers. We anticipate that the improvement in customer retention due to the greater satisfaction with our rental product, the impact of the company’s August 2025 Subscription price increase, and anticipated product experience improvements will benefit the lifetime value of our customer cohorts. The performance of our historical cohorts has been consistent as our more loyal customers continue to spend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4446270" cy="1421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46270" cy="142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2025, approximately 69% of new items were acquired through our more capital efficient non-Wholesale channels, compared to 70% in fiscal year 2024 and 61% in fiscal year 2023. We plan to further increase the percentage of units acquired through Exclusive Designs and Share by RTR on a combined basis in fiscal year 2026. We continuously evaluate our product acquisition mix to maximize our strategic priorities.</w:t>
      </w:r>
    </w:p>
    <w:p>
      <w:pPr>
        <w:spacing w:after="0" w:line="290"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2025 increased to 23% from 16% in fiscal year 2024, despite higher Share by RTR units as a percentage of total receipts, as a result of our strategy to approximately double the quantity of rental product purchases versus fiscal year 2024. Purchases of rental product as a percentage of revenue was 16% and 26% in fiscal year 2024 and 2023, respectively. We anticipate this percentage to decrease in fiscal year 2026 compared with fiscal year 2025 due to an increase in the proportion of units acquired through our Share by RTR channel. Due to seasonality factors, we track our progress on purchases of rental product as a percentage of revenue on a full year basis, as quarterly expenditures are not necessarily reflective of full year trends. As of January 31, 2026, the quarterly and annual spend levels for rental product capital expenditures for fiscal year 2025 under our 2025 Amended Facility were eliminated under the Fourteenth Amendment to the debt facility.</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January 2024, we announced a restructuring plan that generated total annual operating expense savings of approximately $12 million, which primarily included the reduction in force, with some open role closures/reduced backfills, and excludes potential hiring of new employees or other additions to the Company’s costs and expenses. Though we anticipate quarterly fluctuations in operating leverage over time we anticipate that our operating costs will grow more slowly than our total revenue on an annual basis.</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See also “Note 3 — Liquidity” and “Note 4 — Recapitalization Transactions” in the Notes to the Consolidated Financial Statements for more details regarding our 2025 Amended Facility and Recapitalization Transactions, which we expect to improve our overall liquidity.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December and January. From time to time, our seasonality patterns have been impacted due to the effects of COVID-19, the macro environment, and business decisions and may in the future continue to evolve and not reflect historical trends. Examples of business decisions that have impacted seasonality in prior periods include, but are not limited to, changes in prices for our Subscription programs, changes in timing and amounts of promotional spending, changes in timing and amounts of paid marketing spending, and changes in timing and quantity of rental product availability. It is difficult to predict all of relevant reasons and ways that seasonality trends could change in the future.</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Related To Our Business and Industry — Our business is affected by seasonality.”</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Macro and Consumer Environment on Our Business</w:t>
      </w:r>
    </w:p>
    <w:p>
      <w:pPr>
        <w:spacing w:after="0" w:line="189"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we increased wage rates during the first quarter of fiscal years 2025 and 2026 to attract and retain talent at our fulfillment centers. We expect to continue to be impacted by rising labor costs in the future. In addition, we implemented a price increase for our subscription plans in August 2025 and expect to implement pricing increases and/or new or additional fees in the future if costs continue to rise. We aim to continue to mitigate longer-term rising costs through a variety of methods, including by seeking to optimize shipping methods and improve contractual and pricing terms. However, the global trade environment is unpredictable and evolving and macroeconomic or geopolitical developments have in the past and, may in the future, negatively impact our ability to meet our current expectations and objectives, including due to unfavorable policies and tariffs, and rising shipping costs. In addition, steps we take may not fully mitigate rising costs. For example, the conflict in the Middle East has led to fuel surcharges that have increased our shipping costs, which are likely to continue to increase if the conflict continues. As a result, it is also difficult to predict what transportation costs as a percentage of Revenue will be in fiscal year 2026. Although we continue to face a challenging and unpredictable environment, we plan to invest in our customers, manage our staffing, and further leverage our transportation partners to help to drive growth and efficiencies in our business.</w:t>
      </w:r>
    </w:p>
    <w:p>
      <w:pPr>
        <w:spacing w:after="0" w:line="337"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 For additional details, see Part I, Item 1A, “Risk Factors” of this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36"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Years Ended January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61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2024</w:t>
            </w:r>
          </w:p>
        </w:tc>
      </w:tr>
      <w:tr>
        <w:trPr>
          <w:trHeight w:val="150"/>
        </w:trPr>
        <w:tc>
          <w:tcPr>
            <w:tcW w:w="6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143,796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125,954</w:t>
            </w: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143,558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132,574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135,211</w:t>
            </w: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22.6</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(69.9)</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(113.2)</w:t>
            </w: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40" w:hanging="255"/>
        <w:spacing w:after="0" w:line="268" w:lineRule="auto"/>
        <w:tabs>
          <w:tab w:leader="none" w:pos="249" w:val="left"/>
        </w:tabs>
        <w:numPr>
          <w:ilvl w:val="0"/>
          <w:numId w:val="48"/>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income (loss), and why we consider Adjusted EBITDA to be a useful metric, see “—Non-GAAP Financial Metrics” below.</w:t>
      </w:r>
    </w:p>
    <w:p>
      <w:pPr>
        <w:spacing w:after="0" w:line="317"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January 31, 2026, we had 143,796 Active Subscribers, an increase from 119,778 as of January 31, 2025. The increase in Active Subscribers was driven primarily by higher subscriber acquisitions versus fiscal year 2024, driven in part by higher promotional activity, and by improved subscriber retention versus fiscal year 2024. We expect Active Subscribers to grow year-over-year in fiscal year 2026.</w:t>
      </w:r>
    </w:p>
    <w:p>
      <w:pPr>
        <w:spacing w:after="0" w:line="17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January 31, 2026, we had 143,558 Average Active Subscribers, an increase from 132,574 as of January 31, 2025. The year-over-year increase in Average Active Subscribers was primarily due to higher subscriber acquisitions versus fiscal year 2024, driven in part by higher promotional activity, and by improved subscriber retention versus fiscal year 2024.</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Gross Profit was $107.5 million for the year ended January 31, 2026 compared to $115.9 million for the year ended January 31, 2025 representing Gross Margins of 32.6% and 37.9%, respectively. Gross Profit for the year ended January 31, 2026 decreased primarily due to higher Revenue share costs and higher Fulfillment expenses partially offset by higher Revenue and lower Rental Product depreciation and write-off costs. Gross Margin for the year ended January 31, 2026 decreased primarily due to the impact of higher Revenue share costs as a percentage of Revenue, partially offset by lower Rental product depreciation and write-off costs as a percentage of Revenue and lower Fulfillment costs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income (loss), adjusted to exclude interest expense, rental product depreciation, other</w:t>
      </w:r>
      <w:r>
        <w:rPr>
          <w:rFonts w:ascii="Arial" w:cs="Arial" w:eastAsia="Arial" w:hAnsi="Arial"/>
          <w:sz w:val="14"/>
          <w:szCs w:val="14"/>
          <w:b w:val="1"/>
          <w:bCs w:val="1"/>
          <w:color w:val="auto"/>
        </w:rPr>
        <w:t xml:space="preserve"> </w:t>
      </w:r>
      <w:r>
        <w:rPr>
          <w:rFonts w:ascii="Arial" w:cs="Arial" w:eastAsia="Arial" w:hAnsi="Arial"/>
          <w:sz w:val="14"/>
          <w:szCs w:val="14"/>
          <w:color w:val="auto"/>
        </w:rPr>
        <w:t>depreciation and amortization, share-based compensation expense, write-off of liquidated assets, non-recurring adjustments, non-ordinary course legal expenses, restructuring charges, loss on asset impairment related to restructuring, Gain on Debt Restructuring, income tax (benefit) expense, other income and expense, and other gains / losses. Adjusted EBITDA margin is defined as Adjusted EBITDA calculated as a percentage of total revenue, net for a period.</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Net Income (Loss) was $22.6 million for the year ended January 31, 2026 compared to $(69.9) million for the year ended January 31, 2025, representing margins of 6.9% and (22.8)%, respectively. Net Loss, excluding the Gain on Debt Restructuring as a result of the recapitalization transactions, increased year-over-year primarily due to lower Gross Profit, higher Technology costs, higher Interest Expense and higher G&amp;A expenses, partially offset by lower Other Depreciation and Amortization expenses and lower Marketing costs. Adjusted EBITDA was $24.9 million for the year ended January 31, 2026 compared to $46.9 million for the year ended January 31, 2025, representing margins of 7.6% and 15.3%, respectively. Adjusted EBITDA decreased year-over-year primarily due to lower Gross Profit, higher Technology costs, and higher General &amp; Administrative costs. Adjusted EBITDA Margin decreased year-over-year primarily due to lower Gross Margins, higher Technology costs as a percentage of Revenue partially offset by lower Marketing costs as a percentage of Revenue and lower General &amp; Administrative costs as a percentage of Revenue.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believe we have the opportunity to improve Adjusted EBITDA and offset cost increases as we increase Revenue and drive operating expense leverage.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9"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Our total revenue, net consists of Subscription and Reserve rental revenue and Other revenue. Total revenue is presented net of promotional discounts,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credits and refunds and taxes.</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The majority of our revenue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generated by our Subscription offering, which we are prioritizing.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implemented a price increase for our subscription plans in August 2025, which increased revenue per subscriber in the third quarter of fiscal year 2025 and which we expect will continue to do so over the coming quarters. We recognize Reserve fees over the rental period, which starts on the date of delivery of the product to the</w:t>
      </w:r>
    </w:p>
    <w:p>
      <w:pPr>
        <w:spacing w:after="0" w:line="1" w:lineRule="exact"/>
        <w:rPr>
          <w:sz w:val="20"/>
          <w:szCs w:val="20"/>
          <w:color w:val="auto"/>
        </w:rPr>
      </w:pPr>
    </w:p>
    <w:p>
      <w:pPr>
        <w:jc w:val="both"/>
        <w:ind w:right="280"/>
        <w:spacing w:after="0" w:line="261" w:lineRule="auto"/>
        <w:rPr>
          <w:sz w:val="20"/>
          <w:szCs w:val="20"/>
          <w:color w:val="auto"/>
        </w:rPr>
      </w:pPr>
      <w:r>
        <w:rPr>
          <w:rFonts w:ascii="Arial" w:cs="Arial" w:eastAsia="Arial" w:hAnsi="Arial"/>
          <w:sz w:val="14"/>
          <w:szCs w:val="14"/>
          <w:color w:val="auto"/>
        </w:rPr>
        <w:t>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97"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and business development initiatives which may cause quarterly fluctuations in the Other revenue line.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i w:val="1"/>
          <w:iCs w:val="1"/>
          <w:color w:val="auto"/>
        </w:rPr>
        <w:t>Technology.</w:t>
      </w:r>
      <w:r>
        <w:rPr>
          <w:sz w:val="20"/>
          <w:szCs w:val="20"/>
          <w:color w:val="auto"/>
        </w:rPr>
        <w:tab/>
      </w:r>
      <w:r>
        <w:rPr>
          <w:rFonts w:ascii="Arial" w:cs="Arial" w:eastAsia="Arial" w:hAnsi="Arial"/>
          <w:sz w:val="14"/>
          <w:szCs w:val="14"/>
          <w:color w:val="auto"/>
        </w:rPr>
        <w:t>Technology expenses consist of personnel and related costs for employees engaged in software development and engineering, quality assurance, product,</w:t>
      </w:r>
    </w:p>
    <w:p>
      <w:pPr>
        <w:spacing w:after="0" w:line="12"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w:t>
      </w:r>
    </w:p>
    <w:p>
      <w:pPr>
        <w:ind w:right="140"/>
        <w:spacing w:after="0" w:line="253" w:lineRule="auto"/>
        <w:rPr>
          <w:sz w:val="20"/>
          <w:szCs w:val="20"/>
          <w:color w:val="auto"/>
        </w:rPr>
      </w:pPr>
      <w:r>
        <w:rPr>
          <w:rFonts w:ascii="Arial" w:cs="Arial" w:eastAsia="Arial" w:hAnsi="Arial"/>
          <w:sz w:val="14"/>
          <w:szCs w:val="14"/>
          <w:color w:val="auto"/>
        </w:rPr>
        <w:t>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03"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influencer marketing, printed collateral, consumer research, and other related costs. Marketing expenses unrelated to personnel costs may increase if we increase marketing spend to drive the growth of our business and increase our brand awareness.</w:t>
      </w:r>
    </w:p>
    <w:p>
      <w:pPr>
        <w:spacing w:after="0" w:line="91"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 occupancy costs (including warehouse-related), professional services, credit card fees, general corporate and warehouse expenses, other administrative costs, and gains and losses associated with asset disposals and operating lease terminations.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99"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January 2024 restructuring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Gain on Debt Restructuring</w:t>
      </w:r>
      <w:r>
        <w:rPr>
          <w:rFonts w:ascii="Arial" w:cs="Arial" w:eastAsia="Arial" w:hAnsi="Arial"/>
          <w:sz w:val="14"/>
          <w:szCs w:val="14"/>
          <w:color w:val="auto"/>
        </w:rPr>
        <w:t>. Gain on Debt Restructuring consists of the gain recognized on the troubled debt restructuring from the Recapitalization Transactions completed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October 2025.</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issuance cost amortization associated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Amended Facility going forward. The 2023 Amended Temasek Facility eliminated all interest (both payment-in-kind and cash interest) for a period of six full fiscal quarters beginning with the fourth quarter of fiscal year 2023.</w:t>
      </w:r>
    </w:p>
    <w:p>
      <w:pPr>
        <w:spacing w:after="0" w:line="91"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b w:val="1"/>
          <w:bCs w:val="1"/>
          <w:i w:val="1"/>
          <w:iCs w:val="1"/>
          <w:color w:val="auto"/>
        </w:rPr>
        <w:t>Other Income / (Expense).</w:t>
      </w:r>
      <w:r>
        <w:rPr>
          <w:sz w:val="20"/>
          <w:szCs w:val="20"/>
          <w:color w:val="auto"/>
        </w:rPr>
        <w:tab/>
      </w:r>
      <w:r>
        <w:rPr>
          <w:rFonts w:ascii="Arial" w:cs="Arial" w:eastAsia="Arial" w:hAnsi="Arial"/>
          <w:sz w:val="14"/>
          <w:szCs w:val="14"/>
          <w:color w:val="auto"/>
        </w:rPr>
        <w:t>Other income / (expense) consists primarily of proceeds from monetizing tax credits associated with growth and Irish refundable tax credits.</w:t>
      </w:r>
    </w:p>
    <w:p>
      <w:pPr>
        <w:spacing w:after="0" w:line="136"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and foreign taxes. We have established a valuation allowance for our U.S. federal and state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Years Ended January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5"/>
        </w:trPr>
        <w:tc>
          <w:tcPr>
            <w:tcW w:w="6760" w:type="dxa"/>
            <w:vAlign w:val="bottom"/>
          </w:tcPr>
          <w:p>
            <w:pPr>
              <w:spacing w:after="0"/>
              <w:rPr>
                <w:sz w:val="13"/>
                <w:szCs w:val="13"/>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2024</w:t>
            </w:r>
          </w:p>
        </w:tc>
      </w:tr>
      <w:tr>
        <w:trPr>
          <w:trHeight w:val="150"/>
        </w:trPr>
        <w:tc>
          <w:tcPr>
            <w:tcW w:w="67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6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940" w:type="dxa"/>
            <w:vAlign w:val="bottom"/>
          </w:tcPr>
          <w:p>
            <w:pPr>
              <w:jc w:val="right"/>
              <w:ind w:right="79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265.5</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264.9</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r>
      <w:tr>
        <w:trPr>
          <w:trHeight w:val="171"/>
        </w:trPr>
        <w:tc>
          <w:tcPr>
            <w:tcW w:w="676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298.2</w:t>
            </w: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86.0</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80"/>
        </w:trPr>
        <w:tc>
          <w:tcPr>
            <w:tcW w:w="676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9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asset impairment related to restructuring</w:t>
            </w:r>
          </w:p>
        </w:tc>
        <w:tc>
          <w:tcPr>
            <w:tcW w:w="9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67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9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353.7</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378.2</w:t>
            </w:r>
          </w:p>
        </w:tc>
      </w:tr>
      <w:tr>
        <w:trPr>
          <w:trHeight w:val="171"/>
        </w:trPr>
        <w:tc>
          <w:tcPr>
            <w:tcW w:w="6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bl>
    <w:p>
      <w:pPr>
        <w:spacing w:after="0" w:line="7"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rPr>
          <w:sz w:val="20"/>
          <w:szCs w:val="20"/>
          <w:color w:val="auto"/>
        </w:rPr>
      </w:pPr>
      <w:r>
        <w:rPr>
          <w:rFonts w:ascii="Arial" w:cs="Arial" w:eastAsia="Arial" w:hAnsi="Arial"/>
          <w:sz w:val="14"/>
          <w:szCs w:val="14"/>
          <w:color w:val="auto"/>
        </w:rPr>
        <w:t>Gain on Debt Restructuring</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income / (expense),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 (expense), net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940" w:type="dxa"/>
            <w:vAlign w:val="bottom"/>
          </w:tcPr>
          <w:p>
            <w:pPr>
              <w:jc w:val="right"/>
              <w:ind w:right="549"/>
              <w:spacing w:after="0"/>
              <w:rPr>
                <w:sz w:val="20"/>
                <w:szCs w:val="20"/>
                <w:color w:val="auto"/>
              </w:rPr>
            </w:pPr>
            <w:r>
              <w:rPr>
                <w:rFonts w:ascii="Arial" w:cs="Arial" w:eastAsia="Arial" w:hAnsi="Arial"/>
                <w:sz w:val="14"/>
                <w:szCs w:val="14"/>
                <w:color w:val="auto"/>
              </w:rPr>
              <w:t>96.3</w:t>
            </w:r>
          </w:p>
        </w:tc>
        <w:tc>
          <w:tcPr>
            <w:tcW w:w="1540" w:type="dxa"/>
            <w:vAlign w:val="bottom"/>
          </w:tcPr>
          <w:p>
            <w:pPr>
              <w:jc w:val="right"/>
              <w:ind w:right="54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40" w:type="dxa"/>
            <w:vAlign w:val="bottom"/>
          </w:tcPr>
          <w:p>
            <w:pPr>
              <w:jc w:val="right"/>
              <w:ind w:right="509"/>
              <w:spacing w:after="0"/>
              <w:rPr>
                <w:sz w:val="20"/>
                <w:szCs w:val="20"/>
                <w:color w:val="auto"/>
              </w:rPr>
            </w:pPr>
            <w:r>
              <w:rPr>
                <w:rFonts w:ascii="Arial" w:cs="Arial" w:eastAsia="Arial" w:hAnsi="Arial"/>
                <w:sz w:val="14"/>
                <w:szCs w:val="14"/>
                <w:color w:val="auto"/>
                <w:w w:val="92"/>
              </w:rPr>
              <w:t>(20.3)</w:t>
            </w:r>
          </w:p>
        </w:tc>
        <w:tc>
          <w:tcPr>
            <w:tcW w:w="1540" w:type="dxa"/>
            <w:vAlign w:val="bottom"/>
          </w:tcPr>
          <w:p>
            <w:pPr>
              <w:jc w:val="right"/>
              <w:ind w:right="509"/>
              <w:spacing w:after="0"/>
              <w:rPr>
                <w:sz w:val="20"/>
                <w:szCs w:val="20"/>
                <w:color w:val="auto"/>
              </w:rPr>
            </w:pPr>
            <w:r>
              <w:rPr>
                <w:rFonts w:ascii="Arial" w:cs="Arial" w:eastAsia="Arial" w:hAnsi="Arial"/>
                <w:sz w:val="14"/>
                <w:szCs w:val="14"/>
                <w:color w:val="auto"/>
              </w:rPr>
              <w:t>(24.2)</w:t>
            </w:r>
          </w:p>
        </w:tc>
        <w:tc>
          <w:tcPr>
            <w:tcW w:w="96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182"/>
        </w:trPr>
        <w:tc>
          <w:tcPr>
            <w:tcW w:w="940" w:type="dxa"/>
            <w:vAlign w:val="bottom"/>
          </w:tcPr>
          <w:p>
            <w:pPr>
              <w:jc w:val="right"/>
              <w:ind w:right="549"/>
              <w:spacing w:after="0"/>
              <w:rPr>
                <w:sz w:val="20"/>
                <w:szCs w:val="20"/>
                <w:color w:val="auto"/>
              </w:rPr>
            </w:pPr>
            <w:r>
              <w:rPr>
                <w:rFonts w:ascii="Arial" w:cs="Arial" w:eastAsia="Arial" w:hAnsi="Arial"/>
                <w:sz w:val="14"/>
                <w:szCs w:val="14"/>
                <w:color w:val="auto"/>
              </w:rPr>
              <w:t>4.2</w:t>
            </w:r>
          </w:p>
        </w:tc>
        <w:tc>
          <w:tcPr>
            <w:tcW w:w="1540" w:type="dxa"/>
            <w:vAlign w:val="bottom"/>
          </w:tcPr>
          <w:p>
            <w:pPr>
              <w:jc w:val="right"/>
              <w:ind w:right="549"/>
              <w:spacing w:after="0"/>
              <w:rPr>
                <w:sz w:val="20"/>
                <w:szCs w:val="20"/>
                <w:color w:val="auto"/>
              </w:rPr>
            </w:pPr>
            <w:r>
              <w:rPr>
                <w:rFonts w:ascii="Arial" w:cs="Arial" w:eastAsia="Arial" w:hAnsi="Arial"/>
                <w:sz w:val="14"/>
                <w:szCs w:val="14"/>
                <w:color w:val="auto"/>
              </w:rPr>
              <w:t>2.1</w:t>
            </w:r>
          </w:p>
        </w:tc>
        <w:tc>
          <w:tcPr>
            <w:tcW w:w="960" w:type="dxa"/>
            <w:vAlign w:val="bottom"/>
          </w:tcPr>
          <w:p>
            <w:pPr>
              <w:jc w:val="right"/>
              <w:spacing w:after="0"/>
              <w:rPr>
                <w:sz w:val="20"/>
                <w:szCs w:val="20"/>
                <w:color w:val="auto"/>
              </w:rPr>
            </w:pPr>
            <w:r>
              <w:rPr>
                <w:rFonts w:ascii="Arial" w:cs="Arial" w:eastAsia="Arial" w:hAnsi="Arial"/>
                <w:sz w:val="14"/>
                <w:szCs w:val="14"/>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-227330</wp:posOffset>
            </wp:positionV>
            <wp:extent cx="7161530"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00" w:space="720"/>
            <w:col w:w="34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492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income (loss) before income tax benefit / (expense)</w:t>
            </w:r>
          </w:p>
        </w:tc>
        <w:tc>
          <w:tcPr>
            <w:tcW w:w="18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 (expense)</w:t>
            </w:r>
          </w:p>
        </w:tc>
        <w:tc>
          <w:tcPr>
            <w:tcW w:w="18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income (loss)</w:t>
            </w:r>
          </w:p>
        </w:tc>
        <w:tc>
          <w:tcPr>
            <w:tcW w:w="1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969"/>
              <w:spacing w:after="0"/>
              <w:rPr>
                <w:sz w:val="20"/>
                <w:szCs w:val="20"/>
                <w:color w:val="auto"/>
              </w:rPr>
            </w:pPr>
            <w:r>
              <w:rPr>
                <w:rFonts w:ascii="Arial" w:cs="Arial" w:eastAsia="Arial" w:hAnsi="Arial"/>
                <w:sz w:val="14"/>
                <w:szCs w:val="14"/>
                <w:color w:val="auto"/>
              </w:rPr>
              <w:t>83</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49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9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January 31, 2026 and 2025</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$329.8 million for the year ended January 31, 2026, an increase of $23.6 million, or 7.7%, compared to $306.2 million for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January 31, 2025. This increase was driven by higher Subscription and Reserve rental revenue and higher Other revenue. In fiscal year 2026, we expect revenue to increase due to higher Subscription prices and a larger subscription customer base due to a particular focus on increasing our Active Subscribers year-over-year.</w:t>
      </w:r>
    </w:p>
    <w:p>
      <w:pPr>
        <w:spacing w:after="0" w:line="81"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$286.0 million for the year ended January 31, 2026, an increase of $20.5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7.7%, compared to $265.5 million for the year ended January 31, 2025. This increase was primarily driven by higher average active subscribers and higher revenue per subscriber,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partially offset by lower Reserve rental revenue.</w:t>
      </w:r>
    </w:p>
    <w:p>
      <w:pPr>
        <w:spacing w:after="0" w:line="101" w:lineRule="exact"/>
        <w:rPr>
          <w:sz w:val="20"/>
          <w:szCs w:val="20"/>
          <w:color w:val="auto"/>
        </w:rPr>
      </w:pPr>
    </w:p>
    <w:p>
      <w:pPr>
        <w:ind w:right="140"/>
        <w:spacing w:after="0"/>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$43.8 million for the year ended January 31, 2026, an increase of $3.1 million, or 7.6%, compared to $40.7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2025. This increase was primarily driven by higher Average Active Subscribers and higher average selling price per item, partially offset by lower items purchased per average subscriber. Other revenue represented 13.3% of total revenue, compared to 13.3% in the same period last year.</w:t>
      </w:r>
    </w:p>
    <w:p>
      <w:pPr>
        <w:spacing w:after="0" w:line="111"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$387.3 million for the year ended January 31, 2026, an increase of $33.6 million, or 9.5%, compared to $353.7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January 31, 2025. This increase was primarily driven by higher Revenue Share costs, higher Fulfillment costs, higher Technology costs and higher G&amp;A costs. The increase was partially offset by lower Rental Product Depreciation and Write-Off expense, lower Other Depreciation and Amortization expense and lower Marketing costs.</w:t>
      </w:r>
    </w:p>
    <w:p>
      <w:pPr>
        <w:spacing w:after="0" w:line="91"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$88.5 million for the year ended January 31, 2026, an increase of $5.7 million, or 6.9%, representing 26.8%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$82.8 million for the year ended January 31, 2025, representing 27.0% of revenue. The increase in fulfillment dollars was primarily driven by higher transportation costs due to carrier rate increases, increases in warehouse processing costs, and an increase in orders due to higher average active subscribers. Fulfillment costs decreased as a percentage of revenue due primarily to higher revenue per order partially offset by higher transportation and processing costs per order.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For fiscal year 2026, it is difficult to predict fulfillment costs as a percentage of Revenue.</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$39.3 million for the year ended January 31, 2026, an increase of $3.6 million, or 10.1%, compared to $35.7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2025. Technology expenses were 11.9% of revenue for the year ended January 31, 2026 compared to 11.7% for the same period last year due to higher technology related employee costs. Technology related share-based compensation expense was $0.8 million for the year ended January 31, 2026 and was $1.9 million for the same period last year.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2026, we expect technology expenses to decrease as a percentage of total revenue compared to fiscal year 2025.</w:t>
      </w:r>
    </w:p>
    <w:p>
      <w:pPr>
        <w:spacing w:after="0" w:line="136"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$27.0 million for the year ended January 31, 2026, a decrease of $(1.2) million, or (4.3)%, compared to $28.2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2025. This decrease was driven primarily by lower brand marketing expenses and lower marketing consulting costs. Marketing expenses unrelated to personnel costs were $24.0 million in the year ended January 31, 2026 and 7.3% of revenue, compared to $25.4 million and 8.3% of total revenue for the same period last year.</w:t>
      </w:r>
    </w:p>
    <w:p>
      <w:pPr>
        <w:spacing w:after="0" w:line="15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In fiscal year 2026, we expect marketing expenses to increase in dollars but decrease as a percentage of total revenue compared to fiscal year 2025. The timing of our marketing expenses during the year will depend in part on the timing of marketing campaigns.</w:t>
      </w:r>
    </w:p>
    <w:p>
      <w:pPr>
        <w:spacing w:after="0" w:line="131"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b w:val="1"/>
          <w:bCs w:val="1"/>
          <w:i w:val="1"/>
          <w:iCs w:val="1"/>
          <w:color w:val="auto"/>
        </w:rPr>
        <w:t>General and Administrative.</w:t>
      </w:r>
      <w:r>
        <w:rPr>
          <w:sz w:val="20"/>
          <w:szCs w:val="20"/>
          <w:color w:val="auto"/>
        </w:rPr>
        <w:tab/>
      </w:r>
      <w:r>
        <w:rPr>
          <w:rFonts w:ascii="Arial" w:cs="Arial" w:eastAsia="Arial" w:hAnsi="Arial"/>
          <w:sz w:val="14"/>
          <w:szCs w:val="14"/>
          <w:color w:val="auto"/>
        </w:rPr>
        <w:t>General and administrative (“G&amp;A”) expenses were $88.8 million for the year ended January 31, 2026, an increase of $2.0 million, or 2.3%,</w:t>
      </w:r>
    </w:p>
    <w:p>
      <w:pPr>
        <w:spacing w:after="0" w:line="12" w:lineRule="exact"/>
        <w:rPr>
          <w:sz w:val="20"/>
          <w:szCs w:val="20"/>
          <w:color w:val="auto"/>
        </w:rPr>
      </w:pPr>
    </w:p>
    <w:p>
      <w:pPr>
        <w:ind w:right="180"/>
        <w:spacing w:after="0" w:line="229" w:lineRule="auto"/>
        <w:rPr>
          <w:sz w:val="20"/>
          <w:szCs w:val="20"/>
          <w:color w:val="auto"/>
        </w:rPr>
      </w:pPr>
      <w:r>
        <w:rPr>
          <w:rFonts w:ascii="Arial" w:cs="Arial" w:eastAsia="Arial" w:hAnsi="Arial"/>
          <w:sz w:val="14"/>
          <w:szCs w:val="14"/>
          <w:color w:val="auto"/>
        </w:rPr>
        <w:t>compared to $86.8 million for the year ended January 31, 2025. This increase was driven primarily by transaction related expenses and an increase in tax partially offset by lower share-based compensation expense and a decrease in occupancy costs. G&amp;A expenses as a percentage of revenue were 26.9%, compared to 28.3% last year, as we saw</w:t>
      </w:r>
    </w:p>
    <w:p>
      <w:pPr>
        <w:ind w:right="400"/>
        <w:spacing w:after="0" w:line="253" w:lineRule="auto"/>
        <w:rPr>
          <w:sz w:val="20"/>
          <w:szCs w:val="20"/>
          <w:color w:val="auto"/>
        </w:rPr>
      </w:pPr>
      <w:r>
        <w:rPr>
          <w:rFonts w:ascii="Arial" w:cs="Arial" w:eastAsia="Arial" w:hAnsi="Arial"/>
          <w:sz w:val="14"/>
          <w:szCs w:val="14"/>
          <w:color w:val="auto"/>
        </w:rPr>
        <w:t>increased operating leverage. G&amp;A related share-based compensation expense was $3.4 million for the year ended January 31, 2026 and was $7.7 million for the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2026, we expect G&amp;A expenses to decrease as a percentage of total revenue compared to fiscal year 2025.</w:t>
      </w:r>
    </w:p>
    <w:p>
      <w:pPr>
        <w:spacing w:after="0" w:line="136" w:lineRule="exact"/>
        <w:rPr>
          <w:sz w:val="20"/>
          <w:szCs w:val="20"/>
          <w:color w:val="auto"/>
        </w:rPr>
      </w:pPr>
    </w:p>
    <w:p>
      <w:pPr>
        <w:spacing w:after="0"/>
        <w:tabs>
          <w:tab w:leader="none" w:pos="3440" w:val="left"/>
        </w:tabs>
        <w:rPr>
          <w:sz w:val="20"/>
          <w:szCs w:val="20"/>
          <w:color w:val="auto"/>
        </w:rPr>
      </w:pPr>
      <w:r>
        <w:rPr>
          <w:rFonts w:ascii="Arial" w:cs="Arial" w:eastAsia="Arial" w:hAnsi="Arial"/>
          <w:sz w:val="14"/>
          <w:szCs w:val="14"/>
          <w:b w:val="1"/>
          <w:bCs w:val="1"/>
          <w:i w:val="1"/>
          <w:iCs w:val="1"/>
          <w:color w:val="auto"/>
        </w:rPr>
        <w:t>Rental Product Depreciation and Revenue Share.</w:t>
      </w:r>
      <w:r>
        <w:rPr>
          <w:sz w:val="20"/>
          <w:szCs w:val="20"/>
          <w:color w:val="auto"/>
        </w:rPr>
        <w:tab/>
      </w:r>
      <w:r>
        <w:rPr>
          <w:rFonts w:ascii="Arial" w:cs="Arial" w:eastAsia="Arial" w:hAnsi="Arial"/>
          <w:sz w:val="14"/>
          <w:szCs w:val="14"/>
          <w:color w:val="auto"/>
        </w:rPr>
        <w:t>Rental product depreciation and revenue share was $133.8 million for the year ended January 31, 2026, an increase of</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$26.3 million, or 24.5%, compared to $107.5 million for the year ended January 31, 2025. The increase was primarily driven by higher revenue share expenses due to higher Share by RTR units acquired partially offset by lower rental product depreciation expenses. Rental product depreciation and revenue share was 40.6% of revenue in the year ended January 31, 2026, up from 35.1% in the same period last year primarily due to the factors discussed above.</w:t>
      </w:r>
    </w:p>
    <w:p>
      <w:pPr>
        <w:spacing w:after="0" w:line="97" w:lineRule="exact"/>
        <w:rPr>
          <w:sz w:val="20"/>
          <w:szCs w:val="20"/>
          <w:color w:val="auto"/>
        </w:rPr>
      </w:pPr>
    </w:p>
    <w:p>
      <w:pPr>
        <w:ind w:right="40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$9.9 million for the year ended January 31, 2026, a decrease of $(2.6) million, or (20.8)%,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$12.5 million for the year ended January 31, 2025. This decrease was primarily driven by lower depreciation and amortization associated with machinery and equipment.</w:t>
      </w:r>
    </w:p>
    <w:p>
      <w:pPr>
        <w:spacing w:after="0" w:line="13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$0.2 million for the year ended January 31, 2025 for severance and related costs in connection with the January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 These charges are reflected in Restructuring charges on our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Restructuring Plan</w:t>
      </w:r>
    </w:p>
    <w:p>
      <w:pPr>
        <w:spacing w:after="0" w:line="187"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January 2024 restructuring plan generated total annual operating expense savings of approximately $12 million, which primarily included the reduction in force, with some open role closures/reduced backfills, and excludes potential hiring of new employees or other additions to the Company’s costs and expenses. The restructuring plan was completed during the first quarter of fiscal year 2025.</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“Note 5, Restructuring and Related Charges” in the Notes to the Consolidated Financial Statements for more details on these charges.</w:t>
      </w:r>
    </w:p>
    <w:p>
      <w:pPr>
        <w:spacing w:after="0" w:line="17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 xml:space="preserve">Gain on Debt Restructuring. </w:t>
      </w:r>
      <w:r>
        <w:rPr>
          <w:rFonts w:ascii="Arial" w:cs="Arial" w:eastAsia="Arial" w:hAnsi="Arial"/>
          <w:sz w:val="14"/>
          <w:szCs w:val="14"/>
          <w:color w:val="auto"/>
        </w:rPr>
        <w:t>Gain on Debt Restructuring was $96.3 million for the year ended January 31, 2026. The gain was recognized from the troubled debt restructuring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the Recapitalization Transactions completed in October 2025.</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$(20.3) million for the year ended January 31, 2026, a decrease in expense of $ 3.9 million, or (16.1)%,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$(24.2) million for the year ended January 31, 2025. The decrease was was driven by the absence of interest expense following the New Credit Agreement, as the modification of the existing debt, which was part of the October 2025 recapitalization transactions, was accounted for as a troubled debt restructuring.. Of the $(20.3) million total interest expense in the year ended January 31, 2026, $3.3 million was debt discount amortization, $(22.2) million was from paid-in-kind interest, and $(1.4) million was the net of interest earned, financing lease and other interest, compared to $2.8 million of net of interest earned, financing lease and other interest and $(27.0) million of debt discount amortization in the year ended January 31, 2025.</w:t>
      </w:r>
    </w:p>
    <w:p>
      <w:pPr>
        <w:spacing w:after="0" w:line="9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$4.2 million for the year ended January 31, 2026, an increase of $2.1 million, compared to $2.1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 ended January 31, 2025.</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b w:val="1"/>
          <w:bCs w:val="1"/>
          <w:i w:val="1"/>
          <w:iCs w:val="1"/>
          <w:color w:val="auto"/>
        </w:rPr>
        <w:t>Adjusted EBITDA and Adjusted EBITDA Margin.</w:t>
      </w:r>
      <w:r>
        <w:rPr>
          <w:sz w:val="20"/>
          <w:szCs w:val="20"/>
          <w:color w:val="auto"/>
        </w:rPr>
        <w:tab/>
      </w:r>
      <w:r>
        <w:rPr>
          <w:rFonts w:ascii="Arial" w:cs="Arial" w:eastAsia="Arial" w:hAnsi="Arial"/>
          <w:sz w:val="14"/>
          <w:szCs w:val="14"/>
          <w:color w:val="auto"/>
        </w:rPr>
        <w:t>Adjusted EBITDA and Adjusted EBITDA Margin are key performance measures used by management to assess our operating</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performance and the operating leverage of our business prior to capital expenditures. Net Income (Loss) was $22.6 million for the year ended January 31, 2026 compared to</w:t>
      </w:r>
    </w:p>
    <w:p>
      <w:pPr>
        <w:spacing w:after="0" w:line="237" w:lineRule="auto"/>
        <w:rPr>
          <w:sz w:val="20"/>
          <w:szCs w:val="20"/>
          <w:color w:val="auto"/>
        </w:rPr>
      </w:pPr>
      <w:r>
        <w:rPr>
          <w:rFonts w:ascii="Arial" w:cs="Arial" w:eastAsia="Arial" w:hAnsi="Arial"/>
          <w:sz w:val="14"/>
          <w:szCs w:val="14"/>
          <w:color w:val="auto"/>
        </w:rPr>
        <w:t>$(69.9) million for the year ended January 31, 2025, Net Income (Loss) as a percentage of revenue was 6.9%, and (22.8)%, respectively, and included $0.2 million of restructuring</w:t>
      </w:r>
    </w:p>
    <w:p>
      <w:pPr>
        <w:spacing w:after="0"/>
        <w:rPr>
          <w:sz w:val="20"/>
          <w:szCs w:val="20"/>
          <w:color w:val="auto"/>
        </w:rPr>
      </w:pPr>
      <w:r>
        <w:rPr>
          <w:rFonts w:ascii="Arial" w:cs="Arial" w:eastAsia="Arial" w:hAnsi="Arial"/>
          <w:sz w:val="14"/>
          <w:szCs w:val="14"/>
          <w:color w:val="auto"/>
        </w:rPr>
        <w:t>and related charges for the year ended January 31, 2025.</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Net Income for the year ended January 31, 2026 increased year-over-year primarily due to the impact of the Gain on Debt Restructuring as a result of the recapitalization. Net Loss for the year ended January 31, 2026, excluding the Gain on Debt Restructuring as a result of the recapitalization transactions, increased year-over-year primarily due to lower Gross</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4"/>
          <w:szCs w:val="14"/>
          <w:color w:val="auto"/>
        </w:rPr>
        <w:t>Profit, higher Technology costs, higher Interest Expense and higher G&amp;A expenses, partially offset by lower Other Depreciation and Amortization expenses and lower Marketing costs.</w:t>
      </w:r>
    </w:p>
    <w:p>
      <w:pPr>
        <w:spacing w:after="0" w:line="165"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Our Adjusted EBITDA was $24.9 million for the year ended January 31, 2026 compared to $46.9 million for the year ended January 31, 2025, representing margins of 7.6% and 15.3%, respectively. Adjusted EBITDA decreased year-over-year primarily due to lower Gross Profit, higher Technology costs, and higher General &amp; Administrative costs. Adjusted EBITDA Margin decreased year-over-year primarily due to lower Gross Margins, partially offset by lower Marketing costs as a percentage of Revenue and lower General &amp; Administrative costs as a percentage of Revenue.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income (loss), the most comparable GAAP financial measure, to Adjusted EBITDA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Years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5"/>
        </w:trPr>
        <w:tc>
          <w:tcPr>
            <w:tcW w:w="642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50"/>
        </w:trPr>
        <w:tc>
          <w:tcPr>
            <w:tcW w:w="64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(113.2)</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6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33.7</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57.1</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6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14.7</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26.2</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6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3.4</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96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0.3</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(7)</w:t>
            </w: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Loss on asset impairment related to restructuring (8)</w:t>
            </w:r>
          </w:p>
        </w:tc>
        <w:tc>
          <w:tcPr>
            <w:tcW w:w="96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1.1</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Debt Restructuring (9)</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0"/>
              <w:spacing w:after="0"/>
              <w:rPr>
                <w:sz w:val="20"/>
                <w:szCs w:val="20"/>
                <w:color w:val="auto"/>
              </w:rPr>
            </w:pPr>
            <w:r>
              <w:rPr>
                <w:rFonts w:ascii="Arial" w:cs="Arial" w:eastAsia="Arial" w:hAnsi="Arial"/>
                <w:sz w:val="14"/>
                <w:szCs w:val="14"/>
                <w:color w:val="auto"/>
              </w:rPr>
              <w:t>Income tax (benefit) / expense</w:t>
            </w:r>
          </w:p>
        </w:tc>
        <w:tc>
          <w:tcPr>
            <w:tcW w:w="96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0.2</w:t>
            </w:r>
          </w:p>
        </w:tc>
      </w:tr>
      <w:tr>
        <w:trPr>
          <w:trHeight w:val="18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 (10)</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(0.7)</w:t>
            </w:r>
          </w:p>
        </w:tc>
      </w:tr>
      <w:tr>
        <w:trPr>
          <w:trHeight w:val="18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(gains) / losses (11)</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0.4</w:t>
            </w: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26.9</w:t>
            </w:r>
          </w:p>
        </w:tc>
      </w:tr>
      <w:tr>
        <w:trPr>
          <w:trHeight w:val="171"/>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as a percentage of revenue</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 (12)</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260" w:hanging="255"/>
        <w:spacing w:after="0" w:line="230" w:lineRule="auto"/>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Includes debt discount amortization of $(3.3) million in the year ended January 31, 2026, $27.0 million in the year ended January 31, 2025, and $11.7 million in the year ended January 31, 2024.</w:t>
      </w:r>
    </w:p>
    <w:p>
      <w:pPr>
        <w:spacing w:after="0" w:line="64"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49"/>
        </w:numPr>
        <w:rPr>
          <w:rFonts w:ascii="Arial" w:cs="Arial" w:eastAsia="Arial" w:hAnsi="Arial"/>
          <w:sz w:val="7"/>
          <w:szCs w:val="7"/>
          <w:i w:val="1"/>
          <w:iCs w:val="1"/>
          <w:color w:val="auto"/>
        </w:rPr>
      </w:pPr>
      <w:r>
        <w:rPr>
          <w:rFonts w:ascii="Arial" w:cs="Arial" w:eastAsia="Arial" w:hAnsi="Arial"/>
          <w:sz w:val="11"/>
          <w:szCs w:val="11"/>
          <w:color w:val="auto"/>
        </w:rPr>
        <w:t>Reflects non-rental product depreciation and capitalized software amortization.</w:t>
      </w:r>
    </w:p>
    <w:p>
      <w:pPr>
        <w:spacing w:after="0" w:line="96" w:lineRule="exact"/>
        <w:rPr>
          <w:rFonts w:ascii="Arial" w:cs="Arial" w:eastAsia="Arial" w:hAnsi="Arial"/>
          <w:sz w:val="7"/>
          <w:szCs w:val="7"/>
          <w:i w:val="1"/>
          <w:iCs w:val="1"/>
          <w:color w:val="auto"/>
        </w:rPr>
      </w:pPr>
    </w:p>
    <w:p>
      <w:pPr>
        <w:ind w:left="260" w:hanging="255"/>
        <w:spacing w:after="0"/>
        <w:tabs>
          <w:tab w:leader="none" w:pos="260" w:val="left"/>
        </w:tabs>
        <w:numPr>
          <w:ilvl w:val="0"/>
          <w:numId w:val="49"/>
        </w:numPr>
        <w:rPr>
          <w:rFonts w:ascii="Arial" w:cs="Arial" w:eastAsia="Arial" w:hAnsi="Arial"/>
          <w:sz w:val="7"/>
          <w:szCs w:val="7"/>
          <w:i w:val="1"/>
          <w:iCs w:val="1"/>
          <w:color w:val="auto"/>
        </w:rPr>
      </w:pPr>
      <w:r>
        <w:rPr>
          <w:rFonts w:ascii="Arial" w:cs="Arial" w:eastAsia="Arial" w:hAnsi="Arial"/>
          <w:sz w:val="11"/>
          <w:szCs w:val="11"/>
          <w:color w:val="auto"/>
        </w:rPr>
        <w:t>Reflects the non-cash expense for share-based compensation.</w:t>
      </w:r>
    </w:p>
    <w:p>
      <w:pPr>
        <w:spacing w:after="0" w:line="72" w:lineRule="exact"/>
        <w:rPr>
          <w:rFonts w:ascii="Arial" w:cs="Arial" w:eastAsia="Arial" w:hAnsi="Arial"/>
          <w:sz w:val="7"/>
          <w:szCs w:val="7"/>
          <w:i w:val="1"/>
          <w:iCs w:val="1"/>
          <w:color w:val="auto"/>
        </w:rPr>
      </w:pPr>
    </w:p>
    <w:p>
      <w:pPr>
        <w:ind w:left="260" w:hanging="255"/>
        <w:spacing w:after="0"/>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74" w:lineRule="exact"/>
        <w:rPr>
          <w:rFonts w:ascii="Arial" w:cs="Arial" w:eastAsia="Arial" w:hAnsi="Arial"/>
          <w:sz w:val="15"/>
          <w:szCs w:val="15"/>
          <w:i w:val="1"/>
          <w:iCs w:val="1"/>
          <w:color w:val="auto"/>
          <w:vertAlign w:val="superscript"/>
        </w:rPr>
      </w:pPr>
    </w:p>
    <w:p>
      <w:pPr>
        <w:ind w:left="260" w:right="120" w:hanging="255"/>
        <w:spacing w:after="0" w:line="229" w:lineRule="auto"/>
        <w:tabs>
          <w:tab w:leader="none" w:pos="254"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Non-recurring adjustments for the year ended January 31, 2026 includes $0.5 million of transaction related and internal controls related costs, for the year ended January 31, 2025 includes $0.1 million of costs related to one-time professional fees, and for the year ended January 31, 2024 includes $1.7 million of costs primarily related to debt refinancing and related fees and the option exchange.</w:t>
      </w:r>
    </w:p>
    <w:p>
      <w:pPr>
        <w:spacing w:after="0" w:line="64" w:lineRule="exact"/>
        <w:rPr>
          <w:rFonts w:ascii="Arial" w:cs="Arial" w:eastAsia="Arial" w:hAnsi="Arial"/>
          <w:sz w:val="15"/>
          <w:szCs w:val="15"/>
          <w:i w:val="1"/>
          <w:iCs w:val="1"/>
          <w:color w:val="auto"/>
          <w:vertAlign w:val="superscript"/>
        </w:rPr>
      </w:pPr>
    </w:p>
    <w:p>
      <w:pPr>
        <w:ind w:left="260" w:right="160" w:hanging="255"/>
        <w:spacing w:after="0" w:line="303" w:lineRule="auto"/>
        <w:tabs>
          <w:tab w:leader="none" w:pos="254" w:val="left"/>
        </w:tabs>
        <w:numPr>
          <w:ilvl w:val="0"/>
          <w:numId w:val="49"/>
        </w:numPr>
        <w:rPr>
          <w:rFonts w:ascii="Arial" w:cs="Arial" w:eastAsia="Arial" w:hAnsi="Arial"/>
          <w:sz w:val="7"/>
          <w:szCs w:val="7"/>
          <w:i w:val="1"/>
          <w:iCs w:val="1"/>
          <w:color w:val="auto"/>
        </w:rPr>
      </w:pPr>
      <w:r>
        <w:rPr>
          <w:rFonts w:ascii="Arial" w:cs="Arial" w:eastAsia="Arial" w:hAnsi="Arial"/>
          <w:sz w:val="11"/>
          <w:szCs w:val="11"/>
          <w:color w:val="auto"/>
        </w:rPr>
        <w:t>Non-ordinary course legal fees for the years ended January 31, 2026, 2025, and 2024 includes $6.0 million, $0.3 million, and $0.3 million, respectively, of costs related to securities lawsuits and non-recurring legal fees, including transaction-related costs and a class action lawsuit.</w:t>
      </w:r>
    </w:p>
    <w:p>
      <w:pPr>
        <w:spacing w:after="0" w:line="17" w:lineRule="exact"/>
        <w:rPr>
          <w:rFonts w:ascii="Arial" w:cs="Arial" w:eastAsia="Arial" w:hAnsi="Arial"/>
          <w:sz w:val="7"/>
          <w:szCs w:val="7"/>
          <w:i w:val="1"/>
          <w:iCs w:val="1"/>
          <w:color w:val="auto"/>
        </w:rPr>
      </w:pPr>
    </w:p>
    <w:p>
      <w:pPr>
        <w:ind w:left="260" w:hanging="255"/>
        <w:spacing w:after="0"/>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restructuring charge primarily related to severance and related costs in connection with the January 2024 restructuring plan.</w:t>
      </w:r>
    </w:p>
    <w:p>
      <w:pPr>
        <w:spacing w:after="0" w:line="50"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asset impairment charges related to the discontinuation of a software implementation project in connection with the January 2024 restructuring plan in the year ended January 31, 2024.</w:t>
      </w:r>
    </w:p>
    <w:p>
      <w:pPr>
        <w:spacing w:after="0" w:line="50"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gain recognized from the troubled debt restructuring from the Recapitalization Transactions completed in October 2025.</w:t>
      </w:r>
    </w:p>
    <w:p>
      <w:pPr>
        <w:spacing w:after="0" w:line="63"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49"/>
        </w:numPr>
        <w:rPr>
          <w:rFonts w:ascii="Arial" w:cs="Arial" w:eastAsia="Arial" w:hAnsi="Arial"/>
          <w:sz w:val="7"/>
          <w:szCs w:val="7"/>
          <w:i w:val="1"/>
          <w:iCs w:val="1"/>
          <w:color w:val="auto"/>
        </w:rPr>
      </w:pPr>
      <w:r>
        <w:rPr>
          <w:rFonts w:ascii="Arial" w:cs="Arial" w:eastAsia="Arial" w:hAnsi="Arial"/>
          <w:sz w:val="11"/>
          <w:szCs w:val="11"/>
          <w:color w:val="auto"/>
        </w:rPr>
        <w:t>Includes other (income) / expense recognized in the period.</w:t>
      </w:r>
    </w:p>
    <w:p>
      <w:pPr>
        <w:spacing w:after="0" w:line="96" w:lineRule="exact"/>
        <w:rPr>
          <w:rFonts w:ascii="Arial" w:cs="Arial" w:eastAsia="Arial" w:hAnsi="Arial"/>
          <w:sz w:val="7"/>
          <w:szCs w:val="7"/>
          <w:i w:val="1"/>
          <w:iCs w:val="1"/>
          <w:color w:val="auto"/>
        </w:rPr>
      </w:pPr>
    </w:p>
    <w:p>
      <w:pPr>
        <w:ind w:left="260" w:right="340" w:hanging="255"/>
        <w:spacing w:after="0" w:line="303" w:lineRule="auto"/>
        <w:tabs>
          <w:tab w:leader="none" w:pos="247" w:val="left"/>
        </w:tabs>
        <w:numPr>
          <w:ilvl w:val="0"/>
          <w:numId w:val="49"/>
        </w:numPr>
        <w:rPr>
          <w:rFonts w:ascii="Arial" w:cs="Arial" w:eastAsia="Arial" w:hAnsi="Arial"/>
          <w:sz w:val="7"/>
          <w:szCs w:val="7"/>
          <w:i w:val="1"/>
          <w:iCs w:val="1"/>
          <w:color w:val="auto"/>
        </w:rPr>
      </w:pPr>
      <w:r>
        <w:rPr>
          <w:rFonts w:ascii="Arial" w:cs="Arial" w:eastAsia="Arial" w:hAnsi="Arial"/>
          <w:sz w:val="11"/>
          <w:szCs w:val="11"/>
          <w:color w:val="auto"/>
        </w:rPr>
        <w:t>Includes gains / losses recognized in relation to foreign exchange, operating lease terminations and the related surrender of fixed assets (see “Note 6 - Leases – Lessee Accounting” in the Notes to the Consolidated Financial Statements).</w:t>
      </w:r>
    </w:p>
    <w:p>
      <w:pPr>
        <w:spacing w:after="0" w:line="17" w:lineRule="exact"/>
        <w:rPr>
          <w:rFonts w:ascii="Arial" w:cs="Arial" w:eastAsia="Arial" w:hAnsi="Arial"/>
          <w:sz w:val="7"/>
          <w:szCs w:val="7"/>
          <w:i w:val="1"/>
          <w:iCs w:val="1"/>
          <w:color w:val="auto"/>
        </w:rPr>
      </w:pPr>
    </w:p>
    <w:p>
      <w:pPr>
        <w:ind w:left="260" w:hanging="255"/>
        <w:spacing w:after="0"/>
        <w:tabs>
          <w:tab w:leader="none" w:pos="260" w:val="left"/>
        </w:tabs>
        <w:numPr>
          <w:ilvl w:val="0"/>
          <w:numId w:val="49"/>
        </w:numPr>
        <w:rPr>
          <w:rFonts w:ascii="Arial" w:cs="Arial" w:eastAsia="Arial" w:hAnsi="Arial"/>
          <w:sz w:val="15"/>
          <w:szCs w:val="15"/>
          <w:i w:val="1"/>
          <w:iCs w:val="1"/>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0"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have reported net income from operations of $22.6 million for the year ended January 31, 2026 due to the recognition of a Gain on Debt Restructuring of $96.3 million. Prior to fiscal year 2025, we incurred significant recurring net losses since inception and has an accumulated deficit of $(1,100.4) million as of January 31, 2026. We have historically relied upon debt and equity financing to fund our operations. Our cash flows from operations for the year ended January 31, 2026 were $3.5 million. Cash outflows from investing activities were $(49.5) million for the year ended January 31, 2026. As of January 31, 2026, we had cash and cash equivalents of $50.4 million, restricted cash of $8.7 million, current liabilities of $63.2 million as of January 31, 2026 and $156.6 million of long-term debt that matures in October 2029. We currently expect that our cash and cash equivalents balance will decline in fiscal year 2026 as a result of our business plans and strategy to continue to invest in improving the experience of our customers.</w:t>
      </w:r>
    </w:p>
    <w:p>
      <w:pPr>
        <w:spacing w:after="0" w:line="146"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On October 28, 2025, we completed recapitalization transactions to enhance our financial position and financial flexibility by significantly reducing our existing indebtedness, improving our borrowing rate and extending the maturity of our remaining indebtedness (the “Recapitalization Transactions”). Under the terms of the Recapitalization Transactions, we entered into the New Credit Agreement. The Lender exchanged $100 million of existing outstanding indebtedness on a dollar-for-dollar cashless basis for new term loans under the New Credit Agreement and exchanged the remaining indebtedness for 26,175,193 newly issued shares of our Class A Common Stock. The Investor Group also provided an additional $20 million of new term loans under the New Credit Agreement, resulting in a total aggregate principal amount of $120 million. Our minimum liquidity maintenance covenant was also reduced from $30 million to $15 million until February 20, 2027 prior to its removal pursuant to the First Amendment to the New Credit Agreement on January 28,</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2026 (the “First Amendment”). We also received $12.5 million in proceeds from a concurrent rights offering. On April 1, 2026, the Company entered into the Second Amendment to the New Credit Agreement (the “Second Amendment”). The Second Amendment provides the Company with the ability to capitalize interest in lieu of cash payments until May 3,</w:t>
      </w:r>
    </w:p>
    <w:p>
      <w:pPr>
        <w:spacing w:after="0"/>
        <w:rPr>
          <w:sz w:val="20"/>
          <w:szCs w:val="20"/>
          <w:color w:val="auto"/>
        </w:rPr>
      </w:pPr>
      <w:r>
        <w:rPr>
          <w:rFonts w:ascii="Arial" w:cs="Arial" w:eastAsia="Arial" w:hAnsi="Arial"/>
          <w:sz w:val="14"/>
          <w:szCs w:val="14"/>
          <w:color w:val="auto"/>
        </w:rPr>
        <w:t>2027.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For a description of the terms of our current and prior credit agreements, see “Note 9 – Long-Term Debt” in the Notes to the Consolidated Financial Statements.</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15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2025 Amended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and the timing of investments in technology and personnel to support the overall growth of our business. We believe our existing cash and cash equivalents, and cash generated from our operations, will be sufficient to sustain our business operations, to satisfy our debt service obligations, and to comply with our debt covenants for at least the next twelve months from the date of this Form 10-K.</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109"/>
              <w:spacing w:after="0"/>
              <w:rPr>
                <w:sz w:val="20"/>
                <w:szCs w:val="20"/>
                <w:color w:val="auto"/>
              </w:rPr>
            </w:pPr>
            <w:r>
              <w:rPr>
                <w:rFonts w:ascii="Arial" w:cs="Arial" w:eastAsia="Arial" w:hAnsi="Arial"/>
                <w:sz w:val="13"/>
                <w:szCs w:val="13"/>
                <w:b w:val="1"/>
                <w:bCs w:val="1"/>
                <w:color w:val="auto"/>
              </w:rPr>
              <w:t>Years Ended January 31,</w:t>
            </w:r>
          </w:p>
        </w:tc>
        <w:tc>
          <w:tcPr>
            <w:tcW w:w="880" w:type="dxa"/>
            <w:vAlign w:val="bottom"/>
            <w:tcBorders>
              <w:bottom w:val="single" w:sz="8" w:color="auto"/>
            </w:tcBorders>
          </w:tcPr>
          <w:p>
            <w:pPr>
              <w:spacing w:after="0"/>
              <w:rPr>
                <w:sz w:val="14"/>
                <w:szCs w:val="14"/>
                <w:color w:val="auto"/>
              </w:rPr>
            </w:pPr>
          </w:p>
        </w:tc>
      </w:tr>
      <w:tr>
        <w:trPr>
          <w:trHeight w:val="160"/>
        </w:trPr>
        <w:tc>
          <w:tcPr>
            <w:tcW w:w="76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2024</w:t>
            </w:r>
          </w:p>
        </w:tc>
      </w:tr>
      <w:tr>
        <w:trPr>
          <w:trHeight w:val="160"/>
        </w:trPr>
        <w:tc>
          <w:tcPr>
            <w:tcW w:w="76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74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8"/>
              </w:rPr>
              <w:t>(49.5)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8"/>
              </w:rPr>
              <w:t>(27.4)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w:t>
            </w: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7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r>
      <w:tr>
        <w:trPr>
          <w:trHeight w:val="20"/>
        </w:trPr>
        <w:tc>
          <w:tcPr>
            <w:tcW w:w="7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$(46.0) million for the year ended January 31, 2026 and $(7.2) million for the year ended January 31, 2025. The cash consumption of the business was higher in fiscal year 2025 compared with fiscal year 2024 primarily due to higher purchases of rental product and higher net loss, excluding the Gain on Debt Restructuring, compared to the prior period. The sum of net cash used in operating activities and net cash used in investing activities, as a percentage of revenue, was (13.9)% for the year ended January 31, 2026 and (2.4)% for the year ended January 31, 2025.</w:t>
      </w:r>
    </w:p>
    <w:p>
      <w:pPr>
        <w:spacing w:after="0" w:line="150"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year ended January 31, 2026, net cash provided by operating activities was $3.5 million, which consisted of a net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of $22.6 million, partially offset by non-cash charges of $(3.8) million, reclassification of the proceeds from the sale of rental product of $28.4 million and a net change of</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color w:val="auto"/>
        </w:rPr>
        <w:t>$13.1 million in our operating assets and liabilities. The non-cash items were primarily comprised of a Gain on Debt Restructuring of $96.3 million, $59.5 million of rental product depreciation and write-off expenses, $(3.3) million of debt discount amortization, $9.9 million of other fixed and intangible asset depreciation and $4.2 million of share-based</w:t>
      </w:r>
    </w:p>
    <w:p>
      <w:pPr>
        <w:spacing w:after="0"/>
        <w:rPr>
          <w:sz w:val="20"/>
          <w:szCs w:val="20"/>
          <w:color w:val="auto"/>
        </w:rPr>
      </w:pPr>
      <w:r>
        <w:rPr>
          <w:rFonts w:ascii="Arial" w:cs="Arial" w:eastAsia="Arial" w:hAnsi="Arial"/>
          <w:sz w:val="14"/>
          <w:szCs w:val="14"/>
          <w:color w:val="auto"/>
        </w:rPr>
        <w:t>compensation.</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For the year ended January 31, 2025, net cash provided by operating activities was $12.9 million, which consisted of a net loss of $(69.9) million, partially offset by non-cash charges of $115.4 million, reclassification of the proceeds from the sale of rental product of $28.1 million and a net change of $(4.5) million in our operating assets and liabilities. The non-cash charges were primarily comprised of $65.9 million of rental product depreciation and write-off expenses, $9.7 million of share-based compensation, $12.8 million of other fixed and intangible asset depreciation, and $27.0 million of debt discount amortization.</w:t>
      </w:r>
    </w:p>
    <w:p>
      <w:pPr>
        <w:spacing w:after="0" w:line="138" w:lineRule="exact"/>
        <w:rPr>
          <w:sz w:val="20"/>
          <w:szCs w:val="20"/>
          <w:color w:val="auto"/>
        </w:rPr>
      </w:pPr>
    </w:p>
    <w:p>
      <w:pPr>
        <w:spacing w:after="0"/>
        <w:tabs>
          <w:tab w:leader="none" w:pos="3540" w:val="left"/>
        </w:tabs>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4"/>
          <w:szCs w:val="14"/>
          <w:color w:val="auto"/>
        </w:rPr>
        <w:t>For the year ended January 31, 2026, net cash used in investing activities was $(49.5) million, primarily consisting of</w:t>
      </w:r>
    </w:p>
    <w:p>
      <w:pPr>
        <w:spacing w:after="0" w:line="23"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$(75.9) million of purchases of rental product incurred in the period and $(4.6) million of purchases of fixed and intangible assets. The investment in rental product does not include an additional $1.6 million of cost for units received in the current period but not yet paid for, but does include $(2.7) million of cost for units paid for in the current period but received in the prior period (see the Supplemental Cash Flow Information in Part II, Item 8. “Financial Statements and Supplementary Data”). The investment in rental product was to support our rental product strategy. The majority of the investment in fixed and intangible assets was primarily related to machinery and equipment. The cash used in investing activities was partially offset by $28.4 million of proceeds from the sale of owned rental product and $2.6 million of proceeds from the liquidation of rental product.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For the year ended January 31, 2025, net cash used in investing activities was $(20.1) million, primarily consisting of $(49.2) million of purchases of rental product incurred in the period and $(4.4) million of purchases of fixed and intangible assets. The investment in rental product did not include an additional $ 2.7 million of cost for units received in the current period but not yet paid for, but did include $(1.4) million of cost for units paid for in the current period but received in the prior period (see Supplemental Cash Flow Information in Part II, Item 8. “Financial Statements and Supplementary Data”). The investment in rental product was to support our rental product strategy. The majority of the investment in fixed and intangible assets was primarily related to machinery and equipment. The cash used in investing activities was partially offset by $28.1 million of proceeds from sales of owned rental products and $5.4 million of proceeds from the liquidation of rental product.</w:t>
      </w:r>
    </w:p>
    <w:p>
      <w:pPr>
        <w:spacing w:after="0" w:line="142"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year ended January 31, 2026, net cash provided by financing activities was $18.6 million, primarily due to net</w:t>
      </w:r>
      <w:r>
        <w:rPr>
          <w:rFonts w:ascii="Arial" w:cs="Arial" w:eastAsia="Arial" w:hAnsi="Arial"/>
          <w:sz w:val="14"/>
          <w:szCs w:val="14"/>
          <w:b w:val="1"/>
          <w:bCs w:val="1"/>
          <w:color w:val="auto"/>
        </w:rPr>
        <w:t xml:space="preserve"> </w:t>
      </w:r>
      <w:r>
        <w:rPr>
          <w:rFonts w:ascii="Arial" w:cs="Arial" w:eastAsia="Arial" w:hAnsi="Arial"/>
          <w:sz w:val="14"/>
          <w:szCs w:val="14"/>
          <w:color w:val="auto"/>
        </w:rPr>
        <w:t>cash proceeds from the recapitalization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January 31, 2025, net cash used in financing activities was $(0.3) million, consisting of other financing payments.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4"/>
          <w:szCs w:val="14"/>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The quarterly and annual spend levels for rental product capital, fixed operating, and marketing expenditures for fiscal year 2025 were eliminated under the Fourteenth Amendment to the debt facility. As of January 31, 2026, we had approximately $156.6 million of long -term debt, net, none of which matures within the next 12 months. See “Note 9 — Long-Term Debt” in the Notes to the Consolidated Financial Statements for more information. In October 2025, the Company completed</w:t>
      </w:r>
    </w:p>
    <w:p>
      <w:pPr>
        <w:spacing w:after="0" w:line="3" w:lineRule="exact"/>
        <w:rPr>
          <w:sz w:val="20"/>
          <w:szCs w:val="20"/>
          <w:color w:val="auto"/>
        </w:rPr>
      </w:pPr>
    </w:p>
    <w:p>
      <w:pPr>
        <w:ind w:right="360"/>
        <w:spacing w:after="0" w:line="229" w:lineRule="auto"/>
        <w:rPr>
          <w:sz w:val="20"/>
          <w:szCs w:val="20"/>
          <w:color w:val="auto"/>
        </w:rPr>
      </w:pPr>
      <w:r>
        <w:rPr>
          <w:rFonts w:ascii="Arial" w:cs="Arial" w:eastAsia="Arial" w:hAnsi="Arial"/>
          <w:sz w:val="14"/>
          <w:szCs w:val="14"/>
          <w:color w:val="auto"/>
        </w:rPr>
        <w:t>the previously announced recapitalization transactions to enhance the Company’s financial position and financial flexibility by significantly reducing its existing indebtedness, improving its borrowing rate and extending the maturity of its remaining indebtedness. See “Note 4 — Recapitalization Transactions” in the Notes to the Consolidated Financial</w:t>
      </w:r>
    </w:p>
    <w:p>
      <w:pPr>
        <w:ind w:right="100"/>
        <w:spacing w:after="0" w:line="245" w:lineRule="auto"/>
        <w:rPr>
          <w:sz w:val="20"/>
          <w:szCs w:val="20"/>
          <w:color w:val="auto"/>
        </w:rPr>
      </w:pPr>
      <w:r>
        <w:rPr>
          <w:rFonts w:ascii="Arial" w:cs="Arial" w:eastAsia="Arial" w:hAnsi="Arial"/>
          <w:sz w:val="14"/>
          <w:szCs w:val="14"/>
          <w:color w:val="auto"/>
        </w:rPr>
        <w:t>Statements for more information. See “Note 6 – Leases – Lessee Accounting” in the Notes to the Consolidated Financial Statements for our minimum fixed lease obligations under existing lease agreements as of January 31, 2026. See “Note 17 - Commitments and Contingencies” in the Notes to the Consolidated Financial Statements for our minimum purchase commitments for technology services as of January 31, 2026.</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Rental Product</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Useful life: our projection of the period over which we can monetize our rental products through our Subscription or Reserve rental offerings</w:t>
      </w:r>
    </w:p>
    <w:p>
      <w:pPr>
        <w:spacing w:after="0" w:line="22" w:lineRule="exact"/>
        <w:rPr>
          <w:rFonts w:ascii="Arial" w:cs="Arial" w:eastAsia="Arial" w:hAnsi="Arial"/>
          <w:sz w:val="14"/>
          <w:szCs w:val="14"/>
          <w:color w:val="auto"/>
        </w:rPr>
      </w:pPr>
    </w:p>
    <w:p>
      <w:pPr>
        <w:ind w:left="520" w:right="40" w:hanging="260"/>
        <w:spacing w:after="0" w:line="269"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Salvage value: our projection of the proceeds that can be expected to be generated from rental product once it is no longer considered rentable, expressed as a percentage of the acquisition cost</w:t>
      </w:r>
    </w:p>
    <w:p>
      <w:pPr>
        <w:spacing w:after="0" w:line="15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and assessment of any future changes continue to support the use of these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Right-of-Use Assets and Lease Liabilities</w:t>
      </w:r>
    </w:p>
    <w:p>
      <w:pPr>
        <w:spacing w:after="0" w:line="9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judgment used in the determination of the synthetic credit rating and the development of the related benchmark yield curves.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134" w:lineRule="exact"/>
        <w:rPr>
          <w:sz w:val="20"/>
          <w:szCs w:val="20"/>
          <w:color w:val="auto"/>
        </w:rPr>
      </w:pPr>
    </w:p>
    <w:p>
      <w:pPr>
        <w:ind w:left="520" w:hanging="260"/>
        <w:spacing w:after="0" w:line="260"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Fair value of common stock. </w:t>
      </w:r>
      <w:r>
        <w:rPr>
          <w:rFonts w:ascii="Arial" w:cs="Arial" w:eastAsia="Arial" w:hAnsi="Arial"/>
          <w:sz w:val="14"/>
          <w:szCs w:val="14"/>
          <w:color w:val="auto"/>
        </w:rPr>
        <w:t>Following the closing of our IPO, the fair market value of our common stock is based on the closing price as reported on the date of grant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56" w:lineRule="exact"/>
        <w:rPr>
          <w:rFonts w:ascii="Arial" w:cs="Arial" w:eastAsia="Arial" w:hAnsi="Arial"/>
          <w:sz w:val="14"/>
          <w:szCs w:val="14"/>
          <w:color w:val="auto"/>
        </w:rPr>
      </w:pPr>
    </w:p>
    <w:p>
      <w:pPr>
        <w:ind w:left="520" w:right="40" w:hanging="260"/>
        <w:spacing w:after="0" w:line="265"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volatility. </w:t>
      </w:r>
      <w:r>
        <w:rPr>
          <w:rFonts w:ascii="Arial" w:cs="Arial" w:eastAsia="Arial" w:hAnsi="Arial"/>
          <w:sz w:val="14"/>
          <w:szCs w:val="14"/>
          <w:color w:val="auto"/>
        </w:rPr>
        <w:t>As a result of the lack of historical and implied volatility data of our common stock, the expected stock price volatility has been estimated based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historical volatilities of a specified group of companies in our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52"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term. </w:t>
      </w:r>
      <w:r>
        <w:rPr>
          <w:rFonts w:ascii="Arial" w:cs="Arial" w:eastAsia="Arial" w:hAnsi="Arial"/>
          <w:sz w:val="14"/>
          <w:szCs w:val="14"/>
          <w:color w:val="auto"/>
        </w:rPr>
        <w:t>The expected term of stock options represents the weighted-average period the stock options are expected to remain outstanding and is estimated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simplified method using the vesting and contractual terms.</w:t>
      </w:r>
    </w:p>
    <w:p>
      <w:pPr>
        <w:spacing w:after="0" w:line="35"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Risk-free interest rate. </w:t>
      </w:r>
      <w:r>
        <w:rPr>
          <w:rFonts w:ascii="Arial" w:cs="Arial" w:eastAsia="Arial" w:hAnsi="Arial"/>
          <w:sz w:val="14"/>
          <w:szCs w:val="14"/>
          <w:color w:val="auto"/>
        </w:rPr>
        <w:t>The expected risk-free rate assumption is based on the U.S. Treasury instruments whose term is consistent with the expected term of the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options.</w:t>
      </w:r>
    </w:p>
    <w:p>
      <w:pPr>
        <w:spacing w:after="0" w:line="3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dividend yield. </w:t>
      </w:r>
      <w:r>
        <w:rPr>
          <w:rFonts w:ascii="Arial" w:cs="Arial" w:eastAsia="Arial" w:hAnsi="Arial"/>
          <w:sz w:val="14"/>
          <w:szCs w:val="14"/>
          <w:color w:val="auto"/>
        </w:rPr>
        <w:t>The expected dividend assumption is based on our history and expectation of dividend. We have not paid dividends and do not expect to do so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foreseeable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 There were no stock options granted during the years January 31, 2026 and 2025. We also estimate an amount of forfeitures that will occur prior to vesting for restricted stock unit awards when they are granted.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Evaluation</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Given the Company’s stock price decline during the fourth quarter of fiscal year 2024 and of fiscal year 2025, the Company concluded a triggering event had occurred and performed an impairment analysis of its long-lived assets as of January 31, 2025 and January 31, 2026.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Company’s debt facility. Based on the quantitative assessment performed, undiscounted cash flows expected to be generated by the use and eventual disposition of the Company’s long-lived assets exceeded their carrying values and therefore no impairment was recognized for the years ended January 31, 2025 and January 31, 2026.</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7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17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As of January 31, 2026, we had cash and cash equivalents of $50.4 million and $156.6 million of debt outstanding under the New Credit Agreement. Cash and cash equivalents consist primarily of cash held in financial institutions within the United States and Ireland and cash in transit from third-party credit card providers. Borrowings under the New Credit Agreement bear interest at floating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January 31, 2026, a hypothetical 10% change in interest rates would not have resulted in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net revenue is denominated in U.S. dollars and a portion of our operating expenses is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January 31, 2026, a hypothetical 10% change in the relative value of the U.S. dollar to other currencies would not have had a material effect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9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In recent months, persistent inflation has continued to result in rising transportation, wages, rental product and other costs in the United States and overseas. For a discussion of recent wage increases and transportation costs related, in part, to inflationary pressures, see “Impact of Macro and Consumer Environment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100" w:type="dxa"/>
            <w:vAlign w:val="bottom"/>
            <w:gridSpan w:val="27"/>
          </w:tcPr>
          <w:p>
            <w:pPr>
              <w:spacing w:after="0"/>
              <w:rPr>
                <w:sz w:val="20"/>
                <w:szCs w:val="20"/>
                <w:color w:val="auto"/>
              </w:rPr>
            </w:pPr>
            <w:r>
              <w:rPr>
                <w:rFonts w:ascii="Arial" w:cs="Arial" w:eastAsia="Arial" w:hAnsi="Arial"/>
                <w:sz w:val="14"/>
                <w:szCs w:val="14"/>
                <w:b w:val="1"/>
                <w:bCs w:val="1"/>
                <w:color w:val="0000FF"/>
              </w:rPr>
              <w:t>Table of Contents</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9100" w:type="dxa"/>
            <w:vAlign w:val="bottom"/>
            <w:gridSpan w:val="27"/>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2"/>
        </w:trPr>
        <w:tc>
          <w:tcPr>
            <w:tcW w:w="20" w:type="dxa"/>
            <w:vAlign w:val="bottom"/>
          </w:tcPr>
          <w:p>
            <w:pPr>
              <w:spacing w:after="0"/>
              <w:rPr>
                <w:sz w:val="24"/>
                <w:szCs w:val="24"/>
                <w:color w:val="auto"/>
              </w:rPr>
            </w:pPr>
          </w:p>
        </w:tc>
        <w:tc>
          <w:tcPr>
            <w:tcW w:w="9080" w:type="dxa"/>
            <w:vAlign w:val="bottom"/>
            <w:gridSpan w:val="26"/>
            <w:vMerge w:val="restart"/>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80" w:type="dxa"/>
            <w:vAlign w:val="bottom"/>
            <w:gridSpan w:val="26"/>
            <w:vMerge w:val="continue"/>
          </w:tcPr>
          <w:p>
            <w:pPr>
              <w:spacing w:after="0"/>
              <w:rPr>
                <w:sz w:val="12"/>
                <w:szCs w:val="12"/>
                <w:color w:val="auto"/>
              </w:rPr>
            </w:pPr>
          </w:p>
        </w:tc>
        <w:tc>
          <w:tcPr>
            <w:tcW w:w="13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080" w:type="dxa"/>
            <w:vAlign w:val="bottom"/>
            <w:gridSpan w:val="26"/>
          </w:tcPr>
          <w:p>
            <w:pPr>
              <w:spacing w:after="0"/>
              <w:rPr>
                <w:sz w:val="20"/>
                <w:szCs w:val="20"/>
                <w:color w:val="auto"/>
              </w:rPr>
            </w:pPr>
            <w:r>
              <w:rPr>
                <w:rFonts w:ascii="Arial" w:cs="Arial" w:eastAsia="Arial" w:hAnsi="Arial"/>
                <w:sz w:val="14"/>
                <w:szCs w:val="14"/>
                <w:color w:val="0000FF"/>
              </w:rPr>
              <w:t>Consolidated Balance Sheets as of January 31, 2026 and 2025</w:t>
            </w:r>
          </w:p>
        </w:tc>
        <w:tc>
          <w:tcPr>
            <w:tcW w:w="1380" w:type="dxa"/>
            <w:vAlign w:val="bottom"/>
          </w:tcPr>
          <w:p>
            <w:pPr>
              <w:jc w:val="right"/>
              <w:spacing w:after="0"/>
              <w:rPr>
                <w:sz w:val="20"/>
                <w:szCs w:val="20"/>
                <w:color w:val="auto"/>
              </w:rPr>
            </w:pPr>
            <w:r>
              <w:rPr>
                <w:rFonts w:ascii="Arial" w:cs="Arial" w:eastAsia="Arial" w:hAnsi="Arial"/>
                <w:sz w:val="14"/>
                <w:szCs w:val="14"/>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Borders>
              <w:bottom w:val="single" w:sz="8" w:color="0000FF"/>
            </w:tcBorders>
            <w:gridSpan w:val="23"/>
          </w:tcPr>
          <w:p>
            <w:pPr>
              <w:spacing w:after="0"/>
              <w:rPr>
                <w:sz w:val="20"/>
                <w:szCs w:val="20"/>
                <w:color w:val="auto"/>
              </w:rPr>
            </w:pPr>
            <w:r>
              <w:rPr>
                <w:rFonts w:ascii="Arial" w:cs="Arial" w:eastAsia="Arial" w:hAnsi="Arial"/>
                <w:sz w:val="14"/>
                <w:szCs w:val="14"/>
                <w:color w:val="0000FF"/>
              </w:rPr>
              <w:t>Consolidated Statements of Operations for the Years ended January 31, 2026, 2025 and 2024</w:t>
            </w:r>
          </w:p>
        </w:tc>
        <w:tc>
          <w:tcPr>
            <w:tcW w:w="3180" w:type="dxa"/>
            <w:vAlign w:val="bottom"/>
            <w:gridSpan w:val="3"/>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80" w:type="dxa"/>
            <w:vAlign w:val="bottom"/>
            <w:gridSpan w:val="26"/>
          </w:tcPr>
          <w:p>
            <w:pPr>
              <w:spacing w:after="0"/>
              <w:rPr>
                <w:sz w:val="20"/>
                <w:szCs w:val="20"/>
                <w:color w:val="auto"/>
              </w:rPr>
            </w:pPr>
            <w:r>
              <w:rPr>
                <w:rFonts w:ascii="Arial" w:cs="Arial" w:eastAsia="Arial" w:hAnsi="Arial"/>
                <w:sz w:val="14"/>
                <w:szCs w:val="14"/>
                <w:color w:val="0000FF"/>
              </w:rPr>
              <w:t>Consolidated Statements of Changes in Stockholders’ Equity (Deficit) for the Years ended January 31, 2026, 2025 and 2024</w:t>
            </w:r>
          </w:p>
        </w:tc>
        <w:tc>
          <w:tcPr>
            <w:tcW w:w="1380" w:type="dxa"/>
            <w:vAlign w:val="bottom"/>
          </w:tcPr>
          <w:p>
            <w:pPr>
              <w:jc w:val="right"/>
              <w:spacing w:after="0"/>
              <w:rPr>
                <w:sz w:val="20"/>
                <w:szCs w:val="20"/>
                <w:color w:val="auto"/>
              </w:rPr>
            </w:pPr>
            <w:r>
              <w:rPr>
                <w:rFonts w:ascii="Arial" w:cs="Arial" w:eastAsia="Arial" w:hAnsi="Arial"/>
                <w:sz w:val="14"/>
                <w:szCs w:val="14"/>
                <w:color w:val="auto"/>
              </w:rPr>
              <w:t>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4"/>
                <w:szCs w:val="14"/>
                <w:color w:val="0000FF"/>
              </w:rPr>
              <w:t>Consolidated Statements of Cash Flows for the Years ended January 31, 2026, 2025, and 2024</w:t>
            </w:r>
          </w:p>
        </w:tc>
        <w:tc>
          <w:tcPr>
            <w:tcW w:w="1780" w:type="dxa"/>
            <w:vAlign w:val="bottom"/>
            <w:tcBorders>
              <w:top w:val="single" w:sz="8" w:color="0000FF"/>
            </w:tcBorders>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gridSpan w:val="26"/>
          </w:tcPr>
          <w:p>
            <w:pPr>
              <w:spacing w:after="0"/>
              <w:rPr>
                <w:sz w:val="20"/>
                <w:szCs w:val="20"/>
                <w:color w:val="auto"/>
              </w:rPr>
            </w:pPr>
            <w:r>
              <w:rPr>
                <w:rFonts w:ascii="Arial" w:cs="Arial" w:eastAsia="Arial" w:hAnsi="Arial"/>
                <w:sz w:val="14"/>
                <w:szCs w:val="14"/>
                <w:b w:val="1"/>
                <w:bCs w:val="1"/>
                <w:color w:val="auto"/>
              </w:rPr>
              <w:t>Notes to Consolidated Financial Statements</w:t>
            </w: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8260" w:type="dxa"/>
            <w:vAlign w:val="bottom"/>
            <w:gridSpan w:val="21"/>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8860" w:type="dxa"/>
            <w:vAlign w:val="bottom"/>
            <w:gridSpan w:val="24"/>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380" w:type="dxa"/>
            <w:vAlign w:val="bottom"/>
          </w:tcPr>
          <w:p>
            <w:pPr>
              <w:jc w:val="right"/>
              <w:spacing w:after="0"/>
              <w:rPr>
                <w:sz w:val="20"/>
                <w:szCs w:val="20"/>
                <w:color w:val="auto"/>
              </w:rPr>
            </w:pPr>
            <w:r>
              <w:rPr>
                <w:rFonts w:ascii="Arial" w:cs="Arial" w:eastAsia="Arial" w:hAnsi="Arial"/>
                <w:sz w:val="14"/>
                <w:szCs w:val="14"/>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4"/>
          </w:tcPr>
          <w:p>
            <w:pPr>
              <w:spacing w:after="0"/>
              <w:rPr>
                <w:sz w:val="13"/>
                <w:szCs w:val="13"/>
                <w:color w:val="auto"/>
              </w:rPr>
            </w:pPr>
          </w:p>
        </w:tc>
        <w:tc>
          <w:tcPr>
            <w:tcW w:w="6120" w:type="dxa"/>
            <w:vAlign w:val="bottom"/>
            <w:gridSpan w:val="8"/>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4.</w:t>
            </w:r>
          </w:p>
        </w:tc>
        <w:tc>
          <w:tcPr>
            <w:tcW w:w="8860" w:type="dxa"/>
            <w:vAlign w:val="bottom"/>
            <w:gridSpan w:val="24"/>
          </w:tcPr>
          <w:p>
            <w:pPr>
              <w:ind w:left="20"/>
              <w:spacing w:after="0"/>
              <w:rPr>
                <w:sz w:val="20"/>
                <w:szCs w:val="20"/>
                <w:color w:val="auto"/>
              </w:rPr>
            </w:pPr>
            <w:r>
              <w:rPr>
                <w:rFonts w:ascii="Arial" w:cs="Arial" w:eastAsia="Arial" w:hAnsi="Arial"/>
                <w:sz w:val="14"/>
                <w:szCs w:val="14"/>
                <w:color w:val="0000FF"/>
              </w:rPr>
              <w:t>Recapitalization Transactions</w:t>
            </w:r>
          </w:p>
        </w:tc>
        <w:tc>
          <w:tcPr>
            <w:tcW w:w="1380" w:type="dxa"/>
            <w:vAlign w:val="bottom"/>
          </w:tcPr>
          <w:p>
            <w:pPr>
              <w:jc w:val="right"/>
              <w:spacing w:after="0"/>
              <w:rPr>
                <w:sz w:val="20"/>
                <w:szCs w:val="20"/>
                <w:color w:val="auto"/>
              </w:rPr>
            </w:pPr>
            <w:r>
              <w:rPr>
                <w:rFonts w:ascii="Arial" w:cs="Arial" w:eastAsia="Arial" w:hAnsi="Arial"/>
                <w:sz w:val="14"/>
                <w:szCs w:val="14"/>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224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Restructuring and Related Charges</w:t>
            </w:r>
          </w:p>
        </w:tc>
        <w:tc>
          <w:tcPr>
            <w:tcW w:w="6620" w:type="dxa"/>
            <w:vAlign w:val="bottom"/>
            <w:gridSpan w:val="10"/>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760" w:type="dxa"/>
            <w:vAlign w:val="bottom"/>
            <w:tcBorders>
              <w:bottom w:val="single" w:sz="8" w:color="0000FF"/>
            </w:tcBorders>
            <w:gridSpan w:val="10"/>
          </w:tcPr>
          <w:p>
            <w:pPr>
              <w:ind w:left="20"/>
              <w:spacing w:after="0"/>
              <w:rPr>
                <w:sz w:val="20"/>
                <w:szCs w:val="20"/>
                <w:color w:val="auto"/>
              </w:rPr>
            </w:pPr>
            <w:r>
              <w:rPr>
                <w:rFonts w:ascii="Arial" w:cs="Arial" w:eastAsia="Arial" w:hAnsi="Arial"/>
                <w:sz w:val="14"/>
                <w:szCs w:val="14"/>
                <w:color w:val="0000FF"/>
                <w:w w:val="99"/>
              </w:rPr>
              <w:t>Leases- Lessee Accounting</w:t>
            </w:r>
          </w:p>
        </w:tc>
        <w:tc>
          <w:tcPr>
            <w:tcW w:w="7100" w:type="dxa"/>
            <w:vAlign w:val="bottom"/>
            <w:gridSpan w:val="14"/>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1260" w:type="dxa"/>
            <w:vAlign w:val="bottom"/>
            <w:tcBorders>
              <w:bottom w:val="single" w:sz="8" w:color="0000FF"/>
            </w:tcBorders>
            <w:gridSpan w:val="7"/>
          </w:tcPr>
          <w:p>
            <w:pPr>
              <w:ind w:left="20"/>
              <w:spacing w:after="0"/>
              <w:rPr>
                <w:sz w:val="20"/>
                <w:szCs w:val="20"/>
                <w:color w:val="auto"/>
              </w:rPr>
            </w:pPr>
            <w:r>
              <w:rPr>
                <w:rFonts w:ascii="Arial" w:cs="Arial" w:eastAsia="Arial" w:hAnsi="Arial"/>
                <w:sz w:val="14"/>
                <w:szCs w:val="14"/>
                <w:color w:val="0000FF"/>
                <w:w w:val="99"/>
              </w:rPr>
              <w:t>Rental Product, Net</w:t>
            </w:r>
          </w:p>
        </w:tc>
        <w:tc>
          <w:tcPr>
            <w:tcW w:w="7600" w:type="dxa"/>
            <w:vAlign w:val="bottom"/>
            <w:gridSpan w:val="17"/>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2060" w:type="dxa"/>
            <w:vAlign w:val="bottom"/>
            <w:tcBorders>
              <w:bottom w:val="single" w:sz="8" w:color="0000FF"/>
            </w:tcBorders>
            <w:gridSpan w:val="12"/>
          </w:tcPr>
          <w:p>
            <w:pPr>
              <w:ind w:left="20"/>
              <w:spacing w:after="0"/>
              <w:rPr>
                <w:sz w:val="20"/>
                <w:szCs w:val="20"/>
                <w:color w:val="auto"/>
              </w:rPr>
            </w:pPr>
            <w:r>
              <w:rPr>
                <w:rFonts w:ascii="Arial" w:cs="Arial" w:eastAsia="Arial" w:hAnsi="Arial"/>
                <w:sz w:val="14"/>
                <w:szCs w:val="14"/>
                <w:color w:val="0000FF"/>
              </w:rPr>
              <w:t>Fixed and Intangible Assets, Net</w:t>
            </w:r>
          </w:p>
        </w:tc>
        <w:tc>
          <w:tcPr>
            <w:tcW w:w="6800" w:type="dxa"/>
            <w:vAlign w:val="bottom"/>
            <w:gridSpan w:val="12"/>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104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w w:val="98"/>
              </w:rPr>
              <w:t>Long-Term Debt</w:t>
            </w:r>
          </w:p>
        </w:tc>
        <w:tc>
          <w:tcPr>
            <w:tcW w:w="7820" w:type="dxa"/>
            <w:vAlign w:val="bottom"/>
            <w:gridSpan w:val="18"/>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10.</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7880" w:type="dxa"/>
            <w:vAlign w:val="bottom"/>
            <w:gridSpan w:val="19"/>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0" w:type="dxa"/>
            <w:vAlign w:val="bottom"/>
            <w:gridSpan w:val="25"/>
          </w:tcPr>
          <w:p>
            <w:pPr>
              <w:spacing w:after="0"/>
              <w:rPr>
                <w:sz w:val="20"/>
                <w:szCs w:val="20"/>
                <w:color w:val="auto"/>
              </w:rPr>
            </w:pPr>
            <w:r>
              <w:rPr>
                <w:rFonts w:ascii="Arial" w:cs="Arial" w:eastAsia="Arial" w:hAnsi="Arial"/>
                <w:sz w:val="14"/>
                <w:szCs w:val="14"/>
                <w:color w:val="0000FF"/>
              </w:rPr>
              <w:t>11. Accrued Expenses and Other Current Liabilities</w:t>
            </w:r>
          </w:p>
        </w:tc>
        <w:tc>
          <w:tcPr>
            <w:tcW w:w="1380" w:type="dxa"/>
            <w:vAlign w:val="bottom"/>
          </w:tcPr>
          <w:p>
            <w:pPr>
              <w:jc w:val="right"/>
              <w:spacing w:after="0"/>
              <w:rPr>
                <w:sz w:val="20"/>
                <w:szCs w:val="20"/>
                <w:color w:val="auto"/>
              </w:rPr>
            </w:pPr>
            <w:r>
              <w:rPr>
                <w:rFonts w:ascii="Arial" w:cs="Arial" w:eastAsia="Arial" w:hAnsi="Arial"/>
                <w:sz w:val="14"/>
                <w:szCs w:val="14"/>
                <w:color w:val="auto"/>
              </w:rPr>
              <w:t>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2980" w:type="dxa"/>
            <w:vAlign w:val="bottom"/>
            <w:tcBorders>
              <w:top w:val="single" w:sz="8" w:color="0000FF"/>
            </w:tcBorders>
            <w:gridSpan w:val="16"/>
          </w:tcPr>
          <w:p>
            <w:pPr>
              <w:ind w:left="20"/>
              <w:spacing w:after="0"/>
              <w:rPr>
                <w:sz w:val="20"/>
                <w:szCs w:val="20"/>
                <w:color w:val="auto"/>
              </w:rPr>
            </w:pPr>
            <w:r>
              <w:rPr>
                <w:rFonts w:ascii="Arial" w:cs="Arial" w:eastAsia="Arial" w:hAnsi="Arial"/>
                <w:sz w:val="14"/>
                <w:szCs w:val="14"/>
                <w:color w:val="0000FF"/>
              </w:rPr>
              <w:t>Fair Value Measurements</w:t>
            </w:r>
          </w:p>
        </w:tc>
        <w:tc>
          <w:tcPr>
            <w:tcW w:w="5800" w:type="dxa"/>
            <w:vAlign w:val="bottom"/>
            <w:gridSpan w:val="7"/>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1620" w:type="dxa"/>
            <w:vAlign w:val="bottom"/>
            <w:tcBorders>
              <w:top w:val="single" w:sz="8" w:color="0000FF"/>
            </w:tcBorders>
            <w:gridSpan w:val="8"/>
          </w:tcPr>
          <w:p>
            <w:pPr>
              <w:ind w:left="20"/>
              <w:spacing w:after="0"/>
              <w:rPr>
                <w:sz w:val="20"/>
                <w:szCs w:val="20"/>
                <w:color w:val="auto"/>
              </w:rPr>
            </w:pPr>
            <w:r>
              <w:rPr>
                <w:rFonts w:ascii="Arial" w:cs="Arial" w:eastAsia="Arial" w:hAnsi="Arial"/>
                <w:sz w:val="14"/>
                <w:szCs w:val="14"/>
                <w:color w:val="0000FF"/>
              </w:rPr>
              <w:t>Stockholders’ Equity</w:t>
            </w:r>
          </w:p>
        </w:tc>
        <w:tc>
          <w:tcPr>
            <w:tcW w:w="7160" w:type="dxa"/>
            <w:vAlign w:val="bottom"/>
            <w:gridSpan w:val="15"/>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14.</w:t>
            </w:r>
          </w:p>
        </w:tc>
        <w:tc>
          <w:tcPr>
            <w:tcW w:w="218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Share-based Compensation Plans</w:t>
            </w:r>
          </w:p>
        </w:tc>
        <w:tc>
          <w:tcPr>
            <w:tcW w:w="6600" w:type="dxa"/>
            <w:vAlign w:val="bottom"/>
            <w:gridSpan w:val="9"/>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4220" w:type="dxa"/>
            <w:vAlign w:val="bottom"/>
            <w:tcBorders>
              <w:bottom w:val="single" w:sz="8" w:color="0000FF"/>
            </w:tcBorders>
            <w:gridSpan w:val="19"/>
          </w:tcPr>
          <w:p>
            <w:pPr>
              <w:ind w:left="20"/>
              <w:spacing w:after="0"/>
              <w:rPr>
                <w:sz w:val="20"/>
                <w:szCs w:val="20"/>
                <w:color w:val="auto"/>
              </w:rPr>
            </w:pPr>
            <w:r>
              <w:rPr>
                <w:rFonts w:ascii="Arial" w:cs="Arial" w:eastAsia="Arial" w:hAnsi="Arial"/>
                <w:sz w:val="14"/>
                <w:szCs w:val="14"/>
                <w:color w:val="0000FF"/>
              </w:rPr>
              <w:t>Net Income (Loss) per Share Attributable to Common Stockholders</w:t>
            </w:r>
          </w:p>
        </w:tc>
        <w:tc>
          <w:tcPr>
            <w:tcW w:w="4560" w:type="dxa"/>
            <w:vAlign w:val="bottom"/>
            <w:gridSpan w:val="4"/>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16.</w:t>
            </w:r>
          </w:p>
        </w:tc>
        <w:tc>
          <w:tcPr>
            <w:tcW w:w="1780" w:type="dxa"/>
            <w:vAlign w:val="bottom"/>
            <w:tcBorders>
              <w:bottom w:val="single" w:sz="8" w:color="0000FF"/>
            </w:tcBorders>
            <w:gridSpan w:val="10"/>
          </w:tcPr>
          <w:p>
            <w:pPr>
              <w:ind w:left="20"/>
              <w:spacing w:after="0"/>
              <w:rPr>
                <w:sz w:val="20"/>
                <w:szCs w:val="20"/>
                <w:color w:val="auto"/>
              </w:rPr>
            </w:pPr>
            <w:r>
              <w:rPr>
                <w:rFonts w:ascii="Arial" w:cs="Arial" w:eastAsia="Arial" w:hAnsi="Arial"/>
                <w:sz w:val="14"/>
                <w:szCs w:val="14"/>
                <w:color w:val="0000FF"/>
              </w:rPr>
              <w:t>Related Party Transactions</w:t>
            </w:r>
          </w:p>
        </w:tc>
        <w:tc>
          <w:tcPr>
            <w:tcW w:w="7000" w:type="dxa"/>
            <w:vAlign w:val="bottom"/>
            <w:gridSpan w:val="13"/>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17.</w:t>
            </w:r>
          </w:p>
        </w:tc>
        <w:tc>
          <w:tcPr>
            <w:tcW w:w="8780" w:type="dxa"/>
            <w:vAlign w:val="bottom"/>
            <w:gridSpan w:val="23"/>
          </w:tcPr>
          <w:p>
            <w:pPr>
              <w:ind w:left="20"/>
              <w:spacing w:after="0"/>
              <w:rPr>
                <w:sz w:val="20"/>
                <w:szCs w:val="20"/>
                <w:color w:val="auto"/>
              </w:rPr>
            </w:pPr>
            <w:r>
              <w:rPr>
                <w:rFonts w:ascii="Arial" w:cs="Arial" w:eastAsia="Arial" w:hAnsi="Arial"/>
                <w:sz w:val="14"/>
                <w:szCs w:val="14"/>
                <w:color w:val="0000FF"/>
              </w:rPr>
              <w:t>Commitments and Contingencies</w:t>
            </w:r>
          </w:p>
        </w:tc>
        <w:tc>
          <w:tcPr>
            <w:tcW w:w="1380" w:type="dxa"/>
            <w:vAlign w:val="bottom"/>
          </w:tcPr>
          <w:p>
            <w:pPr>
              <w:jc w:val="right"/>
              <w:spacing w:after="0"/>
              <w:rPr>
                <w:sz w:val="20"/>
                <w:szCs w:val="20"/>
                <w:color w:val="auto"/>
              </w:rPr>
            </w:pPr>
            <w:r>
              <w:rPr>
                <w:rFonts w:ascii="Arial" w:cs="Arial" w:eastAsia="Arial" w:hAnsi="Arial"/>
                <w:sz w:val="14"/>
                <w:szCs w:val="14"/>
                <w:color w:val="auto"/>
              </w:rPr>
              <w:t>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18.</w:t>
            </w:r>
          </w:p>
        </w:tc>
        <w:tc>
          <w:tcPr>
            <w:tcW w:w="2100" w:type="dxa"/>
            <w:vAlign w:val="bottom"/>
            <w:tcBorders>
              <w:top w:val="single" w:sz="8" w:color="0000FF"/>
            </w:tcBorders>
            <w:gridSpan w:val="12"/>
          </w:tcPr>
          <w:p>
            <w:pPr>
              <w:ind w:left="20"/>
              <w:spacing w:after="0"/>
              <w:rPr>
                <w:sz w:val="20"/>
                <w:szCs w:val="20"/>
                <w:color w:val="auto"/>
              </w:rPr>
            </w:pPr>
            <w:r>
              <w:rPr>
                <w:rFonts w:ascii="Arial" w:cs="Arial" w:eastAsia="Arial" w:hAnsi="Arial"/>
                <w:sz w:val="14"/>
                <w:szCs w:val="14"/>
                <w:color w:val="0000FF"/>
              </w:rPr>
              <w:t>Subsequent Events</w:t>
            </w:r>
          </w:p>
        </w:tc>
        <w:tc>
          <w:tcPr>
            <w:tcW w:w="6680" w:type="dxa"/>
            <w:vAlign w:val="bottom"/>
            <w:gridSpan w:val="11"/>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gridSpan w:val="7"/>
          </w:tcPr>
          <w:p>
            <w:pPr>
              <w:spacing w:after="0"/>
              <w:rPr>
                <w:sz w:val="24"/>
                <w:szCs w:val="24"/>
                <w:color w:val="auto"/>
              </w:rPr>
            </w:pPr>
          </w:p>
        </w:tc>
        <w:tc>
          <w:tcPr>
            <w:tcW w:w="4300" w:type="dxa"/>
            <w:vAlign w:val="bottom"/>
            <w:gridSpan w:val="13"/>
          </w:tcPr>
          <w:p>
            <w:pPr>
              <w:jc w:val="right"/>
              <w:ind w:right="200"/>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Rent the Runway, Inc.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have audited the accompanying consolidated balance sheets of Rent the Runway, Inc. and its subsidiary (the “Company”) as of January 31, 2026 and 2025, and the related consolidated statements of operations, of changes in stockholders' equity (deficit) and of cash flows for each of the three years in the period ended January 31, 2026, including the related notes (collectively referred to as the "consolidated financial statements"). In our opinion, the consolidated financial statements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98" w:lineRule="exact"/>
        <w:rPr>
          <w:sz w:val="20"/>
          <w:szCs w:val="20"/>
          <w:color w:val="auto"/>
        </w:rPr>
      </w:pPr>
    </w:p>
    <w:p>
      <w:pPr>
        <w:jc w:val="both"/>
        <w:ind w:right="80"/>
        <w:spacing w:after="0" w:line="254"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Emphasis of Matter</w:t>
      </w:r>
    </w:p>
    <w:p>
      <w:pPr>
        <w:spacing w:after="0" w:line="187" w:lineRule="exact"/>
        <w:rPr>
          <w:sz w:val="20"/>
          <w:szCs w:val="20"/>
          <w:color w:val="auto"/>
        </w:rPr>
      </w:pPr>
    </w:p>
    <w:p>
      <w:pPr>
        <w:ind w:right="340"/>
        <w:spacing w:after="0" w:line="274" w:lineRule="auto"/>
        <w:rPr>
          <w:sz w:val="20"/>
          <w:szCs w:val="20"/>
          <w:color w:val="auto"/>
        </w:rPr>
      </w:pPr>
      <w:r>
        <w:rPr>
          <w:rFonts w:ascii="Arial" w:cs="Arial" w:eastAsia="Arial" w:hAnsi="Arial"/>
          <w:sz w:val="14"/>
          <w:szCs w:val="14"/>
          <w:color w:val="auto"/>
        </w:rPr>
        <w:t>As discussed in Note 3 to the consolidated financial statements, the Company has incurred recurring net operating losses since inception and has an accumulated deficit as of January 31, 2026. Management’s evaluation of the events and conditions and plans to mitigate these matters are described in Note 3.</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April 14, 2026</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220" w:type="dxa"/>
            <w:vAlign w:val="bottom"/>
          </w:tcPr>
          <w:p>
            <w:pPr>
              <w:jc w:val="right"/>
              <w:ind w:right="36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2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1"/>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26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76"/>
        </w:trPr>
        <w:tc>
          <w:tcPr>
            <w:tcW w:w="820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26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93.9</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26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86.0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77"/>
        </w:trPr>
        <w:tc>
          <w:tcPr>
            <w:tcW w:w="820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26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84"/>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99"/>
        </w:trPr>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221.0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240.0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4"/>
                <w:szCs w:val="14"/>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72"/>
        </w:trPr>
        <w:tc>
          <w:tcPr>
            <w:tcW w:w="820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26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and gift card liabilities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72"/>
        </w:trPr>
        <w:tc>
          <w:tcPr>
            <w:tcW w:w="820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26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156.6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333.7</w:t>
            </w: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17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257.1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52"/>
        </w:trPr>
        <w:tc>
          <w:tcPr>
            <w:tcW w:w="8200" w:type="dxa"/>
            <w:vAlign w:val="bottom"/>
          </w:tcPr>
          <w:p>
            <w:pPr>
              <w:ind w:left="20"/>
              <w:spacing w:after="0"/>
              <w:rPr>
                <w:sz w:val="20"/>
                <w:szCs w:val="20"/>
                <w:color w:val="auto"/>
              </w:rPr>
            </w:pPr>
            <w:r>
              <w:rPr>
                <w:rFonts w:ascii="Arial" w:cs="Arial" w:eastAsia="Arial" w:hAnsi="Arial"/>
                <w:sz w:val="11"/>
                <w:szCs w:val="11"/>
                <w:color w:val="auto"/>
              </w:rPr>
              <w:t>Commitments and Contingencies (Note 17)</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20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January 31, 2026 and 2025; 33,390,904 and 3,761,469 shares issued and</w:t>
            </w:r>
          </w:p>
        </w:tc>
        <w:tc>
          <w:tcPr>
            <w:tcW w:w="260" w:type="dxa"/>
            <w:vAlign w:val="bottom"/>
          </w:tcPr>
          <w:p>
            <w:pPr>
              <w:spacing w:after="0"/>
              <w:rPr>
                <w:sz w:val="10"/>
                <w:szCs w:val="10"/>
                <w:color w:val="auto"/>
              </w:rPr>
            </w:pPr>
          </w:p>
        </w:tc>
        <w:tc>
          <w:tcPr>
            <w:tcW w:w="13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220" w:type="dxa"/>
            <w:vAlign w:val="bottom"/>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tcPr>
          <w:p>
            <w:pPr>
              <w:ind w:left="400"/>
              <w:spacing w:after="0"/>
              <w:rPr>
                <w:sz w:val="20"/>
                <w:szCs w:val="20"/>
                <w:color w:val="auto"/>
              </w:rPr>
            </w:pPr>
            <w:r>
              <w:rPr>
                <w:rFonts w:ascii="Arial" w:cs="Arial" w:eastAsia="Arial" w:hAnsi="Arial"/>
                <w:sz w:val="11"/>
                <w:szCs w:val="11"/>
                <w:color w:val="auto"/>
              </w:rPr>
              <w:t>outstanding as of January 31, 2026 and 2025, respectively</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shd w:val="clear" w:color="auto" w:fill="CCEEFF"/>
          </w:tcPr>
          <w:p>
            <w:pPr>
              <w:ind w:left="280"/>
              <w:spacing w:after="0" w:line="121" w:lineRule="exact"/>
              <w:rPr>
                <w:sz w:val="20"/>
                <w:szCs w:val="20"/>
                <w:color w:val="auto"/>
              </w:rPr>
            </w:pPr>
            <w:r>
              <w:rPr>
                <w:rFonts w:ascii="Arial" w:cs="Arial" w:eastAsia="Arial" w:hAnsi="Arial"/>
                <w:sz w:val="11"/>
                <w:szCs w:val="11"/>
                <w:color w:val="auto"/>
              </w:rPr>
              <w:t>Class B common stock, $0.001 par value; 50,000,000 shares authorized as of January 31, 2026 and 2025; 0 and 155,463 shares issued and outstanding as</w:t>
            </w:r>
          </w:p>
        </w:tc>
        <w:tc>
          <w:tcPr>
            <w:tcW w:w="26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of January 31, 2026 and 2025, respectively</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00" w:type="dxa"/>
            <w:vAlign w:val="bottom"/>
          </w:tcPr>
          <w:p>
            <w:pPr>
              <w:ind w:left="280"/>
              <w:spacing w:after="0" w:line="121" w:lineRule="exact"/>
              <w:rPr>
                <w:sz w:val="20"/>
                <w:szCs w:val="20"/>
                <w:color w:val="auto"/>
              </w:rPr>
            </w:pPr>
            <w:r>
              <w:rPr>
                <w:rFonts w:ascii="Arial" w:cs="Arial" w:eastAsia="Arial" w:hAnsi="Arial"/>
                <w:sz w:val="11"/>
                <w:szCs w:val="11"/>
                <w:color w:val="auto"/>
              </w:rPr>
              <w:t>Preferred stock, $0.001 par value; 10,000,000 shares authorized as of January 31, 2026 and 2025; 0 shares issued and outstanding as of January 31, 2026</w:t>
            </w:r>
          </w:p>
        </w:tc>
        <w:tc>
          <w:tcPr>
            <w:tcW w:w="260" w:type="dxa"/>
            <w:vAlign w:val="bottom"/>
          </w:tcPr>
          <w:p>
            <w:pPr>
              <w:spacing w:after="0"/>
              <w:rPr>
                <w:sz w:val="10"/>
                <w:szCs w:val="10"/>
                <w:color w:val="auto"/>
              </w:rPr>
            </w:pPr>
          </w:p>
        </w:tc>
        <w:tc>
          <w:tcPr>
            <w:tcW w:w="13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220" w:type="dxa"/>
            <w:vAlign w:val="bottom"/>
          </w:tcPr>
          <w:p>
            <w:pPr>
              <w:jc w:val="right"/>
              <w:ind w:right="3"/>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200" w:type="dxa"/>
            <w:vAlign w:val="bottom"/>
          </w:tcPr>
          <w:p>
            <w:pPr>
              <w:ind w:left="400"/>
              <w:spacing w:after="0"/>
              <w:rPr>
                <w:sz w:val="20"/>
                <w:szCs w:val="20"/>
                <w:color w:val="auto"/>
              </w:rPr>
            </w:pPr>
            <w:r>
              <w:rPr>
                <w:rFonts w:ascii="Arial" w:cs="Arial" w:eastAsia="Arial" w:hAnsi="Arial"/>
                <w:sz w:val="11"/>
                <w:szCs w:val="11"/>
                <w:color w:val="auto"/>
              </w:rPr>
              <w:t>and 2025</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Additional paid-in capital</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940.5</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Accumulated deficit</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(1,100.4)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(1,123.0)</w:t>
            </w: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221.0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240.0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Years Ended January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98"/>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286.0</w:t>
            </w:r>
          </w:p>
        </w:tc>
        <w:tc>
          <w:tcPr>
            <w:tcW w:w="80" w:type="dxa"/>
            <w:vAlign w:val="bottom"/>
          </w:tcPr>
          <w:p>
            <w:pPr>
              <w:spacing w:after="0"/>
              <w:rPr>
                <w:sz w:val="18"/>
                <w:szCs w:val="18"/>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265.5</w:t>
            </w:r>
          </w:p>
        </w:tc>
        <w:tc>
          <w:tcPr>
            <w:tcW w:w="8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revenue, net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2"/>
        </w:trPr>
        <w:tc>
          <w:tcPr>
            <w:tcW w:w="662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asset impairment related to restructuring</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387.3</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353.7</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2"/>
        </w:trPr>
        <w:tc>
          <w:tcPr>
            <w:tcW w:w="6620" w:type="dxa"/>
            <w:vAlign w:val="bottom"/>
          </w:tcPr>
          <w:p>
            <w:pPr>
              <w:ind w:left="20"/>
              <w:spacing w:after="0"/>
              <w:rPr>
                <w:sz w:val="20"/>
                <w:szCs w:val="20"/>
                <w:color w:val="auto"/>
              </w:rPr>
            </w:pPr>
            <w:r>
              <w:rPr>
                <w:rFonts w:ascii="Arial" w:cs="Arial" w:eastAsia="Arial" w:hAnsi="Arial"/>
                <w:sz w:val="14"/>
                <w:szCs w:val="14"/>
                <w:color w:val="auto"/>
              </w:rPr>
              <w:t>Gain on Debt Restructuring</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 (expense), net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income (loss) before income tax benefit /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 (expense)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5"/>
        </w:trPr>
        <w:tc>
          <w:tcPr>
            <w:tcW w:w="6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attributable to common stockholders,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Weighted-average shares used in computing net income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6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11,961,285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3,967,937</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3,591,538</w:t>
            </w:r>
          </w:p>
        </w:tc>
        <w:tc>
          <w:tcPr>
            <w:tcW w:w="0" w:type="dxa"/>
            <w:vAlign w:val="bottom"/>
          </w:tcPr>
          <w:p>
            <w:pPr>
              <w:spacing w:after="0"/>
              <w:rPr>
                <w:sz w:val="1"/>
                <w:szCs w:val="1"/>
                <w:color w:val="auto"/>
              </w:rPr>
            </w:pPr>
          </w:p>
        </w:tc>
      </w:tr>
      <w:tr>
        <w:trPr>
          <w:trHeight w:val="184"/>
        </w:trPr>
        <w:tc>
          <w:tcPr>
            <w:tcW w:w="6620" w:type="dxa"/>
            <w:vAlign w:val="bottom"/>
          </w:tcPr>
          <w:p>
            <w:pPr>
              <w:ind w:left="140"/>
              <w:spacing w:after="0"/>
              <w:rPr>
                <w:sz w:val="20"/>
                <w:szCs w:val="20"/>
                <w:color w:val="auto"/>
              </w:rPr>
            </w:pPr>
            <w:r>
              <w:rPr>
                <w:rFonts w:ascii="Arial" w:cs="Arial" w:eastAsia="Arial" w:hAnsi="Arial"/>
                <w:sz w:val="14"/>
                <w:szCs w:val="14"/>
                <w:color w:val="auto"/>
              </w:rPr>
              <w:t>stockholders, basic</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Weighted-average shares used in computing net income (loss) per share attributable to common</w:t>
            </w: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11,997,493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3,967,937</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3,591,538</w:t>
            </w:r>
          </w:p>
        </w:tc>
        <w:tc>
          <w:tcPr>
            <w:tcW w:w="0" w:type="dxa"/>
            <w:vAlign w:val="bottom"/>
          </w:tcPr>
          <w:p>
            <w:pPr>
              <w:spacing w:after="0"/>
              <w:rPr>
                <w:sz w:val="1"/>
                <w:szCs w:val="1"/>
                <w:color w:val="auto"/>
              </w:rPr>
            </w:pPr>
          </w:p>
        </w:tc>
      </w:tr>
      <w:tr>
        <w:trPr>
          <w:trHeight w:val="204"/>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stockholders, diluted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2020" w:type="dxa"/>
            <w:vAlign w:val="bottom"/>
            <w:gridSpan w:val="4"/>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20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110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0"/>
                <w:szCs w:val="10"/>
                <w:color w:val="auto"/>
              </w:rPr>
            </w:pPr>
          </w:p>
        </w:tc>
        <w:tc>
          <w:tcPr>
            <w:tcW w:w="1180" w:type="dxa"/>
            <w:vAlign w:val="bottom"/>
          </w:tcPr>
          <w:p>
            <w:pPr>
              <w:jc w:val="center"/>
              <w:ind w:right="77"/>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0"/>
        </w:trPr>
        <w:tc>
          <w:tcPr>
            <w:tcW w:w="55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6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3,251,138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040" w:type="dxa"/>
            <w:vAlign w:val="bottom"/>
          </w:tcPr>
          <w:p>
            <w:pPr>
              <w:jc w:val="right"/>
              <w:spacing w:after="0"/>
              <w:rPr>
                <w:sz w:val="20"/>
                <w:szCs w:val="20"/>
                <w:color w:val="auto"/>
              </w:rPr>
            </w:pPr>
            <w:r>
              <w:rPr>
                <w:rFonts w:ascii="Arial" w:cs="Arial" w:eastAsia="Arial" w:hAnsi="Arial"/>
                <w:sz w:val="13"/>
                <w:szCs w:val="13"/>
                <w:color w:val="auto"/>
              </w:rPr>
              <w:t>294,377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62"/>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3,545,515</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930.8</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(1,053.1)</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0" w:type="dxa"/>
            <w:vAlign w:val="bottom"/>
          </w:tcPr>
          <w:p>
            <w:pPr>
              <w:spacing w:after="0"/>
              <w:rPr>
                <w:sz w:val="1"/>
                <w:szCs w:val="1"/>
                <w:color w:val="auto"/>
              </w:rPr>
            </w:pPr>
          </w:p>
        </w:tc>
      </w:tr>
      <w:tr>
        <w:trPr>
          <w:trHeight w:val="159"/>
        </w:trPr>
        <w:tc>
          <w:tcPr>
            <w:tcW w:w="5560" w:type="dxa"/>
            <w:vAlign w:val="bottom"/>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040" w:type="dxa"/>
            <w:vAlign w:val="bottom"/>
          </w:tcPr>
          <w:p>
            <w:pPr>
              <w:jc w:val="right"/>
              <w:spacing w:after="0"/>
              <w:rPr>
                <w:sz w:val="20"/>
                <w:szCs w:val="20"/>
                <w:color w:val="auto"/>
              </w:rPr>
            </w:pPr>
            <w:r>
              <w:rPr>
                <w:rFonts w:ascii="Arial" w:cs="Arial" w:eastAsia="Arial" w:hAnsi="Arial"/>
                <w:sz w:val="13"/>
                <w:szCs w:val="13"/>
                <w:color w:val="auto"/>
              </w:rPr>
              <w:t>371,417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62"/>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3,916,932</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940.5</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(1,123.0)</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(182.5)</w:t>
            </w:r>
          </w:p>
        </w:tc>
        <w:tc>
          <w:tcPr>
            <w:tcW w:w="0" w:type="dxa"/>
            <w:vAlign w:val="bottom"/>
          </w:tcPr>
          <w:p>
            <w:pPr>
              <w:spacing w:after="0"/>
              <w:rPr>
                <w:sz w:val="1"/>
                <w:szCs w:val="1"/>
                <w:color w:val="auto"/>
              </w:rPr>
            </w:pPr>
          </w:p>
        </w:tc>
      </w:tr>
      <w:tr>
        <w:trPr>
          <w:trHeight w:val="159"/>
        </w:trPr>
        <w:tc>
          <w:tcPr>
            <w:tcW w:w="5560" w:type="dxa"/>
            <w:vAlign w:val="bottom"/>
          </w:tcPr>
          <w:p>
            <w:pPr>
              <w:ind w:left="280"/>
              <w:spacing w:after="0"/>
              <w:rPr>
                <w:sz w:val="20"/>
                <w:szCs w:val="20"/>
                <w:color w:val="auto"/>
              </w:rPr>
            </w:pPr>
            <w:r>
              <w:rPr>
                <w:rFonts w:ascii="Arial" w:cs="Arial" w:eastAsia="Arial" w:hAnsi="Arial"/>
                <w:sz w:val="13"/>
                <w:szCs w:val="13"/>
                <w:color w:val="auto"/>
              </w:rPr>
              <w:t>Stock issued under stock incentive plan</w:t>
            </w:r>
          </w:p>
        </w:tc>
        <w:tc>
          <w:tcPr>
            <w:tcW w:w="1040" w:type="dxa"/>
            <w:vAlign w:val="bottom"/>
          </w:tcPr>
          <w:p>
            <w:pPr>
              <w:jc w:val="right"/>
              <w:spacing w:after="0"/>
              <w:rPr>
                <w:sz w:val="20"/>
                <w:szCs w:val="20"/>
                <w:color w:val="auto"/>
              </w:rPr>
            </w:pPr>
            <w:r>
              <w:rPr>
                <w:rFonts w:ascii="Arial" w:cs="Arial" w:eastAsia="Arial" w:hAnsi="Arial"/>
                <w:sz w:val="13"/>
                <w:szCs w:val="13"/>
                <w:color w:val="auto"/>
              </w:rPr>
              <w:t>235,054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 issued related to debt-for-equity exchange, net of issuance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26,175,193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69"/>
        </w:trPr>
        <w:tc>
          <w:tcPr>
            <w:tcW w:w="5560" w:type="dxa"/>
            <w:vAlign w:val="bottom"/>
          </w:tcPr>
          <w:p>
            <w:pPr>
              <w:ind w:left="280"/>
              <w:spacing w:after="0"/>
              <w:rPr>
                <w:sz w:val="20"/>
                <w:szCs w:val="20"/>
                <w:color w:val="auto"/>
              </w:rPr>
            </w:pPr>
            <w:r>
              <w:rPr>
                <w:rFonts w:ascii="Arial" w:cs="Arial" w:eastAsia="Arial" w:hAnsi="Arial"/>
                <w:sz w:val="13"/>
                <w:szCs w:val="13"/>
                <w:color w:val="auto"/>
              </w:rPr>
              <w:t>Stock issued related to the rights offering, net of issuance costs</w:t>
            </w:r>
          </w:p>
        </w:tc>
        <w:tc>
          <w:tcPr>
            <w:tcW w:w="1040" w:type="dxa"/>
            <w:vAlign w:val="bottom"/>
          </w:tcPr>
          <w:p>
            <w:pPr>
              <w:jc w:val="right"/>
              <w:spacing w:after="0"/>
              <w:rPr>
                <w:sz w:val="20"/>
                <w:szCs w:val="20"/>
                <w:color w:val="auto"/>
              </w:rPr>
            </w:pPr>
            <w:r>
              <w:rPr>
                <w:rFonts w:ascii="Arial" w:cs="Arial" w:eastAsia="Arial" w:hAnsi="Arial"/>
                <w:sz w:val="13"/>
                <w:szCs w:val="13"/>
                <w:color w:val="auto"/>
              </w:rPr>
              <w:t>3,063,725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71"/>
        </w:trPr>
        <w:tc>
          <w:tcPr>
            <w:tcW w:w="5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income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33,390,904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Years Ended January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78"/>
        </w:trPr>
        <w:tc>
          <w:tcPr>
            <w:tcW w:w="67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2026</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2024</w:t>
            </w:r>
          </w:p>
        </w:tc>
      </w:tr>
      <w:tr>
        <w:trPr>
          <w:trHeight w:val="175"/>
        </w:trPr>
        <w:tc>
          <w:tcPr>
            <w:tcW w:w="6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6780" w:type="dxa"/>
            <w:vAlign w:val="bottom"/>
          </w:tcPr>
          <w:p>
            <w:pPr>
              <w:spacing w:after="0"/>
              <w:rPr>
                <w:sz w:val="20"/>
                <w:szCs w:val="20"/>
                <w:color w:val="auto"/>
              </w:rPr>
            </w:pPr>
            <w:r>
              <w:rPr>
                <w:rFonts w:ascii="Arial" w:cs="Arial" w:eastAsia="Arial" w:hAnsi="Arial"/>
                <w:sz w:val="13"/>
                <w:szCs w:val="13"/>
                <w:color w:val="auto"/>
              </w:rPr>
              <w:t>Net income (loss)</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22.6</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(69.9)</w:t>
            </w:r>
          </w:p>
        </w:tc>
        <w:tc>
          <w:tcPr>
            <w:tcW w:w="80" w:type="dxa"/>
            <w:vAlign w:val="bottom"/>
          </w:tcPr>
          <w:p>
            <w:pPr>
              <w:spacing w:after="0"/>
              <w:rPr>
                <w:sz w:val="16"/>
                <w:szCs w:val="16"/>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(113.2)</w:t>
            </w:r>
          </w:p>
        </w:tc>
      </w:tr>
      <w:tr>
        <w:trPr>
          <w:trHeight w:val="198"/>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(loss) to net cash (used in) provided by operating activities: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Rental product depreciation and write-offs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44.0</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Write-off of rental product sold</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Other depreciation and amortization</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14.7</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from write-off of fixed and intangible assets and lease termination</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Loss on asset impairment related to restructuring</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rental product sold</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(Gain) / loss from liquidation of rental product</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on Debt Restructuring</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Accrual of paid-in-kind interest</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22.5</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(premium) discount</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84"/>
        </w:trPr>
        <w:tc>
          <w:tcPr>
            <w:tcW w:w="6780" w:type="dxa"/>
            <w:vAlign w:val="bottom"/>
          </w:tcPr>
          <w:p>
            <w:pPr>
              <w:ind w:left="260"/>
              <w:spacing w:after="0"/>
              <w:rPr>
                <w:sz w:val="20"/>
                <w:szCs w:val="20"/>
                <w:color w:val="auto"/>
              </w:rPr>
            </w:pPr>
            <w:r>
              <w:rPr>
                <w:rFonts w:ascii="Arial" w:cs="Arial" w:eastAsia="Arial" w:hAnsi="Arial"/>
                <w:sz w:val="13"/>
                <w:szCs w:val="13"/>
                <w:color w:val="auto"/>
              </w:rPr>
              <w:t>Share-based compensation expense</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26.2</w:t>
            </w:r>
          </w:p>
        </w:tc>
      </w:tr>
      <w:tr>
        <w:trPr>
          <w:trHeight w:val="198"/>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6780" w:type="dxa"/>
            <w:vAlign w:val="bottom"/>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98"/>
        </w:trPr>
        <w:tc>
          <w:tcPr>
            <w:tcW w:w="67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right-of-use assets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84"/>
        </w:trPr>
        <w:tc>
          <w:tcPr>
            <w:tcW w:w="6780" w:type="dxa"/>
            <w:vAlign w:val="bottom"/>
          </w:tcPr>
          <w:p>
            <w:pPr>
              <w:ind w:left="520"/>
              <w:spacing w:after="0"/>
              <w:rPr>
                <w:sz w:val="20"/>
                <w:szCs w:val="20"/>
                <w:color w:val="auto"/>
              </w:rPr>
            </w:pPr>
            <w:r>
              <w:rPr>
                <w:rFonts w:ascii="Arial" w:cs="Arial" w:eastAsia="Arial" w:hAnsi="Arial"/>
                <w:sz w:val="13"/>
                <w:szCs w:val="13"/>
                <w:color w:val="auto"/>
              </w:rPr>
              <w:t>Other assets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8"/>
        </w:trPr>
        <w:tc>
          <w:tcPr>
            <w:tcW w:w="67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84"/>
        </w:trPr>
        <w:tc>
          <w:tcPr>
            <w:tcW w:w="6780" w:type="dxa"/>
            <w:vAlign w:val="bottom"/>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8"/>
        </w:trPr>
        <w:tc>
          <w:tcPr>
            <w:tcW w:w="67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liabilities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84"/>
        </w:trPr>
        <w:tc>
          <w:tcPr>
            <w:tcW w:w="67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liabilities</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r>
      <w:tr>
        <w:trPr>
          <w:trHeight w:val="178"/>
        </w:trPr>
        <w:tc>
          <w:tcPr>
            <w:tcW w:w="6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Net cash (used in) provided by operating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67"/>
        </w:trPr>
        <w:tc>
          <w:tcPr>
            <w:tcW w:w="678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Purchases of rental product</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r>
      <w:tr>
        <w:trPr>
          <w:trHeight w:val="184"/>
        </w:trPr>
        <w:tc>
          <w:tcPr>
            <w:tcW w:w="6780" w:type="dxa"/>
            <w:vAlign w:val="bottom"/>
          </w:tcPr>
          <w:p>
            <w:pPr>
              <w:spacing w:after="0"/>
              <w:rPr>
                <w:sz w:val="20"/>
                <w:szCs w:val="20"/>
                <w:color w:val="auto"/>
              </w:rPr>
            </w:pPr>
            <w:r>
              <w:rPr>
                <w:rFonts w:ascii="Arial" w:cs="Arial" w:eastAsia="Arial" w:hAnsi="Arial"/>
                <w:sz w:val="13"/>
                <w:szCs w:val="13"/>
                <w:color w:val="auto"/>
              </w:rPr>
              <w:t>Proceeds from liquidation of rental product</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98"/>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 of rental product</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84"/>
        </w:trPr>
        <w:tc>
          <w:tcPr>
            <w:tcW w:w="6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Purchases of fixed and intangible assets</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178"/>
        </w:trPr>
        <w:tc>
          <w:tcPr>
            <w:tcW w:w="6780" w:type="dxa"/>
            <w:vAlign w:val="bottom"/>
            <w:shd w:val="clear" w:color="auto" w:fill="CCEEFF"/>
          </w:tcPr>
          <w:p>
            <w:pPr>
              <w:ind w:left="760"/>
              <w:spacing w:after="0"/>
              <w:rPr>
                <w:sz w:val="20"/>
                <w:szCs w:val="20"/>
                <w:color w:val="auto"/>
              </w:rPr>
            </w:pPr>
            <w:r>
              <w:rPr>
                <w:rFonts w:ascii="Arial" w:cs="Arial" w:eastAsia="Arial" w:hAnsi="Arial"/>
                <w:sz w:val="13"/>
                <w:szCs w:val="13"/>
                <w:color w:val="auto"/>
              </w:rPr>
              <w:t>Net cash (used in) provided by investing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r>
      <w:tr>
        <w:trPr>
          <w:trHeight w:val="150"/>
        </w:trPr>
        <w:tc>
          <w:tcPr>
            <w:tcW w:w="678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issuance of common stock</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80" w:type="dxa"/>
            <w:vAlign w:val="bottom"/>
          </w:tcPr>
          <w:p>
            <w:pPr>
              <w:spacing w:after="0"/>
              <w:rPr>
                <w:sz w:val="20"/>
                <w:szCs w:val="20"/>
                <w:color w:val="auto"/>
              </w:rPr>
            </w:pPr>
            <w:r>
              <w:rPr>
                <w:rFonts w:ascii="Arial" w:cs="Arial" w:eastAsia="Arial" w:hAnsi="Arial"/>
                <w:sz w:val="13"/>
                <w:szCs w:val="13"/>
                <w:color w:val="auto"/>
              </w:rPr>
              <w:t>Proceeds from long-term debt</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Debt restructuring costs paid</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80" w:type="dxa"/>
            <w:vAlign w:val="bottom"/>
          </w:tcPr>
          <w:p>
            <w:pPr>
              <w:spacing w:after="0"/>
              <w:rPr>
                <w:sz w:val="20"/>
                <w:szCs w:val="20"/>
                <w:color w:val="auto"/>
              </w:rPr>
            </w:pPr>
            <w:r>
              <w:rPr>
                <w:rFonts w:ascii="Arial" w:cs="Arial" w:eastAsia="Arial" w:hAnsi="Arial"/>
                <w:sz w:val="13"/>
                <w:szCs w:val="13"/>
                <w:color w:val="auto"/>
              </w:rPr>
              <w:t>Deferred financing costs paid</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Deferred equity issuance costs paid</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80" w:type="dxa"/>
            <w:vAlign w:val="bottom"/>
          </w:tcPr>
          <w:p>
            <w:pPr>
              <w:spacing w:after="0"/>
              <w:rPr>
                <w:sz w:val="20"/>
                <w:szCs w:val="20"/>
                <w:color w:val="auto"/>
              </w:rPr>
            </w:pPr>
            <w:r>
              <w:rPr>
                <w:rFonts w:ascii="Arial" w:cs="Arial" w:eastAsia="Arial" w:hAnsi="Arial"/>
                <w:sz w:val="13"/>
                <w:szCs w:val="13"/>
                <w:color w:val="auto"/>
              </w:rPr>
              <w:t>Proceeds from short-term financing agreements</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Other financing payments</w:t>
            </w:r>
          </w:p>
        </w:tc>
        <w:tc>
          <w:tcPr>
            <w:tcW w:w="9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59"/>
        </w:trPr>
        <w:tc>
          <w:tcPr>
            <w:tcW w:w="6780" w:type="dxa"/>
            <w:vAlign w:val="bottom"/>
            <w:tcBorders>
              <w:bottom w:val="single" w:sz="8" w:color="CCEEFF"/>
            </w:tcBorders>
          </w:tcPr>
          <w:p>
            <w:pPr>
              <w:ind w:left="760"/>
              <w:spacing w:after="0"/>
              <w:rPr>
                <w:sz w:val="20"/>
                <w:szCs w:val="20"/>
                <w:color w:val="auto"/>
              </w:rPr>
            </w:pPr>
            <w:r>
              <w:rPr>
                <w:rFonts w:ascii="Arial" w:cs="Arial" w:eastAsia="Arial" w:hAnsi="Arial"/>
                <w:sz w:val="13"/>
                <w:szCs w:val="13"/>
                <w:color w:val="auto"/>
              </w:rPr>
              <w:t>Net cash (used in) provided by financing activities</w:t>
            </w: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62"/>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r>
      <w:tr>
        <w:trPr>
          <w:trHeight w:val="169"/>
        </w:trPr>
        <w:tc>
          <w:tcPr>
            <w:tcW w:w="6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163.6</w:t>
            </w:r>
          </w:p>
        </w:tc>
      </w:tr>
      <w:tr>
        <w:trPr>
          <w:trHeight w:val="182"/>
        </w:trPr>
        <w:tc>
          <w:tcPr>
            <w:tcW w:w="67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and restricted cash at end of period</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RENT THE RUNWAY, INC.</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19685</wp:posOffset>
            </wp:positionV>
            <wp:extent cx="70808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millions)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Years Ended January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75"/>
        </w:trPr>
        <w:tc>
          <w:tcPr>
            <w:tcW w:w="6520" w:type="dxa"/>
            <w:vAlign w:val="bottom"/>
          </w:tcPr>
          <w:p>
            <w:pPr>
              <w:spacing w:after="0"/>
              <w:rPr>
                <w:sz w:val="15"/>
                <w:szCs w:val="15"/>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2026</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2024</w:t>
            </w:r>
          </w:p>
        </w:tc>
      </w:tr>
      <w:tr>
        <w:trPr>
          <w:trHeight w:val="157"/>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1"/>
        </w:trPr>
        <w:tc>
          <w:tcPr>
            <w:tcW w:w="6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payments (receipts) for:</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4"/>
        </w:trPr>
        <w:tc>
          <w:tcPr>
            <w:tcW w:w="6520" w:type="dxa"/>
            <w:vAlign w:val="bottom"/>
          </w:tcPr>
          <w:p>
            <w:pPr>
              <w:ind w:left="360"/>
              <w:spacing w:after="0"/>
              <w:rPr>
                <w:sz w:val="20"/>
                <w:szCs w:val="20"/>
                <w:color w:val="auto"/>
              </w:rPr>
            </w:pPr>
            <w:r>
              <w:rPr>
                <w:rFonts w:ascii="Arial" w:cs="Arial" w:eastAsia="Arial" w:hAnsi="Arial"/>
                <w:sz w:val="13"/>
                <w:szCs w:val="13"/>
                <w:color w:val="auto"/>
              </w:rPr>
              <w:t>Interest paid on loans</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98"/>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paid on financing leases</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84"/>
        </w:trPr>
        <w:tc>
          <w:tcPr>
            <w:tcW w:w="6520" w:type="dxa"/>
            <w:vAlign w:val="bottom"/>
          </w:tcPr>
          <w:p>
            <w:pPr>
              <w:ind w:left="360"/>
              <w:spacing w:after="0"/>
              <w:rPr>
                <w:sz w:val="20"/>
                <w:szCs w:val="20"/>
                <w:color w:val="auto"/>
              </w:rPr>
            </w:pPr>
            <w:r>
              <w:rPr>
                <w:rFonts w:ascii="Arial" w:cs="Arial" w:eastAsia="Arial" w:hAnsi="Arial"/>
                <w:sz w:val="13"/>
                <w:szCs w:val="13"/>
                <w:color w:val="auto"/>
              </w:rPr>
              <w:t>Fixed operating lease payments, net</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98"/>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10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90"/>
        </w:trPr>
        <w:tc>
          <w:tcPr>
            <w:tcW w:w="6520" w:type="dxa"/>
            <w:vAlign w:val="bottom"/>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6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0"/>
        </w:trPr>
        <w:tc>
          <w:tcPr>
            <w:tcW w:w="652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90"/>
        </w:trPr>
        <w:tc>
          <w:tcPr>
            <w:tcW w:w="6520" w:type="dxa"/>
            <w:vAlign w:val="bottom"/>
          </w:tcPr>
          <w:p>
            <w:pPr>
              <w:ind w:left="360"/>
              <w:spacing w:after="0"/>
              <w:rPr>
                <w:sz w:val="20"/>
                <w:szCs w:val="20"/>
                <w:color w:val="auto"/>
              </w:rPr>
            </w:pPr>
            <w:r>
              <w:rPr>
                <w:rFonts w:ascii="Arial" w:cs="Arial" w:eastAsia="Arial" w:hAnsi="Arial"/>
                <w:sz w:val="13"/>
                <w:szCs w:val="13"/>
                <w:color w:val="auto"/>
              </w:rPr>
              <w:t>Change in common stock related to debt restructuring</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6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Reconciliation of loss on asset impairment:</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8"/>
        </w:trPr>
        <w:tc>
          <w:tcPr>
            <w:tcW w:w="6520" w:type="dxa"/>
            <w:vAlign w:val="bottom"/>
          </w:tcPr>
          <w:p>
            <w:pPr>
              <w:ind w:left="360"/>
              <w:spacing w:after="0"/>
              <w:rPr>
                <w:sz w:val="20"/>
                <w:szCs w:val="20"/>
                <w:color w:val="auto"/>
              </w:rPr>
            </w:pPr>
            <w:r>
              <w:rPr>
                <w:rFonts w:ascii="Arial" w:cs="Arial" w:eastAsia="Arial" w:hAnsi="Arial"/>
                <w:sz w:val="13"/>
                <w:szCs w:val="13"/>
                <w:color w:val="auto"/>
              </w:rPr>
              <w:t>Accrued expense related to the loss on asset impairment</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0.1</w:t>
            </w:r>
          </w:p>
        </w:tc>
      </w:tr>
    </w:tbl>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31" w:lineRule="exact"/>
        <w:rPr>
          <w:sz w:val="20"/>
          <w:szCs w:val="20"/>
          <w:color w:val="auto"/>
        </w:rPr>
      </w:pPr>
    </w:p>
    <w:p>
      <w:pPr>
        <w:ind w:left="380" w:hanging="375"/>
        <w:spacing w:after="0"/>
        <w:tabs>
          <w:tab w:leader="none" w:pos="3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(the “Subsidiary”), is located in Galway, Ireland, and is focused on software development and support activities.</w:t>
      </w:r>
    </w:p>
    <w:p>
      <w:pPr>
        <w:spacing w:after="0" w:line="139" w:lineRule="exact"/>
        <w:rPr>
          <w:rFonts w:ascii="Arial" w:cs="Arial" w:eastAsia="Arial" w:hAnsi="Arial"/>
          <w:sz w:val="14"/>
          <w:szCs w:val="14"/>
          <w:b w:val="1"/>
          <w:bCs w:val="1"/>
          <w:color w:val="auto"/>
        </w:rPr>
      </w:pPr>
    </w:p>
    <w:p>
      <w:pPr>
        <w:ind w:left="380" w:right="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5" w:lineRule="exact"/>
        <w:rPr>
          <w:rFonts w:ascii="Arial" w:cs="Arial" w:eastAsia="Arial" w:hAnsi="Arial"/>
          <w:sz w:val="14"/>
          <w:szCs w:val="14"/>
          <w:b w:val="1"/>
          <w:bCs w:val="1"/>
          <w:color w:val="auto"/>
        </w:rPr>
      </w:pPr>
    </w:p>
    <w:p>
      <w:pPr>
        <w:ind w:left="380" w:right="7940" w:hanging="375"/>
        <w:spacing w:after="0" w:line="379" w:lineRule="auto"/>
        <w:tabs>
          <w:tab w:leader="none" w:pos="371"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14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consolidated financial statements include the accounts of the Company and its subsidiary. All intercompany accounts and transactions have been eliminated in consolidation. The Company’s consolidated financial statements were prepared in accordance with accounting principles generally accepted in the United States of America (“U.S. GAAP”). Certain amounts in the financial statements have been reclassified to conform to the current presentation. As further discussed in the Reverse Stock Split section below, all per share amounts and common shares amounts have been adjusted on a retroactive basis to reflect the Reverse Stock Split (as defined below) which became effective in April 2024. The Company adjusted the weighted-average shares used in computing net income (loss) per share for all periods presented in the Consolidated Statements of Operations to reflect the bonus element from the rights offering completed in October 2025. See “Note 15 - Net Income (Loss) per Share Attributable to Common Stockholders” for additional information.</w:t>
      </w:r>
    </w:p>
    <w:p>
      <w:pPr>
        <w:spacing w:after="0" w:line="57"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Reverse Stock Split</w:t>
      </w:r>
    </w:p>
    <w:p>
      <w:pPr>
        <w:spacing w:after="0" w:line="93" w:lineRule="exact"/>
        <w:rPr>
          <w:rFonts w:ascii="Arial" w:cs="Arial" w:eastAsia="Arial" w:hAnsi="Arial"/>
          <w:sz w:val="14"/>
          <w:szCs w:val="14"/>
          <w:b w:val="1"/>
          <w:bCs w:val="1"/>
          <w:color w:val="auto"/>
        </w:rPr>
      </w:pPr>
    </w:p>
    <w:p>
      <w:pPr>
        <w:jc w:val="both"/>
        <w:ind w:left="380" w:right="1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spacing w:after="0" w:line="141" w:lineRule="exact"/>
        <w:rPr>
          <w:rFonts w:ascii="Arial" w:cs="Arial" w:eastAsia="Arial" w:hAnsi="Arial"/>
          <w:sz w:val="14"/>
          <w:szCs w:val="14"/>
          <w:b w:val="1"/>
          <w:bCs w:val="1"/>
          <w:color w:val="auto"/>
        </w:rPr>
      </w:pPr>
    </w:p>
    <w:p>
      <w:pPr>
        <w:ind w:left="380"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13 - Stockholders’ Equity” for additional information.</w:t>
      </w:r>
    </w:p>
    <w:p>
      <w:pPr>
        <w:spacing w:after="0" w:line="4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4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Company’s fiscal year ends on January 31 of the next calendar year. For example, references to “fiscal year 2026” refer to the fiscal year ending January 31, 2027, references to “fiscal year 2025” refer to the fiscal year ended January 31, 2026, and references to “fiscal year 2024” refer to the fiscal year ended January 31, 2025.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spacing w:after="0" w:line="159" w:lineRule="exact"/>
        <w:rPr>
          <w:sz w:val="20"/>
          <w:szCs w:val="20"/>
          <w:color w:val="auto"/>
        </w:rPr>
      </w:pPr>
    </w:p>
    <w:p>
      <w:pPr>
        <w:ind w:left="380" w:right="180"/>
        <w:spacing w:after="0" w:line="290" w:lineRule="auto"/>
        <w:rPr>
          <w:sz w:val="20"/>
          <w:szCs w:val="20"/>
          <w:color w:val="auto"/>
        </w:rPr>
      </w:pPr>
      <w:r>
        <w:rPr>
          <w:rFonts w:ascii="Arial" w:cs="Arial" w:eastAsia="Arial" w:hAnsi="Arial"/>
          <w:sz w:val="14"/>
          <w:szCs w:val="14"/>
          <w:color w:val="auto"/>
        </w:rPr>
        <w:t>The key measure of segment profit or loss that the CODM uses to make operating decisions, allocate resources, and evaluate financial performance is the Company’s net income (loss) as reported in the Company’s consolidated statements of operations.</w:t>
      </w:r>
    </w:p>
    <w:p>
      <w:pPr>
        <w:spacing w:after="0" w:line="141"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Significant expenses within net income (loss) include fulfillment, technology, marketing, and general and administrative expenses, rental product depreciation and revenue share, and other depreciation and amortization. These operating expenses are each separately presented in the consolidated statements of operations. Other segment items within net income (loss) include a Gain on Debt Restructuring, interest income (expense), net, other income (expense), net and income tax benefit (expense). The CODM evaluates financial performance by comparing consolidated expenses against the budget and forecasted expenses to inform decision-making.</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revenue is attributed to customers based in the United States and substantially all the Company’s long-lived assets are located in the United States.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10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valuation of share-based compensation, and recoverability of long-lived assets.</w:t>
      </w:r>
    </w:p>
    <w:p>
      <w:pPr>
        <w:spacing w:after="0" w:line="140"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As of January 31, 2026,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years ended January 31, 2026, 2025, and 2024.</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consolidated financial statements. These measurements are conducted on an ongoing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200"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Cash and cash equivalents include funds in transit from banks for customer credit card transactions that settle in less than seven days. These funds totaled $3.5 million and $1.7 million as of January 31, 2026 and 2025, respectively.</w:t>
      </w:r>
    </w:p>
    <w:p>
      <w:pPr>
        <w:spacing w:after="0" w:line="155"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The Company had restricted cash balances for cash collateralized standby letters of credit as of January 31, 2026 and 2025 of $8.7 million and $9.1 million, respectively, primarily to satisfy security deposit requirements on its leases, as well as for rental product purchases and credit card transactions.</w:t>
      </w:r>
    </w:p>
    <w:p>
      <w:pPr>
        <w:spacing w:after="0" w:line="141"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following table provides a reconciliation of cash, cash equivalents and restricted cash reported within the Company’s Consolidated Balance Sheets, which sum to the total of the same amounts shown in the Company’s Consolidated Statements of Cash Flows (in millions):</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January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78"/>
        </w:trPr>
        <w:tc>
          <w:tcPr>
            <w:tcW w:w="6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2026</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2024</w:t>
            </w:r>
          </w:p>
        </w:tc>
      </w:tr>
      <w:tr>
        <w:trPr>
          <w:trHeight w:val="175"/>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63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04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50.4</w:t>
            </w:r>
          </w:p>
        </w:tc>
        <w:tc>
          <w:tcPr>
            <w:tcW w:w="80" w:type="dxa"/>
            <w:vAlign w:val="bottom"/>
          </w:tcPr>
          <w:p>
            <w:pPr>
              <w:spacing w:after="0"/>
              <w:rPr>
                <w:sz w:val="16"/>
                <w:szCs w:val="16"/>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77.4</w:t>
            </w:r>
          </w:p>
        </w:tc>
        <w:tc>
          <w:tcPr>
            <w:tcW w:w="80" w:type="dxa"/>
            <w:vAlign w:val="bottom"/>
          </w:tcPr>
          <w:p>
            <w:pPr>
              <w:spacing w:after="0"/>
              <w:rPr>
                <w:sz w:val="16"/>
                <w:szCs w:val="16"/>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84.0</w:t>
            </w:r>
          </w:p>
        </w:tc>
      </w:tr>
      <w:tr>
        <w:trPr>
          <w:trHeight w:val="198"/>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9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8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Consolidated Balance Sheets.</w:t>
      </w:r>
    </w:p>
    <w:p>
      <w:pPr>
        <w:spacing w:after="0" w:line="179" w:lineRule="exact"/>
        <w:rPr>
          <w:sz w:val="20"/>
          <w:szCs w:val="20"/>
          <w:color w:val="auto"/>
        </w:rPr>
      </w:pPr>
    </w:p>
    <w:p>
      <w:pPr>
        <w:ind w:left="380" w:right="80"/>
        <w:spacing w:after="0" w:line="276"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historical trends and projected liquidation proceeds for the assets. The estimated useful lives and salvage values are described below:</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179" w:lineRule="exact"/>
        <w:rPr>
          <w:sz w:val="20"/>
          <w:szCs w:val="20"/>
          <w:color w:val="auto"/>
        </w:rPr>
      </w:pPr>
    </w:p>
    <w:p>
      <w:pPr>
        <w:ind w:left="380" w:right="280"/>
        <w:spacing w:after="0" w:line="265" w:lineRule="auto"/>
        <w:rPr>
          <w:sz w:val="20"/>
          <w:szCs w:val="20"/>
          <w:color w:val="auto"/>
        </w:rPr>
      </w:pPr>
      <w:r>
        <w:rPr>
          <w:rFonts w:ascii="Arial" w:cs="Arial" w:eastAsia="Arial" w:hAnsi="Arial"/>
          <w:sz w:val="14"/>
          <w:szCs w:val="14"/>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consolidated statements of operations within Rental product depreciation and revenue share. Write-offs for losses on lost, damaged, and unreturned apparel and accessories are also recorded within Rental product depreciation and revenue share.</w:t>
      </w:r>
    </w:p>
    <w:p>
      <w:pPr>
        <w:spacing w:after="0" w:line="159" w:lineRule="exact"/>
        <w:rPr>
          <w:sz w:val="20"/>
          <w:szCs w:val="20"/>
          <w:color w:val="auto"/>
        </w:rPr>
      </w:pPr>
    </w:p>
    <w:p>
      <w:pPr>
        <w:jc w:val="both"/>
        <w:ind w:left="380" w:right="6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January 31, 2026 and 2025 was $1.8 million and $2.0 million, respectively. The accelerated depreciation related to rental product held for sale was $5.1 million, $5.7 million, and $4.9 million for the years ended January 31, 2026, 2025, and 2024, respectively. The accelerated depreciation is presented on the consolidated statements of operations within Rental product depreciation and revenue share.</w:t>
      </w:r>
    </w:p>
    <w:p>
      <w:pPr>
        <w:spacing w:after="0" w:line="159" w:lineRule="exact"/>
        <w:rPr>
          <w:sz w:val="20"/>
          <w:szCs w:val="20"/>
          <w:color w:val="auto"/>
        </w:rPr>
      </w:pPr>
    </w:p>
    <w:p>
      <w:pPr>
        <w:jc w:val="both"/>
        <w:ind w:left="380" w:right="4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consolidated statement of operations. The gain or loss from the liquidation of rental product is included as an adjustment to reconcile net income (loss) to net cash used by operating activities in the consolidated statements of cash flows.</w:t>
      </w:r>
    </w:p>
    <w:p>
      <w:pPr>
        <w:spacing w:after="0" w:line="155"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rental revenue and such classification is consistent with the classification of long-term asset activity. Proceeds from the liquidation of rental product, net of costs to sell, were $2.6 million, $5.4 million, and $ 4.6 million for the years ended January 31, 2026, 2025, and 2024, respectively. Proceeds from the sale of rental product were $28.4 million, $28.1 million, and $23.3 million for the years ended January 31, 2026, 2025, and 2024, respectively.</w:t>
      </w:r>
    </w:p>
    <w:p>
      <w:pPr>
        <w:spacing w:after="0" w:line="161" w:lineRule="exact"/>
        <w:rPr>
          <w:sz w:val="20"/>
          <w:szCs w:val="20"/>
          <w:color w:val="auto"/>
        </w:rPr>
      </w:pPr>
    </w:p>
    <w:p>
      <w:pPr>
        <w:ind w:left="380" w:right="40"/>
        <w:spacing w:after="0" w:line="271" w:lineRule="auto"/>
        <w:rPr>
          <w:sz w:val="20"/>
          <w:szCs w:val="20"/>
          <w:color w:val="auto"/>
        </w:rPr>
      </w:pPr>
      <w:r>
        <w:rPr>
          <w:rFonts w:ascii="Arial" w:cs="Arial" w:eastAsia="Arial" w:hAnsi="Arial"/>
          <w:sz w:val="14"/>
          <w:szCs w:val="14"/>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technology in combination with its customer service department to recover rental items from delinquent customers.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 xml:space="preserve">Subscription and a-la-carte rental fees (“Subscription and Reserve rental revenue”) are recognized in accordance with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(“ASC 842”). Other revenue, primarily related to the sale of rental product, is recognized under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at the date of delivery of the product to the customer. Other revenue represented 13%, 13%, and 11% of total revenue for the years ended January 31, 2026, 2025, and 2024, respectively. Sales of rental product to customers within Other revenue represented 13%, 13%, and 11% of total revenue for the years ended January 31, 2026, 2025, and 2024.</w:t>
      </w:r>
    </w:p>
    <w:p>
      <w:pPr>
        <w:spacing w:after="0" w:line="138"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Revenue is presented net of promotional discounts, customer credit issuances and refunds and recognized in accordance with either ASC 842 or ASC 606. The Company recognizes discounts on subscription and reserve fees ratably over the subscription or rental period. Discounts on sales of rental product to customers are recognized upon delivery. Refunds and customer credit issuances are recognized over the subscription or rental period or when returned items are received. Revenue is presented net of taxes that are collected from customers and remitted to governmental authorities.</w:t>
      </w:r>
    </w:p>
    <w:p>
      <w:pPr>
        <w:spacing w:after="0" w:line="159" w:lineRule="exact"/>
        <w:rPr>
          <w:sz w:val="20"/>
          <w:szCs w:val="20"/>
          <w:color w:val="auto"/>
        </w:rPr>
      </w:pPr>
    </w:p>
    <w:p>
      <w:pPr>
        <w:ind w:left="380"/>
        <w:spacing w:after="0" w:line="256" w:lineRule="auto"/>
        <w:rPr>
          <w:sz w:val="20"/>
          <w:szCs w:val="20"/>
          <w:color w:val="auto"/>
        </w:rPr>
      </w:pPr>
      <w:r>
        <w:rPr>
          <w:rFonts w:ascii="Arial" w:cs="Arial" w:eastAsia="Arial" w:hAnsi="Arial"/>
          <w:sz w:val="14"/>
          <w:szCs w:val="14"/>
          <w:color w:val="auto"/>
        </w:rPr>
        <w:t>The Company issued gift cards and customer credits during the years ended January 31, 2026 and 2025. In the year ended January 31, 2026, the Company modified its arrangement with its third-party gift card partner. Under the current model, the partner maintains the legal obligation to the holder and holds the associated cash until the customer applies the gift card to their Rent the Runway account. Upon application, the gift card is converted into a customer credit, at which point the Company recognizes a liability and corresponding receivable from the partner. In the year ended January 31, 2025, the Company operated under a different model with the same third-party gift card partner where the Company received cash and recognized a liability at the time of gift card issuance. The gift cards issued during the years ended January 31, 2026 and 2025 were immaterial to the Company’s consolidated financial statements. During the year ended January 31, 2024, the Company did not issue any gift cards but customers were able to redeem gift cards sold in previous years. Upon redemption of the gift card or credit, revenue is recognized in line with the customer’s rental or item purchase. The Company’s gift card liability and customer credit liability are presented within Customer credit and gift card liabilities on the Consolidated Balance Sheets. During the year ended January 31, 2026, $0.9 million of credits included in the customer credit liability as of January 31, 2025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34" w:lineRule="exact"/>
        <w:rPr>
          <w:sz w:val="20"/>
          <w:szCs w:val="20"/>
          <w:color w:val="auto"/>
        </w:rPr>
      </w:pPr>
    </w:p>
    <w:p>
      <w:pPr>
        <w:ind w:left="380" w:right="200"/>
        <w:spacing w:after="0" w:line="262"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January 31, 2026 and 2025.</w:t>
      </w:r>
    </w:p>
    <w:p>
      <w:pPr>
        <w:spacing w:after="0" w:line="141" w:lineRule="exact"/>
        <w:rPr>
          <w:sz w:val="20"/>
          <w:szCs w:val="20"/>
          <w:color w:val="auto"/>
        </w:rPr>
      </w:pPr>
    </w:p>
    <w:p>
      <w:pPr>
        <w:ind w:left="380" w:right="240"/>
        <w:spacing w:after="0" w:line="262" w:lineRule="auto"/>
        <w:rPr>
          <w:sz w:val="20"/>
          <w:szCs w:val="20"/>
          <w:color w:val="auto"/>
        </w:rPr>
      </w:pPr>
      <w:r>
        <w:rPr>
          <w:rFonts w:ascii="Arial" w:cs="Arial" w:eastAsia="Arial" w:hAnsi="Arial"/>
          <w:sz w:val="14"/>
          <w:szCs w:val="14"/>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 Additionally, the Company has elected the practical expedient under ASC 842 to not separate nonlease components from associated lease components for all asset classes. The Company considers the rental product as the lease component and shipping services performed during the lease term as nonlease components.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20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January 31, 2026 and 2025.</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Lease - Lessee Accounting</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Refer to the Subscription and Reserve Rental Revenue section above for the Company’s accounting policy related to lessor accounting.</w:t>
      </w:r>
    </w:p>
    <w:p>
      <w:pPr>
        <w:spacing w:after="0" w:line="200"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spacing w:after="0" w:line="159"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lease payments. See “Note 6</w:t>
      </w:r>
    </w:p>
    <w:p>
      <w:pPr>
        <w:ind w:left="3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Leases – Lessee Accounting” for additional details.</w:t>
      </w:r>
    </w:p>
    <w:p>
      <w:pPr>
        <w:spacing w:after="0" w:line="186" w:lineRule="exact"/>
        <w:rPr>
          <w:sz w:val="20"/>
          <w:szCs w:val="20"/>
          <w:color w:val="auto"/>
        </w:rPr>
      </w:pPr>
    </w:p>
    <w:p>
      <w:pPr>
        <w:ind w:left="380" w:right="20"/>
        <w:spacing w:after="0" w:line="290" w:lineRule="auto"/>
        <w:rPr>
          <w:sz w:val="20"/>
          <w:szCs w:val="20"/>
          <w:color w:val="auto"/>
        </w:rPr>
      </w:pPr>
      <w:r>
        <w:rPr>
          <w:rFonts w:ascii="Arial" w:cs="Arial" w:eastAsia="Arial" w:hAnsi="Arial"/>
          <w:sz w:val="14"/>
          <w:szCs w:val="14"/>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With respect to ROU assets, operating lease ROU assets are presented as a separate line item on the Company’s Consolidated Balance Sheets, while finance lease ROU assets are included in Fixed assets, net on the Consolidated Balance Sheets. With respect to lease liabilities, operating lease liabilities are presented as separate line items, while finance lease liabilities are included in Accrued expenses and other current liabilities and Other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Fixed and Intangible Assets,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Fixed and intangible assets are stated at cost less accumulated depreciation and amortization.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of fixed and intangible assets are calculated on a straight-line basis over the estimated useful lives of the assets.</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Arial" w:cs="Arial" w:eastAsia="Arial" w:hAnsi="Arial"/>
                <w:sz w:val="14"/>
                <w:szCs w:val="14"/>
                <w:color w:val="auto"/>
              </w:rPr>
              <w:t>The estimated useful lives of fixed and intangible assets are described below:</w:t>
            </w:r>
          </w:p>
        </w:tc>
        <w:tc>
          <w:tcPr>
            <w:tcW w:w="3580" w:type="dxa"/>
            <w:vAlign w:val="bottom"/>
          </w:tcPr>
          <w:p>
            <w:pPr>
              <w:spacing w:after="0"/>
              <w:rPr>
                <w:sz w:val="16"/>
                <w:szCs w:val="16"/>
                <w:color w:val="auto"/>
              </w:rPr>
            </w:pPr>
          </w:p>
        </w:tc>
      </w:tr>
      <w:tr>
        <w:trPr>
          <w:trHeight w:val="387"/>
        </w:trPr>
        <w:tc>
          <w:tcPr>
            <w:tcW w:w="5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Lesser of estimated useful life or lease term</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to 6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Reusable packaging</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1.5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Capitalized third-party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color w:val="auto"/>
              </w:rPr>
              <w:t>Capitalized internally developed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2 years</w:t>
            </w:r>
          </w:p>
        </w:tc>
      </w:tr>
    </w:tbl>
    <w:p>
      <w:pPr>
        <w:spacing w:after="0" w:line="249"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The Company capitalizes third-party and internally-developed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Prepaid expenses and other current assets consist primarily of shipping rebates, accounts receivable, net, interest receivable, prepaid insurance, prepaid technology expenses, and prepaid taxes. Shipping rebates were $4.5 million and $4.0 million as of January 31, 2026 and 2025, respectively.</w:t>
      </w:r>
    </w:p>
    <w:p>
      <w:pPr>
        <w:spacing w:after="0" w:line="22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Other Assets</w:t>
      </w:r>
    </w:p>
    <w:p>
      <w:pPr>
        <w:spacing w:after="0" w:line="200"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Other assets consist primarily of capitalized implementation costs incurred in cloud computing arrangements, deposits for periods that exceed one year from the balance sheet date, prepaid bonuses, and sublease rent receivables, amortized over the period of future benefit.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Fulfillment</w:t>
      </w:r>
    </w:p>
    <w:p>
      <w:pPr>
        <w:spacing w:after="0" w:line="92"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Technology</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Technology expenses consist of technology payroll and related costs, professional services, and third-party software and license fees.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Marketing</w:t>
      </w:r>
    </w:p>
    <w:p>
      <w:pPr>
        <w:spacing w:after="0" w:line="92"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Marketing expenses include online and mobile marketing, search engine optimization and email costs, marketing payroll and related expenses, agency fees, printed collateral, consumer research, and other related costs. Advertising costs amounted to $24.0 million, $25.4 million, and $28.5 million for the years ended January 31, 2026, 2025, and 2024, respectively. Costs associated with advertising campaigns are expensed when the advertising first appears in the media, and other advertising costs are expensed as incurred.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General and Administrative</w:t>
      </w:r>
    </w:p>
    <w:p>
      <w:pPr>
        <w:spacing w:after="0" w:line="92" w:lineRule="exact"/>
        <w:rPr>
          <w:sz w:val="20"/>
          <w:szCs w:val="20"/>
          <w:color w:val="auto"/>
        </w:rPr>
      </w:pPr>
    </w:p>
    <w:p>
      <w:pPr>
        <w:ind w:left="380" w:right="540"/>
        <w:spacing w:after="0" w:line="290" w:lineRule="auto"/>
        <w:rPr>
          <w:sz w:val="20"/>
          <w:szCs w:val="20"/>
          <w:color w:val="auto"/>
        </w:rPr>
      </w:pPr>
      <w:r>
        <w:rPr>
          <w:rFonts w:ascii="Arial" w:cs="Arial" w:eastAsia="Arial" w:hAnsi="Arial"/>
          <w:sz w:val="14"/>
          <w:szCs w:val="14"/>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Rental Product Depreciation and Revenue Share</w:t>
      </w:r>
    </w:p>
    <w:p>
      <w:pPr>
        <w:spacing w:after="0" w:line="92"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Rental product depreciation and revenue share expenses are comprised of depreciation and write-offs of rental product, and payments under revenue share arrangements with brand partners.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Depreciation and Amortization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depreciation and amortization expenses are comprised of depreciation and amortization amounts for fixed assets, intangible assets, and financing right-of-use assets.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classification of expenses varies across industries. Accordingly, the Company’s categories of expenses may not be comparable to those of other companies.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right="6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Nasdaq. Upon grant of awards, the Company also estimates an amount of forfeitures that will occur prior to vesting. There were no stock options granted during the years ended January 31, 2026 and 2025.</w:t>
      </w:r>
    </w:p>
    <w:p>
      <w:pPr>
        <w:spacing w:after="0" w:line="163" w:lineRule="exact"/>
        <w:rPr>
          <w:sz w:val="20"/>
          <w:szCs w:val="20"/>
          <w:color w:val="auto"/>
        </w:rPr>
      </w:pPr>
    </w:p>
    <w:p>
      <w:pPr>
        <w:ind w:left="380" w:right="100"/>
        <w:spacing w:after="0" w:line="262" w:lineRule="auto"/>
        <w:rPr>
          <w:sz w:val="20"/>
          <w:szCs w:val="20"/>
          <w:color w:val="auto"/>
        </w:rPr>
      </w:pPr>
      <w:r>
        <w:rPr>
          <w:rFonts w:ascii="Arial" w:cs="Arial" w:eastAsia="Arial" w:hAnsi="Arial"/>
          <w:sz w:val="14"/>
          <w:szCs w:val="14"/>
          <w:color w:val="auto"/>
        </w:rPr>
        <w:t xml:space="preserve">The Company has granted two types of restricted stock units (“RSUs”), RSUs denominated in shares of Class A common stock and RSUs denominated in shares of Class B common stock. The Company has granted RSUs which vest upon satisfaction of time-based service conditions. The Company has approved performance-based RSUs (“PSUs”) which will vest upon satisfaction of time-based service and performance-based conditions. The Company records share-based compensation expense for these RSUs on a straight-line basis over the requisite service period. Stock-based compensation expense for PSUs will be recognized based on estimated performance against established performance targets and revisions will be recorded as a cumulative adjustment to earnings in the period of the revision. The Company also estimates an amount of forfeitures that will occur prior to vesting. See “Note 14 </w:t>
      </w:r>
      <w:r>
        <w:rPr>
          <w:rFonts w:ascii="Arial" w:cs="Arial" w:eastAsia="Arial" w:hAnsi="Arial"/>
          <w:sz w:val="14"/>
          <w:szCs w:val="14"/>
          <w:b w:val="1"/>
          <w:bCs w:val="1"/>
          <w:color w:val="auto"/>
        </w:rPr>
        <w:t>–</w:t>
      </w:r>
      <w:r>
        <w:rPr>
          <w:rFonts w:ascii="Arial" w:cs="Arial" w:eastAsia="Arial" w:hAnsi="Arial"/>
          <w:sz w:val="14"/>
          <w:szCs w:val="14"/>
          <w:color w:val="auto"/>
        </w:rPr>
        <w:t xml:space="preserve"> Share-based Compensation Plans” for a description of the accounting for share-based awards.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Interest Income and Expense</w:t>
      </w:r>
    </w:p>
    <w:p>
      <w:pPr>
        <w:spacing w:after="0" w:line="200"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Interest income and expense consist primarily of interest on the Company’s debt facility, debt discount (premium) amortization, and financing lease interest expense offset by interest income earned. The Company recognized interest and debt discount (premium) amortization expense of $21.8 million, $27.2 million, and $38.9 million for the years ended January 31, 2026, 2025, and 2024, respectively.</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Other Income and Expense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income and expense consist primarily of monetizing tax credits associated with growth.</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ind w:left="380" w:right="180"/>
        <w:spacing w:after="0" w:line="260"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not considered more likely than not.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63"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spacing w:after="0" w:line="141"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Long-Lived Asset Impairment</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5" w:lineRule="exact"/>
        <w:rPr>
          <w:sz w:val="20"/>
          <w:szCs w:val="20"/>
          <w:color w:val="auto"/>
        </w:rPr>
      </w:pPr>
    </w:p>
    <w:p>
      <w:pPr>
        <w:ind w:left="380" w:right="20"/>
        <w:spacing w:after="0" w:line="256" w:lineRule="auto"/>
        <w:rPr>
          <w:sz w:val="20"/>
          <w:szCs w:val="20"/>
          <w:color w:val="auto"/>
        </w:rPr>
      </w:pPr>
      <w:r>
        <w:rPr>
          <w:rFonts w:ascii="Arial" w:cs="Arial" w:eastAsia="Arial" w:hAnsi="Arial"/>
          <w:sz w:val="14"/>
          <w:szCs w:val="14"/>
          <w:color w:val="auto"/>
        </w:rPr>
        <w:t>During the years ended January 31, 2026 and 2025, the Company evaluated whether events or circumstances had changed such that it would indicate it is more likely than not that the carrying value of its long-lived assets may not be recoverable (triggering event). Given the Company’s stock price decline during fiscal year 2025 and the fourth quarter of fiscal year 2024, the Company concluded triggering events had occurred and performed impairment analyses of its long-lived asset groups as of January 31, 2026 and 2025. As of January 31, 2026 and 2025, the Company’s long-lived asset groups consisted of its sole reporting unit and the ROU asset related to the subleased ninth floor of its corporate headquarters in Brooklyn, NY. In connection with the commencement of the sublease in December 2024, the Company concluded the ROU asset for the subleased ninth floor to be its own asset group. Refer to “Note 6 - Leases – Lessee Accounting” for further details. The Company performed quantitative assessments using the undiscounted future cash flows expected to be generated by the use and/or eventual disposition for each of the Company’s long-lived asset groups. The assessments for the Company’s sole reporting unit included consideration of key factors including projected enterprise cash flows, market capitalization and the fair value of the Company’s debt facility. The assessments for the ninth floor sublease of the Company’s corporate headquarters in Brooklyn, NY included consideration of the undiscounted future cash flows expected to be generated by the sublease. Based on the quantitative assessments, the undiscounted cash flows expected to be generated by the use and/or eventual disposition, as applicable, of the Company’s long-lived assets exceeded their carrying values. Therefore, no impairment was recognized as a result of these analyses for the years ended January 31, 2026 and 2025.</w:t>
      </w:r>
    </w:p>
    <w:p>
      <w:pPr>
        <w:spacing w:after="0" w:line="61"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In connection with the January 2024 restructuring plan as described in “Note 5, Restructuring and Related Charges”, the Company recorded asset impairment charges of $1.1 million during the year ended January 31, 2024 related to the discontinuation of a software implementation project.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Net Income (Loss) per Share Attributable to Common Stockholders</w:t>
      </w:r>
    </w:p>
    <w:p>
      <w:pPr>
        <w:spacing w:after="0" w:line="94" w:lineRule="exact"/>
        <w:rPr>
          <w:sz w:val="20"/>
          <w:szCs w:val="20"/>
          <w:color w:val="auto"/>
        </w:rPr>
      </w:pPr>
    </w:p>
    <w:p>
      <w:pPr>
        <w:ind w:left="380" w:right="300"/>
        <w:spacing w:after="0" w:line="271" w:lineRule="auto"/>
        <w:rPr>
          <w:sz w:val="20"/>
          <w:szCs w:val="20"/>
          <w:color w:val="auto"/>
        </w:rPr>
      </w:pPr>
      <w:r>
        <w:rPr>
          <w:rFonts w:ascii="Arial" w:cs="Arial" w:eastAsia="Arial" w:hAnsi="Arial"/>
          <w:sz w:val="14"/>
          <w:szCs w:val="14"/>
          <w:color w:val="auto"/>
        </w:rPr>
        <w:t>The Company computes net income (loss) per share attributable to common stockholders under the two-class method required for multiple classes of common stock and participating securities. Basic net income (loss) per share attributable to common stockholders is calculated by dividing the net income (loss) attributable to common stockholders by the weighted-average number of shares of common stock outstanding during the period.</w:t>
      </w:r>
    </w:p>
    <w:p>
      <w:pPr>
        <w:spacing w:after="0" w:line="155" w:lineRule="exact"/>
        <w:rPr>
          <w:sz w:val="20"/>
          <w:szCs w:val="20"/>
          <w:color w:val="auto"/>
        </w:rPr>
      </w:pPr>
    </w:p>
    <w:p>
      <w:pPr>
        <w:ind w:left="380" w:right="180"/>
        <w:spacing w:after="0" w:line="265" w:lineRule="auto"/>
        <w:rPr>
          <w:sz w:val="20"/>
          <w:szCs w:val="20"/>
          <w:color w:val="auto"/>
        </w:rPr>
      </w:pPr>
      <w:r>
        <w:rPr>
          <w:rFonts w:ascii="Arial" w:cs="Arial" w:eastAsia="Arial" w:hAnsi="Arial"/>
          <w:sz w:val="14"/>
          <w:szCs w:val="14"/>
          <w:color w:val="auto"/>
        </w:rPr>
        <w:t>Diluted net income (loss) per share attributable to common stockholders is computed by giving effect to all potentially dilutive securities outstanding for the period. For purposes of this calculation, stock options to purchase common stock, warrants to purchase common stock, and RSUs are considered potentially dilutive securities for the year ended January 31, 2026. They have been excluded from the calculation of diluted net loss per share attributable to common stockholders for the years ended January 31, 2025 and 2024 as their effect is anti-dilutive.</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Commitments and Contingencies</w:t>
      </w:r>
    </w:p>
    <w:p>
      <w:pPr>
        <w:spacing w:after="0" w:line="94"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Foreign Currency</w:t>
      </w:r>
    </w:p>
    <w:p>
      <w:pPr>
        <w:spacing w:after="0" w:line="94" w:lineRule="exact"/>
        <w:rPr>
          <w:sz w:val="20"/>
          <w:szCs w:val="20"/>
          <w:color w:val="auto"/>
        </w:rPr>
      </w:pPr>
    </w:p>
    <w:p>
      <w:pPr>
        <w:ind w:left="380" w:right="40"/>
        <w:spacing w:after="0" w:line="271" w:lineRule="auto"/>
        <w:rPr>
          <w:sz w:val="20"/>
          <w:szCs w:val="20"/>
          <w:color w:val="auto"/>
        </w:rPr>
      </w:pPr>
      <w:r>
        <w:rPr>
          <w:rFonts w:ascii="Arial" w:cs="Arial" w:eastAsia="Arial" w:hAnsi="Arial"/>
          <w:sz w:val="14"/>
          <w:szCs w:val="14"/>
          <w:color w:val="auto"/>
        </w:rPr>
        <w:t>The functional currency of the Subsidiary is the U.S. dollar, which is the functional currency of the Company. The local currency of the Subsidiary is the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Interim Reporting (Topic 270): Narrow Scope Improvements</w:t>
      </w:r>
    </w:p>
    <w:p>
      <w:pPr>
        <w:spacing w:after="0" w:line="198"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 Narrow Scope Improvements</w:t>
      </w:r>
      <w:r>
        <w:rPr>
          <w:rFonts w:ascii="Arial" w:cs="Arial" w:eastAsia="Arial" w:hAnsi="Arial"/>
          <w:sz w:val="14"/>
          <w:szCs w:val="14"/>
          <w:color w:val="auto"/>
        </w:rPr>
        <w:t>, to improve the navigability of required interim disclosures and clarify when the guidance is applicable. The amendments provide additional guidance on what disclosures should be provided in interim reporting periods and adds a principle that requires entities to disclose events since the end of the last annual reporting period that have a material impact on the entity. This standard is effective for interim reporting periods within annual reporting periods beginning after December 15, 2028, and early adoption is permitted. The Company is currently evaluating the impact that the adoption of this standard will have on the consolidated financial statements.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Intangibles—Goodwill and Other—Internal-Use Software</w:t>
      </w:r>
    </w:p>
    <w:p>
      <w:pPr>
        <w:spacing w:after="0" w:line="92"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Intangibles—Goodwill and Other—Internal-Use Software (Subtopic 350-40): Targeted Improvements to the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for Internal-Use Software</w:t>
      </w:r>
      <w:r>
        <w:rPr>
          <w:rFonts w:ascii="Arial" w:cs="Arial" w:eastAsia="Arial" w:hAnsi="Arial"/>
          <w:sz w:val="14"/>
          <w:szCs w:val="14"/>
          <w:color w:val="auto"/>
        </w:rPr>
        <w:t>. The amendments modernize the accounting for software costs accounted for under ASC 350-40. The amendments remove all references to</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development stages and require entities to start capitalizing software costs when management has authorized and committed to funding the software project and it is probable that the project will be completed and the software will be used to perform the intended function.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The Company is currently evaluating the impact that the adoption of this standard will have on the consolidated financial statements.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Statement - Reporting Comprehensive Income - Expense Disaggregation Disclosures</w:t>
      </w:r>
    </w:p>
    <w:p>
      <w:pPr>
        <w:spacing w:after="0" w:line="92"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In January 2025, the FASB issued ASU 2025-01, </w:t>
      </w:r>
      <w:r>
        <w:rPr>
          <w:rFonts w:ascii="Arial" w:cs="Arial" w:eastAsia="Arial" w:hAnsi="Arial"/>
          <w:sz w:val="14"/>
          <w:szCs w:val="14"/>
          <w:i w:val="1"/>
          <w:iCs w:val="1"/>
          <w:color w:val="auto"/>
        </w:rPr>
        <w:t>Income Statement—Reporting Comprehensive Income—Expense Disaggregation Disclosures (Subtopic 220-40): Clarifying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Effective Date </w:t>
      </w:r>
      <w:r>
        <w:rPr>
          <w:rFonts w:ascii="Arial" w:cs="Arial" w:eastAsia="Arial" w:hAnsi="Arial"/>
          <w:sz w:val="14"/>
          <w:szCs w:val="14"/>
          <w:color w:val="auto"/>
        </w:rPr>
        <w:t>to clarify the effective date of ASU 2024-03. The amendments require disclosure of additional information about specific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 (Topic 740): Improvements to Income Tax Disclosures</w:t>
      </w:r>
    </w:p>
    <w:p>
      <w:pPr>
        <w:spacing w:after="0" w:line="92"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adopted this standard for the year ended January 31, 2026 and reflected the additional disclosures required in the standard in Note 10 - Income Taxes.</w:t>
      </w:r>
    </w:p>
    <w:p>
      <w:pPr>
        <w:spacing w:after="0" w:line="225" w:lineRule="exact"/>
        <w:rPr>
          <w:sz w:val="20"/>
          <w:szCs w:val="20"/>
          <w:color w:val="auto"/>
        </w:rPr>
      </w:pPr>
    </w:p>
    <w:p>
      <w:pPr>
        <w:ind w:left="380" w:hanging="375"/>
        <w:spacing w:after="0"/>
        <w:tabs>
          <w:tab w:leader="none" w:pos="38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1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recognized net income from operations of $22.6 million for the year ended January 31, 2026, due to the recognition of a Gain on Debt Restructuring of $96.3 million during the year ended January 31, 2026. Prior to fiscal year 2025, the Company has incurred significant recurring net losses since inception. The Company incurred significant recurring net operating losses since inception and has an accumulated deficit of $(1,100.4) million as of January 31, 2026. The Company has historically relied on debt and equity financing to fund its operations. The Company’s principal sources of liquidity are existing cash and cash equivalents and cash flows from operating activities. There is no remaining borrowing availability under the Company’s New Credit Agreement, as defined below. The Company’s cash flows from operations for the year ended January 31, 2026 were $3.5 million compared to $12.9 million for the year ended January 31, 2025. Cash out flows from investing activities for the year ended January 31, 2026 were $(49.5) million compared to $(20.1) million for the year ended January 31, 2025. As of January 31, 2026, the Company held cash and cash equivalents of $50.4 million and long-term debt of $156.6 million with a maturity date in October 2029.</w:t>
      </w:r>
    </w:p>
    <w:p>
      <w:pPr>
        <w:spacing w:after="0" w:line="58" w:lineRule="exact"/>
        <w:rPr>
          <w:rFonts w:ascii="Arial" w:cs="Arial" w:eastAsia="Arial" w:hAnsi="Arial"/>
          <w:sz w:val="14"/>
          <w:szCs w:val="14"/>
          <w:b w:val="1"/>
          <w:bCs w:val="1"/>
          <w:color w:val="auto"/>
        </w:rPr>
      </w:pPr>
    </w:p>
    <w:p>
      <w:pPr>
        <w:ind w:left="380" w:right="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experienced net operating losses for the last three years and an increase in such losses during the year ended January 31, 2026 as compared to the year ended January 31, 2025. The Company also experienced positive cash flows from operations in fiscal years 2025 and 2024, though it continued to have cash outflows related to its investing activities. The increase in cash flows (used) in investing activities during the year ended January 31, 2026 as compared to the year ended January 31, 2025 was due to a strategic, intentional increase in its investment in rental product purchases, inclusive of additional units, from multiple acquisition channels for fiscal year</w:t>
      </w:r>
    </w:p>
    <w:p>
      <w:pPr>
        <w:ind w:left="380" w:right="2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2025.The Company experienced year-over-year revenue growth and a reduction in net losses in fiscal years 2024 and 2023 and generated cash flows from operations. To the extent the Company is impacted by macroeconomic trends, or other factors, including, but not limited to, lower demand for our business, increased rental product spend, or tariffs, the Company plans to preserve liquidity by reducing fixed and variable costs, which may include additional reductions to labor, operating expenses, and/or capital expenditures. However, these actions may not provide sufficient incremental liquidity to fund the Company’s long-term obligations.</w:t>
      </w:r>
    </w:p>
    <w:p>
      <w:pPr>
        <w:spacing w:after="0" w:line="153" w:lineRule="exact"/>
        <w:rPr>
          <w:rFonts w:ascii="Arial" w:cs="Arial" w:eastAsia="Arial" w:hAnsi="Arial"/>
          <w:sz w:val="14"/>
          <w:szCs w:val="14"/>
          <w:b w:val="1"/>
          <w:bCs w:val="1"/>
          <w:color w:val="auto"/>
        </w:rPr>
      </w:pPr>
    </w:p>
    <w:p>
      <w:pPr>
        <w:ind w:left="380"/>
        <w:spacing w:after="0" w:line="244" w:lineRule="auto"/>
        <w:rPr>
          <w:rFonts w:ascii="Arial" w:cs="Arial" w:eastAsia="Arial" w:hAnsi="Arial"/>
          <w:sz w:val="14"/>
          <w:szCs w:val="14"/>
          <w:b w:val="1"/>
          <w:bCs w:val="1"/>
          <w:color w:val="auto"/>
        </w:rPr>
      </w:pPr>
      <w:r>
        <w:rPr>
          <w:rFonts w:ascii="Arial" w:cs="Arial" w:eastAsia="Arial" w:hAnsi="Arial"/>
          <w:sz w:val="14"/>
          <w:szCs w:val="14"/>
          <w:color w:val="auto"/>
        </w:rPr>
        <w:t>On August 20, 2025, concurrent with the Company’s entry into the Exchange Agreement (as defined below), the Company entered into a Fourteenth Amendment to the Credit Agreement with CHS (US) Management LLC, as administrative agent, and CHS US Investments LLC, as lender (the “Fourteenth Amendment”) (the 2023 Amended Temasek Facility, as amended by the Eleventh Amendment, Twelfth Amendment, Thirteenth Amendment and Fourteenth Amendment, the “2025 Amended Facility”). The Fourteenth Amendment provided that, among other things, (i) interest that would otherwise be payable in cash will be capitalized, (ii) the liquidity financial covenant level will temporarily be reduced from $30 million to $15 million until the closing of the transactions contemplated by the Recapitalization Transactions (as defined below), and (iii) the spend levels for fiscal year 2025 are eliminated.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20"/>
        <w:spacing w:after="0" w:line="256" w:lineRule="auto"/>
        <w:rPr>
          <w:sz w:val="20"/>
          <w:szCs w:val="20"/>
          <w:color w:val="auto"/>
        </w:rPr>
      </w:pPr>
      <w:r>
        <w:rPr>
          <w:rFonts w:ascii="Arial" w:cs="Arial" w:eastAsia="Arial" w:hAnsi="Arial"/>
          <w:sz w:val="14"/>
          <w:szCs w:val="14"/>
          <w:color w:val="auto"/>
        </w:rPr>
        <w:t>On October 28, 2025, the Company completed the Recapitalization Transactions to enhance the Company’s financial position and flexibility by significantly reducing its existing indebtedness, improving its borrowing rate and extending the maturity of its remaining indebtedness to October 2029. Under the terms of the Recapitalization Transactions, the Company entered into the New Credit Agreement (as defined below). The Company’s lender exchanged $100 million of existing outstanding indebtedness on a dollar-for-dollar cashless basis for new term loans and exchanged the remaining indebtedness for 26,175,193 newly issued shares of the Company’s Class A Common Stock. The Company also received an additional $20 million of new term loans excluding direct costs related to the transactions, resulting in an aggregate principal amount of $120 million. The Company also received $12.5 million in proceeds from a concurrent Rights Offering (as defined below). Additionally, the Company’s minimum liquidity maintenance covenant was also reduced from $30 million to $15 million until February 20, 2027. On January 28, 2026, the Company entered into the First Amendment to the New Credit Agreement which permanently removed the minimum liquidity maintenance covenant. See “Note 4 - Recapitalization Transactions” for additional information. The Second Amendment was executed on April 1, 2026 and provides the Company with the ability to capitalize interest in lieu of cash payments until May 3, 2027. As a result of the First and Second Amendments to the New Credit Agreement, the Company expects that its existing resources and future cash flows from operations and cash and cash equivalents, will provide it with sufficient liquidity to meet its obligations for at least the next twelve months from the issuance date of these financial statements. The Company plans to explore additional funding sources to increase liquidity and strengthen its balance sheet. However, there can be no assurance plans will be completed.</w:t>
      </w:r>
    </w:p>
    <w:p>
      <w:pPr>
        <w:spacing w:after="0" w:line="231" w:lineRule="exact"/>
        <w:rPr>
          <w:sz w:val="20"/>
          <w:szCs w:val="20"/>
          <w:color w:val="auto"/>
        </w:rPr>
      </w:pPr>
    </w:p>
    <w:p>
      <w:pPr>
        <w:ind w:left="380" w:hanging="375"/>
        <w:spacing w:after="0"/>
        <w:tabs>
          <w:tab w:leader="none" w:pos="3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Recapitalization Transactions</w:t>
      </w:r>
    </w:p>
    <w:p>
      <w:pPr>
        <w:spacing w:after="0" w:line="83" w:lineRule="exact"/>
        <w:rPr>
          <w:rFonts w:ascii="Arial" w:cs="Arial" w:eastAsia="Arial" w:hAnsi="Arial"/>
          <w:sz w:val="14"/>
          <w:szCs w:val="14"/>
          <w:b w:val="1"/>
          <w:bCs w:val="1"/>
          <w:color w:val="auto"/>
        </w:rPr>
      </w:pPr>
    </w:p>
    <w:p>
      <w:pPr>
        <w:ind w:left="380" w:right="220"/>
        <w:spacing w:after="0" w:line="274" w:lineRule="auto"/>
        <w:rPr>
          <w:rFonts w:ascii="Arial" w:cs="Arial" w:eastAsia="Arial" w:hAnsi="Arial"/>
          <w:sz w:val="14"/>
          <w:szCs w:val="14"/>
          <w:b w:val="1"/>
          <w:bCs w:val="1"/>
          <w:color w:val="auto"/>
        </w:rPr>
      </w:pPr>
      <w:r>
        <w:rPr>
          <w:rFonts w:ascii="Arial" w:cs="Arial" w:eastAsia="Arial" w:hAnsi="Arial"/>
          <w:sz w:val="14"/>
          <w:szCs w:val="14"/>
          <w:color w:val="auto"/>
        </w:rPr>
        <w:t>On October 28, 2025, the Company completed recapitalization transactions to enhance the Company’s financial position and financial flexibility by significantly reducing its existing indebtedness, improving its borrowing rate and extending the maturity of its remaining indebtedness (the “Recapitalization Transactions”).</w:t>
      </w:r>
    </w:p>
    <w:p>
      <w:pPr>
        <w:spacing w:after="0" w:line="35" w:lineRule="exact"/>
        <w:rPr>
          <w:rFonts w:ascii="Arial" w:cs="Arial" w:eastAsia="Arial" w:hAnsi="Arial"/>
          <w:sz w:val="14"/>
          <w:szCs w:val="14"/>
          <w:b w:val="1"/>
          <w:bCs w:val="1"/>
          <w:color w:val="auto"/>
        </w:rPr>
      </w:pPr>
    </w:p>
    <w:p>
      <w:pPr>
        <w:ind w:left="380" w:right="140"/>
        <w:spacing w:after="0" w:line="255" w:lineRule="auto"/>
        <w:rPr>
          <w:rFonts w:ascii="Arial" w:cs="Arial" w:eastAsia="Arial" w:hAnsi="Arial"/>
          <w:sz w:val="14"/>
          <w:szCs w:val="14"/>
          <w:b w:val="1"/>
          <w:bCs w:val="1"/>
          <w:color w:val="auto"/>
        </w:rPr>
      </w:pPr>
      <w:r>
        <w:rPr>
          <w:rFonts w:ascii="Arial" w:cs="Arial" w:eastAsia="Arial" w:hAnsi="Arial"/>
          <w:sz w:val="14"/>
          <w:szCs w:val="14"/>
          <w:color w:val="auto"/>
        </w:rPr>
        <w:t>Under the terms of the Recapitalization Transactions, the Company entered into an amended and restated credit agreement, dated as of October 28, 2025 (the “New Credit Agreement”), by and among the Company, as borrower, CHS (US) Management LLC, as administrative agent (the “Agent”), and CHS US Investments LLC (“Lender”), Gateway Runway, LLC (“Nexus”) and S3 RR Aggregator, LLC, as lenders (“STORY3” and, collectively with Lender and Nexus, the “Investor Group”).</w:t>
      </w:r>
    </w:p>
    <w:p>
      <w:pPr>
        <w:spacing w:after="0" w:line="4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On October 28, 2025, Lender exchanged $100 million of existing outstanding indebtedness owing to Lender under the Company’s credit agreement, dated as of July 23, 2018 (the “Existing Credit Agreement”), by and among the Company, as borrower, the lenders from time to time party thereto and the Agent (as successor-in-interest to Double Helix Pte Ltd.), on a dollar-for-dollar cashless basis for new term loans under the New Credit Agreement. Lender contributed the remaining indebtedness owing to Lender under the Existing Credit Agreement to the Company in exchange for 26,175,193 newly issued shares of the Company’s Class A Common Stock, par value $0.001 per share (the “Class A Common Stock”), and the Existing Credit Agreement was amended and restated to form the New Credit Agreement as discussed above. The Investor Group also provided an additional $20 million of new term loans under the New Credit Agreement, resulting in a total aggregate principal amount of $120 million as of the closing of the Recapitalization Transactions.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95" w:lineRule="exact"/>
        <w:rPr>
          <w:sz w:val="20"/>
          <w:szCs w:val="20"/>
          <w:color w:val="auto"/>
        </w:rPr>
      </w:pPr>
    </w:p>
    <w:p>
      <w:pPr>
        <w:ind w:left="380" w:right="160"/>
        <w:spacing w:after="0" w:line="243" w:lineRule="auto"/>
        <w:rPr>
          <w:sz w:val="20"/>
          <w:szCs w:val="20"/>
          <w:color w:val="auto"/>
        </w:rPr>
      </w:pPr>
      <w:r>
        <w:rPr>
          <w:rFonts w:ascii="Arial" w:cs="Arial" w:eastAsia="Arial" w:hAnsi="Arial"/>
          <w:sz w:val="14"/>
          <w:szCs w:val="14"/>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 On January 28, 2026, the Company entered into the First Amendment. The First Amendment removed the minimum liquidity maintenance covenant.</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Rights Offering Backstop Commitment</w:t>
      </w:r>
    </w:p>
    <w:p>
      <w:pPr>
        <w:spacing w:after="0" w:line="81" w:lineRule="exact"/>
        <w:rPr>
          <w:sz w:val="20"/>
          <w:szCs w:val="20"/>
          <w:color w:val="auto"/>
        </w:rPr>
      </w:pPr>
    </w:p>
    <w:p>
      <w:pPr>
        <w:ind w:left="380" w:right="120"/>
        <w:spacing w:after="0" w:line="249" w:lineRule="auto"/>
        <w:rPr>
          <w:sz w:val="20"/>
          <w:szCs w:val="20"/>
          <w:color w:val="auto"/>
        </w:rPr>
      </w:pPr>
      <w:r>
        <w:rPr>
          <w:rFonts w:ascii="Arial" w:cs="Arial" w:eastAsia="Arial" w:hAnsi="Arial"/>
          <w:sz w:val="14"/>
          <w:szCs w:val="14"/>
          <w:color w:val="auto"/>
        </w:rPr>
        <w:t>In October 2025, the Company gave its stockholders subscription rights to purchase up to an aggregate of 3,063,725 of the Company’s Class A Common Stock at a price of $4.08 per share, totaling $12.5 million (the “Rights Offering”). On October 21, 2025, the subscription period for the Rights Offering expired. Subscribers in the Rights Offering exercised rights to purchase an aggregate of 742,956 shares of Class A Common Stock, and the gross proceeds received from subscribers in the Rights Offering was approximately $3.0 million.</w:t>
      </w:r>
    </w:p>
    <w:p>
      <w:pPr>
        <w:spacing w:after="0" w:line="53" w:lineRule="exact"/>
        <w:rPr>
          <w:sz w:val="20"/>
          <w:szCs w:val="20"/>
          <w:color w:val="auto"/>
        </w:rPr>
      </w:pPr>
    </w:p>
    <w:p>
      <w:pPr>
        <w:ind w:left="380" w:right="20"/>
        <w:spacing w:after="0" w:line="244" w:lineRule="auto"/>
        <w:rPr>
          <w:sz w:val="20"/>
          <w:szCs w:val="20"/>
          <w:color w:val="auto"/>
        </w:rPr>
      </w:pPr>
      <w:r>
        <w:rPr>
          <w:rFonts w:ascii="Arial" w:cs="Arial" w:eastAsia="Arial" w:hAnsi="Arial"/>
          <w:sz w:val="14"/>
          <w:szCs w:val="14"/>
          <w:color w:val="auto"/>
        </w:rPr>
        <w:t>Pursuant to the Rights Offering Backstop Agreement, dated as of August 20, 2025, by and among the Company and the Investor Group, the Investor Group agreed to purchase all unsubscribed shares of Class A Common Stock to be issued in connection with the Rights Offering at a price of $4.08 per share (the “Backstop Commitment”). In satisfaction of the Backstop Commitment, the Company issued an aggregate of 2,320,769 shares of Class A Common Stock to the Investor Group, of which 1,624,539 shares were purchased by Lender, 348,115 shares were purchased by Nexus and 348,115 shares were purchased by STORY3. The gross proceeds received by the Company from the Backstop Commitment were approximately $9.5 million. All shares issued in satisfaction of the Backstop Commitment were issued in a transaction pursuant to Section 4(a)(2) of the Securities Act.</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Term Loan Equitization</w:t>
      </w:r>
    </w:p>
    <w:p>
      <w:pPr>
        <w:spacing w:after="0" w:line="81" w:lineRule="exact"/>
        <w:rPr>
          <w:sz w:val="20"/>
          <w:szCs w:val="20"/>
          <w:color w:val="auto"/>
        </w:rPr>
      </w:pPr>
    </w:p>
    <w:p>
      <w:pPr>
        <w:ind w:left="380" w:right="40"/>
        <w:spacing w:after="0" w:line="239" w:lineRule="auto"/>
        <w:rPr>
          <w:sz w:val="20"/>
          <w:szCs w:val="20"/>
          <w:color w:val="auto"/>
        </w:rPr>
      </w:pPr>
      <w:r>
        <w:rPr>
          <w:rFonts w:ascii="Arial" w:cs="Arial" w:eastAsia="Arial" w:hAnsi="Arial"/>
          <w:sz w:val="14"/>
          <w:szCs w:val="14"/>
          <w:color w:val="auto"/>
        </w:rPr>
        <w:t>On October 28, 2025, in connection with the closing of the Recapitalization Transactions, pursuant to the terms of the Exchange Agreement, dated as of August 20, 2025 (the “Exchange Agreement”), by and between the Company and Lender, Lender contributed all amounts owing to Lender under the Existing Credit Agreement in excess of $100</w:t>
      </w:r>
    </w:p>
    <w:p>
      <w:pPr>
        <w:spacing w:after="0" w:line="1" w:lineRule="exact"/>
        <w:rPr>
          <w:sz w:val="20"/>
          <w:szCs w:val="20"/>
          <w:color w:val="auto"/>
        </w:rPr>
      </w:pPr>
    </w:p>
    <w:p>
      <w:pPr>
        <w:ind w:left="380" w:right="80"/>
        <w:spacing w:after="0" w:line="242" w:lineRule="auto"/>
        <w:rPr>
          <w:sz w:val="20"/>
          <w:szCs w:val="20"/>
          <w:color w:val="auto"/>
        </w:rPr>
      </w:pPr>
      <w:r>
        <w:rPr>
          <w:rFonts w:ascii="Arial" w:cs="Arial" w:eastAsia="Arial" w:hAnsi="Arial"/>
          <w:sz w:val="14"/>
          <w:szCs w:val="14"/>
          <w:color w:val="auto"/>
        </w:rPr>
        <w:t>million in exchange for 26,175,193 shares of Class A Common Stock (the “Term Loan Equitization”), of which 7,852,558 shares and $30.0 million of existing debt were subsequently sold by Lender to Nexus and STORY3 for gross proceeds of $30.0 million. The Company did not receive any proceeds from the transaction and the transaction did not impact the Company’s consolidated financial statements. All shares issued in connection with the Term Loan Equitization were issued in a transaction pursuant to Section 4(a)(2) of the Securities Act.</w:t>
      </w:r>
    </w:p>
    <w:p>
      <w:pPr>
        <w:spacing w:after="0" w:line="58" w:lineRule="exact"/>
        <w:rPr>
          <w:sz w:val="20"/>
          <w:szCs w:val="20"/>
          <w:color w:val="auto"/>
        </w:rPr>
      </w:pPr>
    </w:p>
    <w:p>
      <w:pPr>
        <w:ind w:left="380" w:right="40"/>
        <w:spacing w:after="0" w:line="246" w:lineRule="auto"/>
        <w:rPr>
          <w:sz w:val="20"/>
          <w:szCs w:val="20"/>
          <w:color w:val="auto"/>
        </w:rPr>
      </w:pPr>
      <w:r>
        <w:rPr>
          <w:rFonts w:ascii="Arial" w:cs="Arial" w:eastAsia="Arial" w:hAnsi="Arial"/>
          <w:sz w:val="14"/>
          <w:szCs w:val="14"/>
          <w:color w:val="auto"/>
        </w:rPr>
        <w:t>As a result of the consummation of the Recapitalization Transactions and the other transactions described herein, a change of control of the Company occurred on October 28, 2025. As of such date, Lender held 19,983,656 shares of Class A Common Stock, representing approximately 59.8% of the voting power of the Company’s outstanding Class A Common Stock. On October 28, 2025, in connection with the closing of the Recapitalization Transactions, all outstanding shares of the Company’s Class B Common Stock, par value $ 0.001 per share (the “Class B Common Stock”), were converted into shares of Class A Common Stock on a one-for-one basis, such that no shares of Class B Common Stock remain outstanding.</w:t>
      </w:r>
    </w:p>
    <w:p>
      <w:pPr>
        <w:spacing w:after="0" w:line="56" w:lineRule="exact"/>
        <w:rPr>
          <w:sz w:val="20"/>
          <w:szCs w:val="20"/>
          <w:color w:val="auto"/>
        </w:rPr>
      </w:pPr>
    </w:p>
    <w:p>
      <w:pPr>
        <w:ind w:left="380"/>
        <w:spacing w:after="0" w:line="274" w:lineRule="auto"/>
        <w:rPr>
          <w:sz w:val="20"/>
          <w:szCs w:val="20"/>
          <w:color w:val="auto"/>
        </w:rPr>
      </w:pPr>
      <w:r>
        <w:rPr>
          <w:rFonts w:ascii="Arial" w:cs="Arial" w:eastAsia="Arial" w:hAnsi="Arial"/>
          <w:sz w:val="14"/>
          <w:szCs w:val="14"/>
          <w:color w:val="auto"/>
        </w:rPr>
        <w:t>Lender, Nexus, STORY3, Jennifer Y. Hyman, the Chief Executive Officer of the Company, and certain other parties are party to an investor rights agreement, dated August 20, 2025 (the “Investor Rights Agreement”).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95" w:lineRule="exact"/>
        <w:rPr>
          <w:sz w:val="20"/>
          <w:szCs w:val="20"/>
          <w:color w:val="auto"/>
        </w:rPr>
      </w:pPr>
    </w:p>
    <w:p>
      <w:pPr>
        <w:jc w:val="both"/>
        <w:ind w:left="380" w:right="20"/>
        <w:spacing w:after="0" w:line="249" w:lineRule="auto"/>
        <w:rPr>
          <w:sz w:val="20"/>
          <w:szCs w:val="20"/>
          <w:color w:val="auto"/>
        </w:rPr>
      </w:pPr>
      <w:r>
        <w:rPr>
          <w:rFonts w:ascii="Arial" w:cs="Arial" w:eastAsia="Arial" w:hAnsi="Arial"/>
          <w:sz w:val="14"/>
          <w:szCs w:val="14"/>
          <w:color w:val="auto"/>
        </w:rPr>
        <w:t>Pursuant to the Investor Rights Agreement and the Exchange Agreement, the Company and Lender agreed to take all commercially reasonable actions as may be necessary to cause, as of the closing of the Recapitalization Transactions, the board of directors of the Company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53" w:lineRule="exact"/>
        <w:rPr>
          <w:sz w:val="20"/>
          <w:szCs w:val="20"/>
          <w:color w:val="auto"/>
        </w:rPr>
      </w:pPr>
    </w:p>
    <w:p>
      <w:pPr>
        <w:jc w:val="both"/>
        <w:ind w:left="380"/>
        <w:spacing w:after="0" w:line="247" w:lineRule="auto"/>
        <w:rPr>
          <w:sz w:val="20"/>
          <w:szCs w:val="20"/>
          <w:color w:val="auto"/>
        </w:rPr>
      </w:pPr>
      <w:r>
        <w:rPr>
          <w:rFonts w:ascii="Arial" w:cs="Arial" w:eastAsia="Arial" w:hAnsi="Arial"/>
          <w:sz w:val="14"/>
          <w:szCs w:val="14"/>
          <w:color w:val="auto"/>
        </w:rPr>
        <w:t>On August 20, 2025, Tim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w:t>
      </w:r>
    </w:p>
    <w:p>
      <w:pPr>
        <w:spacing w:after="0" w:line="1" w:lineRule="exact"/>
        <w:rPr>
          <w:sz w:val="20"/>
          <w:szCs w:val="20"/>
          <w:color w:val="auto"/>
        </w:rPr>
      </w:pPr>
    </w:p>
    <w:p>
      <w:pPr>
        <w:ind w:left="380" w:right="180"/>
        <w:spacing w:after="0" w:line="229" w:lineRule="auto"/>
        <w:rPr>
          <w:sz w:val="20"/>
          <w:szCs w:val="20"/>
          <w:color w:val="auto"/>
        </w:rPr>
      </w:pPr>
      <w:r>
        <w:rPr>
          <w:rFonts w:ascii="Arial" w:cs="Arial" w:eastAsia="Arial" w:hAnsi="Arial"/>
          <w:sz w:val="14"/>
          <w:szCs w:val="14"/>
          <w:color w:val="auto"/>
        </w:rPr>
        <w:t>“Resignations”).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w:t>
      </w:r>
    </w:p>
    <w:p>
      <w:pPr>
        <w:ind w:left="380"/>
        <w:spacing w:after="0"/>
        <w:rPr>
          <w:sz w:val="20"/>
          <w:szCs w:val="20"/>
          <w:color w:val="auto"/>
        </w:rPr>
      </w:pPr>
      <w:r>
        <w:rPr>
          <w:rFonts w:ascii="Arial" w:cs="Arial" w:eastAsia="Arial" w:hAnsi="Arial"/>
          <w:sz w:val="14"/>
          <w:szCs w:val="14"/>
          <w:color w:val="auto"/>
        </w:rPr>
        <w:t>the Board pursuant to the terms of the Exchange Agreement and Investor Rights Agreement, as described above.</w:t>
      </w:r>
    </w:p>
    <w:p>
      <w:pPr>
        <w:spacing w:after="0" w:line="69" w:lineRule="exact"/>
        <w:rPr>
          <w:sz w:val="20"/>
          <w:szCs w:val="20"/>
          <w:color w:val="auto"/>
        </w:rPr>
      </w:pPr>
    </w:p>
    <w:p>
      <w:pPr>
        <w:ind w:left="380" w:right="120"/>
        <w:spacing w:after="0" w:line="244" w:lineRule="auto"/>
        <w:rPr>
          <w:sz w:val="20"/>
          <w:szCs w:val="20"/>
          <w:color w:val="auto"/>
        </w:rPr>
      </w:pPr>
      <w:r>
        <w:rPr>
          <w:rFonts w:ascii="Arial" w:cs="Arial" w:eastAsia="Arial" w:hAnsi="Arial"/>
          <w:sz w:val="14"/>
          <w:szCs w:val="14"/>
          <w:color w:val="auto"/>
        </w:rPr>
        <w:t>On October 28, 2025, the Board appointed Teri Bariquit, Peter Comisar, Dhiren Fonseca, Damian Giangiacomo and Daniel Rosensweig to serve as directors pursuant to the Exchange Agreement, effective immediately. Mr. Comisar and Mr. Giangiacomo were appointed to serve as Class I directors, Ms. Bariquit and Mr. Rosensweig were appointed to serve as Class II directors and Mr. Fonseca was appointed to serve as a Class III director, with Ms. Hyman remaining on the Board as a Class III director. Upon the closing of the Recapitalization Transactions, the Board consists of six directors. The Investor Group has advised the Company that it is continuing to use commercially reasonable efforts to identify and designate a third Investor Director to the Board. Concurrently with their appointments to the Board, Mr. Giangiacomo and Mr. Rosensweig were appointed to the Audit Committee, and Mr. Fonseca was appointed to serve as Executive Chair of the Board.</w:t>
      </w:r>
    </w:p>
    <w:p>
      <w:pPr>
        <w:spacing w:after="0" w:line="58" w:lineRule="exact"/>
        <w:rPr>
          <w:sz w:val="20"/>
          <w:szCs w:val="20"/>
          <w:color w:val="auto"/>
        </w:rPr>
      </w:pPr>
    </w:p>
    <w:p>
      <w:pPr>
        <w:ind w:left="380" w:right="140"/>
        <w:spacing w:after="0" w:line="249" w:lineRule="auto"/>
        <w:rPr>
          <w:sz w:val="20"/>
          <w:szCs w:val="20"/>
          <w:color w:val="auto"/>
        </w:rPr>
      </w:pPr>
      <w:r>
        <w:rPr>
          <w:rFonts w:ascii="Arial" w:cs="Arial" w:eastAsia="Arial" w:hAnsi="Arial"/>
          <w:sz w:val="14"/>
          <w:szCs w:val="14"/>
          <w:color w:val="auto"/>
        </w:rPr>
        <w:t>Upon the closing of the Recapitalization Transactions, the Audit Committee consists of two members. On October 28, 2025, the Company notified the Nasdaq of its non-compliance with Nasdaq Rule 5605(c)(2)(A), which requires that the Audit Committee be comprised of three independent directors, and its intent to rely on the cure period provided by Nasdaq Rule 5605(c)(4)(B). The Company intends to appoint an independent director to the Audit Committee no later than the Company’s 2026 annual meeting of stockholders, as provided by Nasdaq Rule 5605(c)(4)(B).</w:t>
      </w:r>
    </w:p>
    <w:p>
      <w:pPr>
        <w:spacing w:after="0" w:line="53" w:lineRule="exact"/>
        <w:rPr>
          <w:sz w:val="20"/>
          <w:szCs w:val="20"/>
          <w:color w:val="auto"/>
        </w:rPr>
      </w:pPr>
    </w:p>
    <w:p>
      <w:pPr>
        <w:ind w:left="380" w:right="440"/>
        <w:spacing w:after="0" w:line="258" w:lineRule="auto"/>
        <w:rPr>
          <w:sz w:val="20"/>
          <w:szCs w:val="20"/>
          <w:color w:val="auto"/>
        </w:rPr>
      </w:pPr>
      <w:r>
        <w:rPr>
          <w:rFonts w:ascii="Arial" w:cs="Arial" w:eastAsia="Arial" w:hAnsi="Arial"/>
          <w:sz w:val="14"/>
          <w:szCs w:val="14"/>
          <w:color w:val="auto"/>
        </w:rPr>
        <w:t>In connection with their appointments, each of Ms. Bariquit, Mr. Comisar, Mr. Fonseca and Mr. Giangiacomo entered into a standard indemnification agreement with the Company in the form previously approved by the Board.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October 28, 2025, the Board amended and restated the Company’s bylaws (the “Second Amended &amp; Restated Bylaws”), effective as of such date. The Second Amended</w:t>
      </w:r>
    </w:p>
    <w:p>
      <w:pPr>
        <w:spacing w:after="0" w:line="12" w:lineRule="exact"/>
        <w:rPr>
          <w:sz w:val="20"/>
          <w:szCs w:val="20"/>
          <w:color w:val="auto"/>
        </w:rPr>
      </w:pPr>
    </w:p>
    <w:p>
      <w:pPr>
        <w:ind w:left="380" w:right="40" w:firstLine="7"/>
        <w:spacing w:after="0" w:line="245" w:lineRule="auto"/>
        <w:tabs>
          <w:tab w:leader="none" w:pos="514"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Restated Bylaws were amended to (i) remove provisions related to the appointment of a lead independent director, (ii) add provisions to clarify that Lender will not be subject to certain notice procedures so long as the Investor Rights Agreement remains in effect and (iii) include certain technical amendments with respect to the adjournment of stockholder meetings and the availability of stockholder lists, among other matters.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9 — Long-Term Debt” and “Note 13 — Stockholders’ Equity” for additional information.</w:t>
      </w:r>
    </w:p>
    <w:p>
      <w:pPr>
        <w:spacing w:after="0" w:line="263" w:lineRule="exact"/>
        <w:rPr>
          <w:sz w:val="20"/>
          <w:szCs w:val="20"/>
          <w:color w:val="auto"/>
        </w:rPr>
      </w:pPr>
    </w:p>
    <w:p>
      <w:pPr>
        <w:ind w:left="380" w:hanging="375"/>
        <w:spacing w:after="0"/>
        <w:tabs>
          <w:tab w:leader="none" w:pos="3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 and Related Charges</w:t>
      </w:r>
    </w:p>
    <w:p>
      <w:pPr>
        <w:spacing w:after="0" w:line="13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January 2024 Restructuring Plan</w:t>
      </w:r>
    </w:p>
    <w:p>
      <w:pPr>
        <w:spacing w:after="0" w:line="91" w:lineRule="exact"/>
        <w:rPr>
          <w:rFonts w:ascii="Arial" w:cs="Arial" w:eastAsia="Arial" w:hAnsi="Arial"/>
          <w:sz w:val="14"/>
          <w:szCs w:val="14"/>
          <w:b w:val="1"/>
          <w:bCs w:val="1"/>
          <w:color w:val="auto"/>
        </w:rPr>
      </w:pPr>
    </w:p>
    <w:p>
      <w:pPr>
        <w:ind w:left="380" w:right="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Restructuring charges of $0.2 million and $2.0 million for severance and related costs were recognized during the years ended January 31, 2025 and 2024, respectively, and are reflected in Restructuring charges on the Company’s Consolidated Statements of Operations. Cumulative charges related to severance and related costs incurred to date in connection with the January 2024 restructuring plan were $2.2 million. Accrued restructuring charges were none and $0.2 million as of January 31, 2026 and 2025, respectively.</w:t>
      </w:r>
    </w:p>
    <w:p>
      <w:pPr>
        <w:spacing w:after="0" w:line="159" w:lineRule="exact"/>
        <w:rPr>
          <w:sz w:val="20"/>
          <w:szCs w:val="20"/>
          <w:color w:val="auto"/>
        </w:rPr>
      </w:pPr>
    </w:p>
    <w:p>
      <w:pPr>
        <w:ind w:left="380" w:right="640"/>
        <w:spacing w:after="0" w:line="271" w:lineRule="auto"/>
        <w:rPr>
          <w:sz w:val="20"/>
          <w:szCs w:val="20"/>
          <w:color w:val="auto"/>
        </w:rPr>
      </w:pPr>
      <w:r>
        <w:rPr>
          <w:rFonts w:ascii="Arial" w:cs="Arial" w:eastAsia="Arial" w:hAnsi="Arial"/>
          <w:sz w:val="14"/>
          <w:szCs w:val="14"/>
          <w:color w:val="auto"/>
        </w:rPr>
        <w:t>The Company recorded asset impairment charges of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 The restructuring plan was completed during the first quarter of fiscal year 2025.</w:t>
      </w:r>
    </w:p>
    <w:p>
      <w:pPr>
        <w:spacing w:after="0" w:line="219" w:lineRule="exact"/>
        <w:rPr>
          <w:sz w:val="20"/>
          <w:szCs w:val="20"/>
          <w:color w:val="auto"/>
        </w:rPr>
      </w:pPr>
    </w:p>
    <w:p>
      <w:pPr>
        <w:ind w:left="380" w:hanging="375"/>
        <w:spacing w:after="0"/>
        <w:tabs>
          <w:tab w:leader="none" w:pos="3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93" w:lineRule="exact"/>
        <w:rPr>
          <w:rFonts w:ascii="Arial" w:cs="Arial" w:eastAsia="Arial" w:hAnsi="Arial"/>
          <w:sz w:val="14"/>
          <w:szCs w:val="14"/>
          <w:b w:val="1"/>
          <w:bCs w:val="1"/>
          <w:color w:val="auto"/>
        </w:rPr>
      </w:pPr>
    </w:p>
    <w:p>
      <w:pPr>
        <w:ind w:left="380" w:right="2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lease costs and recorded in Rental product depreciation and revenue share in the Consolidated Statements of Operations. Revenue share payments based on performance are considered to be variable lease costs.</w:t>
      </w:r>
    </w:p>
    <w:p>
      <w:pPr>
        <w:spacing w:after="0" w:line="158" w:lineRule="exact"/>
        <w:rPr>
          <w:rFonts w:ascii="Arial" w:cs="Arial" w:eastAsia="Arial" w:hAnsi="Arial"/>
          <w:sz w:val="14"/>
          <w:szCs w:val="14"/>
          <w:b w:val="1"/>
          <w:bCs w:val="1"/>
          <w:color w:val="auto"/>
        </w:rPr>
      </w:pPr>
    </w:p>
    <w:p>
      <w:pPr>
        <w:ind w:left="380" w:right="2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Company’s real estate and equipment lease terms generally range from less than one year to 14 years and certain agreements include renewal options. To the extent that the Company is reasonably certain to exercise a lease renewal option, the assumption is included in the calculation of ROU assets and lease liabilities.</w:t>
      </w:r>
    </w:p>
    <w:p>
      <w:pPr>
        <w:spacing w:after="0" w:line="141" w:lineRule="exact"/>
        <w:rPr>
          <w:rFonts w:ascii="Arial" w:cs="Arial" w:eastAsia="Arial" w:hAnsi="Arial"/>
          <w:sz w:val="14"/>
          <w:szCs w:val="14"/>
          <w:b w:val="1"/>
          <w:bCs w:val="1"/>
          <w:color w:val="auto"/>
        </w:rPr>
      </w:pPr>
    </w:p>
    <w:p>
      <w:pPr>
        <w:ind w:left="3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2024, the Company amended the operating lease for its fulfillment center at 100 Metro Way in Secaucus, NJ, the terms of which extended the lease for an additional five years to August 31, 2029. The lease modification resulted in an adjustment of $9.9 million to lease liabilities and right-of-use assets. The Company did not exercise its renewal option with respect to its lease for 55 Metro Way in Secaucus, NJ, which expired in accordance with its terms on August 31, 2024.</w:t>
      </w:r>
    </w:p>
    <w:p>
      <w:pPr>
        <w:spacing w:after="0" w:line="154" w:lineRule="exact"/>
        <w:rPr>
          <w:rFonts w:ascii="Arial" w:cs="Arial" w:eastAsia="Arial" w:hAnsi="Arial"/>
          <w:sz w:val="14"/>
          <w:szCs w:val="14"/>
          <w:b w:val="1"/>
          <w:bCs w:val="1"/>
          <w:color w:val="auto"/>
        </w:rPr>
      </w:pPr>
    </w:p>
    <w:p>
      <w:pPr>
        <w:ind w:left="380" w:right="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Consolidated Statements of Operations. As a result of the ninth floor sublease, the Company concluded that a triggering event had occurred and performed an impairment analysis of the related ROU asset group. The Company performed a quantitative assessment using the undiscounted future cash flows expected to be generated by the sublease. Based on the quantitative assessment, the undiscounted cash flows expected to be generated by the ROU asset exceeded its carrying value. As a result, no impairment was recognized for the year ended January 31, 2025.</w:t>
      </w:r>
    </w:p>
    <w:p>
      <w:pPr>
        <w:spacing w:after="0" w:line="163" w:lineRule="exact"/>
        <w:rPr>
          <w:rFonts w:ascii="Arial" w:cs="Arial" w:eastAsia="Arial" w:hAnsi="Arial"/>
          <w:sz w:val="14"/>
          <w:szCs w:val="14"/>
          <w:b w:val="1"/>
          <w:bCs w:val="1"/>
          <w:color w:val="auto"/>
        </w:rPr>
      </w:pPr>
    </w:p>
    <w:p>
      <w:pPr>
        <w:jc w:val="both"/>
        <w:ind w:left="380"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As of January 31, 2026 and 2025, the weighted-average remaining lease term for operating leases was 5.70 years and 6.58 years, respectively, and the weighted-average discount rate was 16.09% and 16.11%, respectively. As of January 31, 2026 and 2025, the weighted-average remaining lease term for financing leases was 5.62 years and 5.92 years, respectively, and weighted-average discount rate was 8.88% and 16.62%,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components of lease costs incurred by the Company during the years ended January 31, 2026, 2025 and 2024:</w:t>
      </w:r>
    </w:p>
    <w:p>
      <w:pPr>
        <w:spacing w:after="0" w:line="240"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58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2026</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2024</w:t>
            </w:r>
          </w:p>
        </w:tc>
      </w:tr>
      <w:tr>
        <w:trPr>
          <w:trHeight w:val="17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and period lease costs (1)</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r>
      <w:tr>
        <w:trPr>
          <w:trHeight w:val="192"/>
        </w:trPr>
        <w:tc>
          <w:tcPr>
            <w:tcW w:w="5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lease costs</w:t>
            </w: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r>
      <w:tr>
        <w:trPr>
          <w:trHeight w:val="171"/>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lease costs, net</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380" w:right="200" w:firstLine="7"/>
        <w:spacing w:after="0" w:line="230" w:lineRule="auto"/>
        <w:tabs>
          <w:tab w:leader="none" w:pos="501"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Includes $16.6 million, $4.0 million, and $5.6 million of non-cancellable lease payments made to designers as part of the Company’s revenue share arrangements for the years ended January 31, 2026, 2025, and 2024, respectively. These arrangements have lease terms of less than 12 months.</w:t>
      </w:r>
    </w:p>
    <w:p>
      <w:pPr>
        <w:spacing w:after="0" w:line="172" w:lineRule="exact"/>
        <w:rPr>
          <w:sz w:val="20"/>
          <w:szCs w:val="20"/>
          <w:color w:val="auto"/>
        </w:rPr>
      </w:pPr>
    </w:p>
    <w:p>
      <w:pPr>
        <w:ind w:left="380" w:right="200"/>
        <w:spacing w:after="0" w:line="290" w:lineRule="auto"/>
        <w:rPr>
          <w:sz w:val="20"/>
          <w:szCs w:val="20"/>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January 31, 2026:</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340" w:type="dxa"/>
            <w:vAlign w:val="bottom"/>
            <w:shd w:val="clear" w:color="auto" w:fill="CCEEFF"/>
          </w:tcPr>
          <w:p>
            <w:pPr>
              <w:jc w:val="right"/>
              <w:ind w:right="6529"/>
              <w:spacing w:after="0"/>
              <w:rPr>
                <w:sz w:val="20"/>
                <w:szCs w:val="20"/>
                <w:color w:val="auto"/>
              </w:rPr>
            </w:pPr>
            <w:r>
              <w:rPr>
                <w:rFonts w:ascii="Arial" w:cs="Arial" w:eastAsia="Arial" w:hAnsi="Arial"/>
                <w:sz w:val="14"/>
                <w:szCs w:val="14"/>
                <w:color w:val="auto"/>
              </w:rPr>
              <w:t>Fiscal year:</w:t>
            </w: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340" w:type="dxa"/>
            <w:vAlign w:val="bottom"/>
          </w:tcPr>
          <w:p>
            <w:pPr>
              <w:jc w:val="right"/>
              <w:ind w:right="6769"/>
              <w:spacing w:after="0"/>
              <w:rPr>
                <w:sz w:val="20"/>
                <w:szCs w:val="20"/>
                <w:color w:val="auto"/>
              </w:rPr>
            </w:pPr>
            <w:r>
              <w:rPr>
                <w:rFonts w:ascii="Arial" w:cs="Arial" w:eastAsia="Arial" w:hAnsi="Arial"/>
                <w:sz w:val="14"/>
                <w:szCs w:val="14"/>
                <w:color w:val="auto"/>
              </w:rPr>
              <w:t>2026</w:t>
            </w:r>
          </w:p>
        </w:tc>
        <w:tc>
          <w:tcPr>
            <w:tcW w:w="1020" w:type="dxa"/>
            <w:vAlign w:val="bottom"/>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771"/>
              <w:spacing w:after="0"/>
              <w:rPr>
                <w:sz w:val="20"/>
                <w:szCs w:val="20"/>
                <w:color w:val="auto"/>
              </w:rPr>
            </w:pPr>
            <w:r>
              <w:rPr>
                <w:rFonts w:ascii="Arial" w:cs="Arial" w:eastAsia="Arial" w:hAnsi="Arial"/>
                <w:sz w:val="14"/>
                <w:szCs w:val="14"/>
                <w:color w:val="auto"/>
              </w:rPr>
              <w:t>0.2</w:t>
            </w:r>
          </w:p>
        </w:tc>
      </w:tr>
      <w:tr>
        <w:trPr>
          <w:trHeight w:val="212"/>
        </w:trPr>
        <w:tc>
          <w:tcPr>
            <w:tcW w:w="7340" w:type="dxa"/>
            <w:vAlign w:val="bottom"/>
            <w:shd w:val="clear" w:color="auto" w:fill="CCEEFF"/>
          </w:tcPr>
          <w:p>
            <w:pPr>
              <w:jc w:val="right"/>
              <w:ind w:right="6769"/>
              <w:spacing w:after="0"/>
              <w:rPr>
                <w:sz w:val="20"/>
                <w:szCs w:val="20"/>
                <w:color w:val="auto"/>
              </w:rPr>
            </w:pPr>
            <w:r>
              <w:rPr>
                <w:rFonts w:ascii="Arial" w:cs="Arial" w:eastAsia="Arial" w:hAnsi="Arial"/>
                <w:sz w:val="14"/>
                <w:szCs w:val="14"/>
                <w:color w:val="auto"/>
              </w:rPr>
              <w:t>2027</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71"/>
              <w:spacing w:after="0"/>
              <w:rPr>
                <w:sz w:val="20"/>
                <w:szCs w:val="20"/>
                <w:color w:val="auto"/>
              </w:rPr>
            </w:pPr>
            <w:r>
              <w:rPr>
                <w:rFonts w:ascii="Arial" w:cs="Arial" w:eastAsia="Arial" w:hAnsi="Arial"/>
                <w:sz w:val="14"/>
                <w:szCs w:val="14"/>
                <w:color w:val="auto"/>
              </w:rPr>
              <w:t>0.2</w:t>
            </w:r>
          </w:p>
        </w:tc>
      </w:tr>
      <w:tr>
        <w:trPr>
          <w:trHeight w:val="212"/>
        </w:trPr>
        <w:tc>
          <w:tcPr>
            <w:tcW w:w="7340" w:type="dxa"/>
            <w:vAlign w:val="bottom"/>
          </w:tcPr>
          <w:p>
            <w:pPr>
              <w:jc w:val="right"/>
              <w:ind w:right="6769"/>
              <w:spacing w:after="0"/>
              <w:rPr>
                <w:sz w:val="20"/>
                <w:szCs w:val="20"/>
                <w:color w:val="auto"/>
              </w:rPr>
            </w:pPr>
            <w:r>
              <w:rPr>
                <w:rFonts w:ascii="Arial" w:cs="Arial" w:eastAsia="Arial" w:hAnsi="Arial"/>
                <w:sz w:val="14"/>
                <w:szCs w:val="14"/>
                <w:color w:val="auto"/>
              </w:rPr>
              <w:t>2028</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771"/>
              <w:spacing w:after="0"/>
              <w:rPr>
                <w:sz w:val="20"/>
                <w:szCs w:val="20"/>
                <w:color w:val="auto"/>
              </w:rPr>
            </w:pPr>
            <w:r>
              <w:rPr>
                <w:rFonts w:ascii="Arial" w:cs="Arial" w:eastAsia="Arial" w:hAnsi="Arial"/>
                <w:sz w:val="14"/>
                <w:szCs w:val="14"/>
                <w:color w:val="auto"/>
              </w:rPr>
              <w:t>0.2</w:t>
            </w:r>
          </w:p>
        </w:tc>
      </w:tr>
      <w:tr>
        <w:trPr>
          <w:trHeight w:val="180"/>
        </w:trPr>
        <w:tc>
          <w:tcPr>
            <w:tcW w:w="7340" w:type="dxa"/>
            <w:vAlign w:val="bottom"/>
            <w:shd w:val="clear" w:color="auto" w:fill="CCEEFF"/>
          </w:tcPr>
          <w:p>
            <w:pPr>
              <w:jc w:val="right"/>
              <w:ind w:right="6769"/>
              <w:spacing w:after="0"/>
              <w:rPr>
                <w:sz w:val="20"/>
                <w:szCs w:val="20"/>
                <w:color w:val="auto"/>
              </w:rPr>
            </w:pPr>
            <w:r>
              <w:rPr>
                <w:rFonts w:ascii="Arial" w:cs="Arial" w:eastAsia="Arial" w:hAnsi="Arial"/>
                <w:sz w:val="14"/>
                <w:szCs w:val="14"/>
                <w:color w:val="auto"/>
              </w:rPr>
              <w:t>2029</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7340" w:type="dxa"/>
            <w:vAlign w:val="bottom"/>
          </w:tcPr>
          <w:p>
            <w:pPr>
              <w:jc w:val="right"/>
              <w:ind w:right="6769"/>
              <w:spacing w:after="0"/>
              <w:rPr>
                <w:sz w:val="20"/>
                <w:szCs w:val="20"/>
                <w:color w:val="auto"/>
              </w:rPr>
            </w:pPr>
            <w:r>
              <w:rPr>
                <w:rFonts w:ascii="Arial" w:cs="Arial" w:eastAsia="Arial" w:hAnsi="Arial"/>
                <w:sz w:val="14"/>
                <w:szCs w:val="14"/>
                <w:color w:val="auto"/>
              </w:rPr>
              <w:t>2030</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7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Thereafter</w:t>
            </w: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7340" w:type="dxa"/>
            <w:vAlign w:val="bottom"/>
          </w:tcPr>
          <w:p>
            <w:pPr>
              <w:jc w:val="right"/>
              <w:ind w:right="5089"/>
              <w:spacing w:after="0"/>
              <w:rPr>
                <w:sz w:val="20"/>
                <w:szCs w:val="20"/>
                <w:color w:val="auto"/>
              </w:rPr>
            </w:pPr>
            <w:r>
              <w:rPr>
                <w:rFonts w:ascii="Arial" w:cs="Arial" w:eastAsia="Arial" w:hAnsi="Arial"/>
                <w:sz w:val="14"/>
                <w:szCs w:val="14"/>
                <w:color w:val="auto"/>
              </w:rPr>
              <w:t>Total minimum lease payments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left="771"/>
              <w:spacing w:after="0"/>
              <w:rPr>
                <w:sz w:val="20"/>
                <w:szCs w:val="20"/>
                <w:color w:val="auto"/>
              </w:rPr>
            </w:pPr>
            <w:r>
              <w:rPr>
                <w:rFonts w:ascii="Arial" w:cs="Arial" w:eastAsia="Arial" w:hAnsi="Arial"/>
                <w:sz w:val="14"/>
                <w:szCs w:val="14"/>
                <w:color w:val="auto"/>
              </w:rPr>
              <w:t>1.0</w:t>
            </w:r>
          </w:p>
        </w:tc>
      </w:tr>
      <w:tr>
        <w:trPr>
          <w:trHeight w:val="180"/>
        </w:trPr>
        <w:tc>
          <w:tcPr>
            <w:tcW w:w="7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Imputed interest</w:t>
            </w:r>
          </w:p>
        </w:tc>
        <w:tc>
          <w:tcPr>
            <w:tcW w:w="10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center"/>
              <w:ind w:left="751"/>
              <w:spacing w:after="0"/>
              <w:rPr>
                <w:sz w:val="20"/>
                <w:szCs w:val="20"/>
                <w:color w:val="auto"/>
              </w:rPr>
            </w:pPr>
            <w:r>
              <w:rPr>
                <w:rFonts w:ascii="Arial" w:cs="Arial" w:eastAsia="Arial" w:hAnsi="Arial"/>
                <w:sz w:val="14"/>
                <w:szCs w:val="14"/>
                <w:color w:val="auto"/>
              </w:rPr>
              <w:t>(0.2)</w:t>
            </w:r>
          </w:p>
        </w:tc>
      </w:tr>
      <w:tr>
        <w:trPr>
          <w:trHeight w:val="171"/>
        </w:trPr>
        <w:tc>
          <w:tcPr>
            <w:tcW w:w="7340" w:type="dxa"/>
            <w:vAlign w:val="bottom"/>
          </w:tcPr>
          <w:p>
            <w:pPr>
              <w:jc w:val="right"/>
              <w:ind w:right="4549"/>
              <w:spacing w:after="0"/>
              <w:rPr>
                <w:sz w:val="20"/>
                <w:szCs w:val="20"/>
                <w:color w:val="auto"/>
              </w:rPr>
            </w:pPr>
            <w:r>
              <w:rPr>
                <w:rFonts w:ascii="Arial" w:cs="Arial" w:eastAsia="Arial" w:hAnsi="Arial"/>
                <w:sz w:val="14"/>
                <w:szCs w:val="14"/>
                <w:color w:val="auto"/>
              </w:rPr>
              <w:t>Lease liabilities as of January 31, 2026</w:t>
            </w:r>
          </w:p>
        </w:tc>
        <w:tc>
          <w:tcPr>
            <w:tcW w:w="10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center"/>
              <w:ind w:left="771"/>
              <w:spacing w:after="0"/>
              <w:rPr>
                <w:sz w:val="20"/>
                <w:szCs w:val="20"/>
                <w:color w:val="auto"/>
              </w:rPr>
            </w:pPr>
            <w:r>
              <w:rPr>
                <w:rFonts w:ascii="Arial" w:cs="Arial" w:eastAsia="Arial" w:hAnsi="Arial"/>
                <w:sz w:val="14"/>
                <w:szCs w:val="14"/>
                <w:color w:val="auto"/>
              </w:rPr>
              <w:t>0.8</w:t>
            </w:r>
          </w:p>
        </w:tc>
      </w:tr>
      <w:tr>
        <w:trPr>
          <w:trHeight w:val="20"/>
        </w:trPr>
        <w:tc>
          <w:tcPr>
            <w:tcW w:w="7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line="265" w:lineRule="auto"/>
        <w:rPr>
          <w:sz w:val="20"/>
          <w:szCs w:val="20"/>
          <w:color w:val="auto"/>
        </w:rPr>
      </w:pPr>
      <w:r>
        <w:rPr>
          <w:rFonts w:ascii="Arial" w:cs="Arial" w:eastAsia="Arial" w:hAnsi="Arial"/>
          <w:sz w:val="14"/>
          <w:szCs w:val="14"/>
          <w:color w:val="auto"/>
        </w:rPr>
        <w:t>Amortization of financing lease right-of-use assets were $0.3 million, $0.5 million, and $0.6 million for the years ended January 31, 2026, 2025, and 2024, respectively. ROU assets obtained in exchange for lease liabilities were $0.6 million, $0.8 million, and zero for the years ended January 31, 2026, 2025, and 2024, respectively. Adjustments to ROU assets or lease liabilities due to modification or other reassessment events to operating and finance leases were $0.1 million, zero, and $10.3 million for the years ended January 31, 2026, 2025, and 2024, respectively.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150"/>
        </w:trPr>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21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7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r>
      <w:tr>
        <w:trPr>
          <w:trHeight w:val="21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r>
      <w:tr>
        <w:trPr>
          <w:trHeight w:val="196"/>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$59.9 million, $64.6 million, and $57.1 million for the years ended January 31, 2026, 2025, and 2024, respectively.</w:t>
      </w: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123" w:right="8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Fixed and Intangible Assets,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Fixed and intangible assets, net consisted of the following:</w:t>
      </w:r>
    </w:p>
    <w:p>
      <w:pPr>
        <w:spacing w:after="0" w:line="4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220" w:type="dxa"/>
            <w:vAlign w:val="bottom"/>
          </w:tcPr>
          <w:p>
            <w:pPr>
              <w:jc w:val="right"/>
              <w:ind w:right="371"/>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0"/>
        </w:trPr>
        <w:tc>
          <w:tcPr>
            <w:tcW w:w="76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Reusable packaging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lease ROU assets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1"/>
        </w:trPr>
        <w:tc>
          <w:tcPr>
            <w:tcW w:w="7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Fixed assets, net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Software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620" w:type="dxa"/>
            <w:vAlign w:val="bottom"/>
            <w:vMerge w:val="continue"/>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80" w:right="340"/>
        <w:spacing w:after="0" w:line="271" w:lineRule="auto"/>
        <w:rPr>
          <w:sz w:val="20"/>
          <w:szCs w:val="20"/>
          <w:color w:val="auto"/>
        </w:rPr>
      </w:pPr>
      <w:r>
        <w:rPr>
          <w:rFonts w:ascii="Arial" w:cs="Arial" w:eastAsia="Arial" w:hAnsi="Arial"/>
          <w:sz w:val="14"/>
          <w:szCs w:val="14"/>
          <w:color w:val="auto"/>
        </w:rPr>
        <w:t>Depreciation related to fixed assets was $8.4 million, $10.3 million, and $12.0 million for the years ended January 31, 2026, 2025, and 2024, respectively. Amortization of intangible assets was $1.5 million, $2.2 million, and $2.7 million for the years ended January 31, 2026, 2025, and 2024, respectively. See “Note 6 — Leases – Lessee Accounting” for further details related to the finance lease ROU assets included in Fixed assets, net on the Consolidated Balance Sheets.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January 31, 2026, expected amortization of intangible assets (excluding software projects not yet deployed)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460" w:type="dxa"/>
            <w:vAlign w:val="bottom"/>
            <w:shd w:val="clear" w:color="auto" w:fill="CCEEFF"/>
          </w:tcPr>
          <w:p>
            <w:pPr>
              <w:jc w:val="right"/>
              <w:ind w:right="2649"/>
              <w:spacing w:after="0"/>
              <w:rPr>
                <w:sz w:val="20"/>
                <w:szCs w:val="20"/>
                <w:color w:val="auto"/>
              </w:rPr>
            </w:pPr>
            <w:r>
              <w:rPr>
                <w:rFonts w:ascii="Arial" w:cs="Arial" w:eastAsia="Arial" w:hAnsi="Arial"/>
                <w:sz w:val="14"/>
                <w:szCs w:val="14"/>
                <w:color w:val="auto"/>
              </w:rPr>
              <w:t>Fiscal year:</w:t>
            </w:r>
          </w:p>
        </w:tc>
        <w:tc>
          <w:tcPr>
            <w:tcW w:w="5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60" w:type="dxa"/>
            <w:vAlign w:val="bottom"/>
          </w:tcPr>
          <w:p>
            <w:pPr>
              <w:jc w:val="right"/>
              <w:ind w:right="2889"/>
              <w:spacing w:after="0"/>
              <w:rPr>
                <w:sz w:val="20"/>
                <w:szCs w:val="20"/>
                <w:color w:val="auto"/>
              </w:rPr>
            </w:pPr>
            <w:r>
              <w:rPr>
                <w:rFonts w:ascii="Arial" w:cs="Arial" w:eastAsia="Arial" w:hAnsi="Arial"/>
                <w:sz w:val="14"/>
                <w:szCs w:val="14"/>
                <w:color w:val="auto"/>
              </w:rPr>
              <w:t>2026</w:t>
            </w:r>
          </w:p>
        </w:tc>
        <w:tc>
          <w:tcPr>
            <w:tcW w:w="6340" w:type="dxa"/>
            <w:vAlign w:val="bottom"/>
            <w:gridSpan w:val="2"/>
          </w:tcPr>
          <w:p>
            <w:pPr>
              <w:jc w:val="right"/>
              <w:ind w:right="50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460" w:type="dxa"/>
            <w:vAlign w:val="bottom"/>
            <w:shd w:val="clear" w:color="auto" w:fill="CCEEFF"/>
          </w:tcPr>
          <w:p>
            <w:pPr>
              <w:jc w:val="right"/>
              <w:ind w:right="2889"/>
              <w:spacing w:after="0"/>
              <w:rPr>
                <w:sz w:val="20"/>
                <w:szCs w:val="20"/>
                <w:color w:val="auto"/>
              </w:rPr>
            </w:pPr>
            <w:r>
              <w:rPr>
                <w:rFonts w:ascii="Arial" w:cs="Arial" w:eastAsia="Arial" w:hAnsi="Arial"/>
                <w:sz w:val="14"/>
                <w:szCs w:val="14"/>
                <w:color w:val="auto"/>
              </w:rPr>
              <w:t>2027</w:t>
            </w:r>
          </w:p>
        </w:tc>
        <w:tc>
          <w:tcPr>
            <w:tcW w:w="5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gridSpan w:val="2"/>
          </w:tcPr>
          <w:p>
            <w:pPr>
              <w:jc w:val="right"/>
              <w:ind w:right="2889"/>
              <w:spacing w:after="0"/>
              <w:rPr>
                <w:sz w:val="20"/>
                <w:szCs w:val="20"/>
                <w:color w:val="auto"/>
              </w:rPr>
            </w:pPr>
            <w:r>
              <w:rPr>
                <w:rFonts w:ascii="Arial" w:cs="Arial" w:eastAsia="Arial" w:hAnsi="Arial"/>
                <w:sz w:val="14"/>
                <w:szCs w:val="14"/>
                <w:color w:val="auto"/>
              </w:rPr>
              <w:t>2028</w:t>
            </w:r>
          </w:p>
        </w:tc>
        <w:tc>
          <w:tcPr>
            <w:tcW w:w="5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60" w:type="dxa"/>
            <w:vAlign w:val="bottom"/>
            <w:shd w:val="clear" w:color="auto" w:fill="CCEEFF"/>
          </w:tcPr>
          <w:p>
            <w:pPr>
              <w:jc w:val="right"/>
              <w:ind w:right="2589"/>
              <w:spacing w:after="0"/>
              <w:rPr>
                <w:sz w:val="20"/>
                <w:szCs w:val="20"/>
                <w:color w:val="auto"/>
              </w:rPr>
            </w:pPr>
            <w:r>
              <w:rPr>
                <w:rFonts w:ascii="Arial" w:cs="Arial" w:eastAsia="Arial" w:hAnsi="Arial"/>
                <w:sz w:val="14"/>
                <w:szCs w:val="14"/>
                <w:color w:val="auto"/>
              </w:rPr>
              <w:t>Thereafter</w:t>
            </w:r>
          </w:p>
        </w:tc>
        <w:tc>
          <w:tcPr>
            <w:tcW w:w="5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460" w:type="dxa"/>
            <w:vAlign w:val="bottom"/>
          </w:tcPr>
          <w:p>
            <w:pPr>
              <w:jc w:val="right"/>
              <w:ind w:right="1609"/>
              <w:spacing w:after="0"/>
              <w:rPr>
                <w:sz w:val="20"/>
                <w:szCs w:val="20"/>
                <w:color w:val="auto"/>
              </w:rPr>
            </w:pPr>
            <w:r>
              <w:rPr>
                <w:rFonts w:ascii="Arial" w:cs="Arial" w:eastAsia="Arial" w:hAnsi="Arial"/>
                <w:sz w:val="14"/>
                <w:szCs w:val="14"/>
                <w:color w:val="auto"/>
              </w:rPr>
              <w:t>Total future amortization</w:t>
            </w:r>
          </w:p>
        </w:tc>
        <w:tc>
          <w:tcPr>
            <w:tcW w:w="5680" w:type="dxa"/>
            <w:vAlign w:val="bottom"/>
          </w:tcPr>
          <w:p>
            <w:pPr>
              <w:spacing w:after="0"/>
              <w:rPr>
                <w:sz w:val="14"/>
                <w:szCs w:val="14"/>
                <w:color w:val="auto"/>
              </w:rPr>
            </w:pPr>
          </w:p>
        </w:tc>
        <w:tc>
          <w:tcPr>
            <w:tcW w:w="6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80" w:type="dxa"/>
            <w:vAlign w:val="bottom"/>
            <w:vMerge w:val="restart"/>
          </w:tcPr>
          <w:p>
            <w:pPr>
              <w:jc w:val="right"/>
              <w:ind w:right="3689"/>
              <w:spacing w:after="0"/>
              <w:rPr>
                <w:sz w:val="20"/>
                <w:szCs w:val="20"/>
                <w:color w:val="auto"/>
              </w:rPr>
            </w:pPr>
            <w:r>
              <w:rPr>
                <w:rFonts w:ascii="Arial" w:cs="Arial" w:eastAsia="Arial" w:hAnsi="Arial"/>
                <w:sz w:val="14"/>
                <w:szCs w:val="14"/>
                <w:color w:val="auto"/>
              </w:rPr>
              <w:t>119</w:t>
            </w: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5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9820" w:hanging="375"/>
        <w:spacing w:after="0" w:line="379" w:lineRule="auto"/>
        <w:tabs>
          <w:tab w:leader="none" w:pos="371"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January 31, 2026 and 2025:</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193"/>
        </w:trPr>
        <w:tc>
          <w:tcPr>
            <w:tcW w:w="7380" w:type="dxa"/>
            <w:vAlign w:val="bottom"/>
          </w:tcPr>
          <w:p>
            <w:pPr>
              <w:ind w:left="200"/>
              <w:spacing w:after="0"/>
              <w:rPr>
                <w:sz w:val="20"/>
                <w:szCs w:val="20"/>
                <w:color w:val="auto"/>
              </w:rPr>
            </w:pPr>
            <w:r>
              <w:rPr>
                <w:rFonts w:ascii="Arial" w:cs="Arial" w:eastAsia="Arial" w:hAnsi="Arial"/>
                <w:sz w:val="14"/>
                <w:szCs w:val="14"/>
                <w:color w:val="auto"/>
              </w:rPr>
              <w:t>Debt Facility principal outstanding</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Add: unamortized debt premium</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192"/>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Facility, net</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long-term debt</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Debt Facility</w:t>
      </w:r>
    </w:p>
    <w:p>
      <w:pPr>
        <w:spacing w:after="0" w:line="83" w:lineRule="exact"/>
        <w:rPr>
          <w:sz w:val="20"/>
          <w:szCs w:val="20"/>
          <w:color w:val="auto"/>
        </w:rPr>
      </w:pPr>
    </w:p>
    <w:p>
      <w:pPr>
        <w:ind w:left="380" w:right="120"/>
        <w:spacing w:after="0" w:line="247" w:lineRule="auto"/>
        <w:rPr>
          <w:sz w:val="20"/>
          <w:szCs w:val="20"/>
          <w:color w:val="auto"/>
        </w:rPr>
      </w:pPr>
      <w:r>
        <w:rPr>
          <w:rFonts w:ascii="Arial" w:cs="Arial" w:eastAsia="Arial" w:hAnsi="Arial"/>
          <w:sz w:val="14"/>
          <w:szCs w:val="14"/>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w:t>
      </w:r>
    </w:p>
    <w:p>
      <w:pPr>
        <w:spacing w:after="0" w:line="1" w:lineRule="exact"/>
        <w:rPr>
          <w:sz w:val="20"/>
          <w:szCs w:val="20"/>
          <w:color w:val="auto"/>
        </w:rPr>
      </w:pPr>
    </w:p>
    <w:p>
      <w:pPr>
        <w:ind w:left="380" w:right="120"/>
        <w:spacing w:after="0" w:line="229" w:lineRule="auto"/>
        <w:rPr>
          <w:sz w:val="20"/>
          <w:szCs w:val="20"/>
          <w:color w:val="auto"/>
        </w:rPr>
      </w:pPr>
      <w:r>
        <w:rPr>
          <w:rFonts w:ascii="Arial" w:cs="Arial" w:eastAsia="Arial" w:hAnsi="Arial"/>
          <w:sz w:val="14"/>
          <w:szCs w:val="14"/>
          <w:color w:val="auto"/>
        </w:rPr>
        <w:t>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w:t>
      </w:r>
    </w:p>
    <w:p>
      <w:pPr>
        <w:ind w:left="380"/>
        <w:spacing w:after="0" w:line="242" w:lineRule="auto"/>
        <w:rPr>
          <w:sz w:val="20"/>
          <w:szCs w:val="20"/>
          <w:color w:val="auto"/>
        </w:rPr>
      </w:pPr>
      <w:r>
        <w:rPr>
          <w:rFonts w:ascii="Arial" w:cs="Arial" w:eastAsia="Arial" w:hAnsi="Arial"/>
          <w:sz w:val="14"/>
          <w:szCs w:val="14"/>
          <w:color w:val="auto"/>
        </w:rPr>
        <w:t>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75" w:lineRule="exact"/>
        <w:rPr>
          <w:sz w:val="20"/>
          <w:szCs w:val="20"/>
          <w:color w:val="auto"/>
        </w:rPr>
      </w:pPr>
    </w:p>
    <w:p>
      <w:pPr>
        <w:ind w:left="380" w:right="2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$ 6.9 million related to the allocation of proceeds to warrants issued. These amounts were being accreted to the principal amount of the 2022 Amended Temasek Facility through the recognition of noncash interest expense.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December 2023, the Company entered into an amendment to the 2022 Amended Temasek Facility (the “2023 Amended Temasek Facility”). This transaction was accounted for as a troubled debt restructuring. The terms of the amendment provided for, (i) elimination of all interest (both payment-in-kind and cash interest) for a period of six full fiscal quarters beginning with the fourth quarter of fiscal year 2023; (ii) reduction of the minimum liquidity maintenance covenant from $50 million to $30 million; and (iii) additional covenants requiring the Company to comply with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did not record a gain in</w:t>
      </w:r>
    </w:p>
    <w:p>
      <w:pPr>
        <w:spacing w:after="0" w:line="3" w:lineRule="exact"/>
        <w:rPr>
          <w:sz w:val="20"/>
          <w:szCs w:val="20"/>
          <w:color w:val="auto"/>
        </w:rPr>
      </w:pPr>
    </w:p>
    <w:p>
      <w:pPr>
        <w:ind w:left="380" w:right="20"/>
        <w:spacing w:after="0" w:line="229" w:lineRule="auto"/>
        <w:rPr>
          <w:sz w:val="20"/>
          <w:szCs w:val="20"/>
          <w:color w:val="auto"/>
        </w:rPr>
      </w:pPr>
      <w:r>
        <w:rPr>
          <w:rFonts w:ascii="Arial" w:cs="Arial" w:eastAsia="Arial" w:hAnsi="Arial"/>
          <w:sz w:val="14"/>
          <w:szCs w:val="14"/>
          <w:color w:val="auto"/>
        </w:rPr>
        <w:t>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or premium using the effective</w:t>
      </w:r>
    </w:p>
    <w:p>
      <w:pPr>
        <w:ind w:left="380"/>
        <w:spacing w:after="0"/>
        <w:rPr>
          <w:sz w:val="20"/>
          <w:szCs w:val="20"/>
          <w:color w:val="auto"/>
        </w:rPr>
      </w:pPr>
      <w:r>
        <w:rPr>
          <w:rFonts w:ascii="Arial" w:cs="Arial" w:eastAsia="Arial" w:hAnsi="Arial"/>
          <w:sz w:val="14"/>
          <w:szCs w:val="14"/>
          <w:color w:val="auto"/>
        </w:rPr>
        <w:t>interest method over the remaining term of the facility including the six full fiscal quarters during which payment-in-kind and cash interest were eliminated.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contained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40" w:lineRule="exact"/>
        <w:rPr>
          <w:sz w:val="20"/>
          <w:szCs w:val="20"/>
          <w:color w:val="auto"/>
        </w:rPr>
      </w:pPr>
    </w:p>
    <w:p>
      <w:pPr>
        <w:ind w:left="380" w:right="120"/>
        <w:spacing w:after="0" w:line="271" w:lineRule="auto"/>
        <w:rPr>
          <w:sz w:val="20"/>
          <w:szCs w:val="20"/>
          <w:color w:val="auto"/>
        </w:rPr>
      </w:pPr>
      <w:r>
        <w:rPr>
          <w:rFonts w:ascii="Arial" w:cs="Arial" w:eastAsia="Arial" w:hAnsi="Arial"/>
          <w:sz w:val="14"/>
          <w:szCs w:val="14"/>
          <w:color w:val="auto"/>
        </w:rPr>
        <w:t>In January 2025, CHS (US) Management LLC replaced Double Helix Pte Ltd. as administrative agent for Temasek Holdings.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w:t>
      </w:r>
    </w:p>
    <w:p>
      <w:pPr>
        <w:spacing w:after="0" w:line="144" w:lineRule="exact"/>
        <w:rPr>
          <w:sz w:val="20"/>
          <w:szCs w:val="20"/>
          <w:color w:val="auto"/>
        </w:rPr>
      </w:pPr>
    </w:p>
    <w:p>
      <w:pPr>
        <w:ind w:left="380"/>
        <w:spacing w:after="0" w:line="241" w:lineRule="auto"/>
        <w:rPr>
          <w:sz w:val="20"/>
          <w:szCs w:val="20"/>
          <w:color w:val="auto"/>
        </w:rPr>
      </w:pPr>
      <w:r>
        <w:rPr>
          <w:rFonts w:ascii="Arial" w:cs="Arial" w:eastAsia="Arial" w:hAnsi="Arial"/>
          <w:sz w:val="14"/>
          <w:szCs w:val="14"/>
          <w:color w:val="auto"/>
        </w:rPr>
        <w:t>In March 2025, May 2025, and July 2025, the Company entered into an Eleventh Amendment, Twelfth Amendment, and Thirteenth Amendment to the 2023 Amended Temasek Facility to extend the deadline to mutually agree upon the Company’s fiscal year 2025 spend levels - covering rental product capital expenditures, fixed operating expenditures and marketing expenditures - from March 31, 2025 to May 30, 2025, from May 30, 2025 to July 31, 2025, and then from July 31, 2025 to August 29, 2025, respectively. The Thirteenth Amendment also extended the due date of the cash interest payment due on August 1, 2025 to August 29, 2025. In August 2025, concurrently with the Exchange Agreement, the Company entered into a Fourteenth Amendment to the Credit Agreement. The Fourteenth Amendment provided that, among other things,</w:t>
      </w:r>
    </w:p>
    <w:p>
      <w:pPr>
        <w:spacing w:after="0" w:line="1" w:lineRule="exact"/>
        <w:rPr>
          <w:sz w:val="20"/>
          <w:szCs w:val="20"/>
          <w:color w:val="auto"/>
        </w:rPr>
      </w:pPr>
    </w:p>
    <w:p>
      <w:pPr>
        <w:ind w:left="380" w:right="320" w:firstLine="7"/>
        <w:spacing w:after="0" w:line="253" w:lineRule="auto"/>
        <w:tabs>
          <w:tab w:leader="none" w:pos="545"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interest that would otherwise be payable in cash will be capitalized; and (ii) the liquidity financial covenant level will be reduced from $30 million to $15 million until the closing of the Recapitalization Transactions. The Fourteenth Amendment also eliminated the spend levels for fiscal year 2025.</w:t>
      </w:r>
    </w:p>
    <w:p>
      <w:pPr>
        <w:spacing w:after="0" w:line="145" w:lineRule="exact"/>
        <w:rPr>
          <w:sz w:val="20"/>
          <w:szCs w:val="20"/>
          <w:color w:val="auto"/>
        </w:rPr>
      </w:pPr>
    </w:p>
    <w:p>
      <w:pPr>
        <w:ind w:left="380" w:right="140"/>
        <w:spacing w:after="0" w:line="246" w:lineRule="auto"/>
        <w:rPr>
          <w:sz w:val="20"/>
          <w:szCs w:val="20"/>
          <w:color w:val="auto"/>
        </w:rPr>
      </w:pPr>
      <w:r>
        <w:rPr>
          <w:rFonts w:ascii="Arial" w:cs="Arial" w:eastAsia="Arial" w:hAnsi="Arial"/>
          <w:sz w:val="14"/>
          <w:szCs w:val="14"/>
          <w:color w:val="auto"/>
        </w:rPr>
        <w:t>On October 28, 2025, the Company’s lender exchanged $100 million of existing outstanding indebtedness owed under the Existing Credit Agreement on a dollar-for-dollar cashless basis for new term loans under the New Credit Agreement and exchanged the remaining indebtedness under the Existing Credit Agreement for 26,175,193 newly issued shares of the Company’s Class A Common Stock. The Existing Credit Agreement was amended and restated. The Investor Group also provided an additional $20 million of new term loans under the New Credit Agreement, resulting in a total aggregate principal amount of $120 million as of the closing of the Recapitalization Transactions.</w:t>
      </w:r>
    </w:p>
    <w:p>
      <w:pPr>
        <w:spacing w:after="0" w:line="162" w:lineRule="exact"/>
        <w:rPr>
          <w:sz w:val="20"/>
          <w:szCs w:val="20"/>
          <w:color w:val="auto"/>
        </w:rPr>
      </w:pPr>
    </w:p>
    <w:p>
      <w:pPr>
        <w:ind w:left="380" w:right="80"/>
        <w:spacing w:after="0" w:line="243" w:lineRule="auto"/>
        <w:rPr>
          <w:sz w:val="20"/>
          <w:szCs w:val="20"/>
          <w:color w:val="auto"/>
        </w:rPr>
      </w:pPr>
      <w:r>
        <w:rPr>
          <w:rFonts w:ascii="Arial" w:cs="Arial" w:eastAsia="Arial" w:hAnsi="Arial"/>
          <w:sz w:val="14"/>
          <w:szCs w:val="14"/>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 On January 28, 2026, the Company entered into the First Amendment. The First Amendment removed the minimum liquidity maintenance covenant.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10" w:lineRule="exact"/>
        <w:rPr>
          <w:sz w:val="20"/>
          <w:szCs w:val="20"/>
          <w:color w:val="auto"/>
        </w:rPr>
      </w:pPr>
    </w:p>
    <w:p>
      <w:pPr>
        <w:ind w:left="380" w:right="20"/>
        <w:spacing w:after="0" w:line="244" w:lineRule="auto"/>
        <w:rPr>
          <w:sz w:val="20"/>
          <w:szCs w:val="20"/>
          <w:color w:val="auto"/>
        </w:rPr>
      </w:pPr>
      <w:r>
        <w:rPr>
          <w:rFonts w:ascii="Arial" w:cs="Arial" w:eastAsia="Arial" w:hAnsi="Arial"/>
          <w:sz w:val="14"/>
          <w:szCs w:val="14"/>
          <w:color w:val="auto"/>
        </w:rPr>
        <w:t>The exchange transaction with the existing lender was accounted for as a troubled debt restructuring of $334.2 million of existing outstanding debt, excluding the remaining unamortized debt premium and $10.0 million of additional cash from the Lender, in exchange for $110.0 million of new term loans. The Company exchanged $234.2 million of existing indebtedness for 26,175,193 newly issued shares of the Company’s Class A Common Stock to the lender. As the carrying value of debt reduced by the fair value of the equity issued exceeded the total undiscounted future cash payments, the Company recognized a gain on troubled debt restructuring, net of allocated transaction costs of $11.8 million incurred, of $96.3 million during the year ended January 31, 2026. The gain was reflected in Gain on Debt Restructuring on the Company’s Consolidated Statements of Operations.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gain increased net income (loss) per share - basic by $8.05 and net income (loss) per share - diluted by $8.02 for the year ended January 31, 2026.</w:t>
      </w:r>
    </w:p>
    <w:p>
      <w:pPr>
        <w:spacing w:after="0" w:line="189" w:lineRule="exact"/>
        <w:rPr>
          <w:sz w:val="20"/>
          <w:szCs w:val="20"/>
          <w:color w:val="auto"/>
        </w:rPr>
      </w:pPr>
    </w:p>
    <w:p>
      <w:pPr>
        <w:ind w:left="380" w:right="180"/>
        <w:spacing w:after="0" w:line="263" w:lineRule="auto"/>
        <w:rPr>
          <w:sz w:val="20"/>
          <w:szCs w:val="20"/>
          <w:color w:val="auto"/>
        </w:rPr>
      </w:pPr>
      <w:r>
        <w:rPr>
          <w:rFonts w:ascii="Arial" w:cs="Arial" w:eastAsia="Arial" w:hAnsi="Arial"/>
          <w:sz w:val="14"/>
          <w:szCs w:val="14"/>
          <w:color w:val="auto"/>
        </w:rPr>
        <w:t>Upon completion of the exchange transaction, the carrying value of the new term loans with the Lender was $ 149.5 million, comprised of the total future undiscounted cash payments to the Lender. The Company recorded a debt premium as a result of the troubled debt restructuring of $39.5 million which will be amortized over the term of the loan. The Company will not recognize any interest expense between the transaction date and the maturity of the debt.</w:t>
      </w:r>
    </w:p>
    <w:p>
      <w:pPr>
        <w:spacing w:after="0" w:line="150" w:lineRule="exact"/>
        <w:rPr>
          <w:sz w:val="20"/>
          <w:szCs w:val="20"/>
          <w:color w:val="auto"/>
        </w:rPr>
      </w:pPr>
    </w:p>
    <w:p>
      <w:pPr>
        <w:ind w:left="380"/>
        <w:spacing w:after="0" w:line="263" w:lineRule="auto"/>
        <w:rPr>
          <w:sz w:val="20"/>
          <w:szCs w:val="20"/>
          <w:color w:val="auto"/>
        </w:rPr>
      </w:pPr>
      <w:r>
        <w:rPr>
          <w:rFonts w:ascii="Arial" w:cs="Arial" w:eastAsia="Arial" w:hAnsi="Arial"/>
          <w:sz w:val="14"/>
          <w:szCs w:val="14"/>
          <w:color w:val="auto"/>
        </w:rPr>
        <w:t>The Company accounted for the $10.0 million of new term loans issued to Nexus and STORY3 as a new issuance of debt and recorded a debt discount of $0.4 million related to allocated issuance costs. The debt discount will be accreted to the principal amount of the debt through the recognition of noncash interest expense using the effective interest method. The effective interest rate of the debt facility as of January 31, 2026 was 9.83%.</w:t>
      </w:r>
    </w:p>
    <w:p>
      <w:pPr>
        <w:spacing w:after="0" w:line="235"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Company determined that all of the embedded features of the New Credit Agreement were clearly and closely related to the debt host and did not require bifurcation as a derivative liability, or the fair value of the feature was immaterial to the Company’s consolidated financial statements.</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covenants as of January 31, 2026 and through the date of this filing.</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Company’s net income (loss) before income tax benefit / (expense) from income taxes includes the following components:</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4"/>
                <w:szCs w:val="14"/>
                <w:b w:val="1"/>
                <w:bCs w:val="1"/>
                <w:color w:val="auto"/>
                <w:w w:val="98"/>
              </w:rPr>
              <w:t>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4"/>
                <w:szCs w:val="14"/>
                <w:color w:val="auto"/>
              </w:rPr>
            </w:pPr>
          </w:p>
        </w:tc>
        <w:tc>
          <w:tcPr>
            <w:tcW w:w="96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4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(71.2)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4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before income tax benefit / (expense)</w:t>
            </w:r>
          </w:p>
        </w:tc>
        <w:tc>
          <w:tcPr>
            <w:tcW w:w="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(69.6)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Total income taxes allocated to operations are as follows:</w:t>
            </w: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 Ended January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80" w:type="dxa"/>
            <w:vAlign w:val="bottom"/>
          </w:tcPr>
          <w:p>
            <w:pPr>
              <w:ind w:left="200"/>
              <w:spacing w:after="0"/>
              <w:rPr>
                <w:sz w:val="20"/>
                <w:szCs w:val="20"/>
                <w:color w:val="auto"/>
              </w:rPr>
            </w:pPr>
            <w:r>
              <w:rPr>
                <w:rFonts w:ascii="Arial" w:cs="Arial" w:eastAsia="Arial" w:hAnsi="Arial"/>
                <w:sz w:val="14"/>
                <w:szCs w:val="14"/>
                <w:color w:val="auto"/>
              </w:rPr>
              <w:t>Federal</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0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State and local</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ind w:left="200"/>
              <w:spacing w:after="0"/>
              <w:rPr>
                <w:sz w:val="20"/>
                <w:szCs w:val="20"/>
                <w:color w:val="auto"/>
              </w:rPr>
            </w:pPr>
            <w:r>
              <w:rPr>
                <w:rFonts w:ascii="Arial" w:cs="Arial" w:eastAsia="Arial" w:hAnsi="Arial"/>
                <w:sz w:val="14"/>
                <w:szCs w:val="14"/>
                <w:color w:val="auto"/>
              </w:rPr>
              <w:t>Foreign</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1"/>
        </w:trPr>
        <w:tc>
          <w:tcPr>
            <w:tcW w:w="47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current provision</w:t>
            </w: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0"/>
        </w:trPr>
        <w:tc>
          <w:tcPr>
            <w:tcW w:w="4780" w:type="dxa"/>
            <w:vAlign w:val="bottom"/>
          </w:tcPr>
          <w:p>
            <w:pPr>
              <w:ind w:left="20"/>
              <w:spacing w:after="0"/>
              <w:rPr>
                <w:sz w:val="20"/>
                <w:szCs w:val="20"/>
                <w:color w:val="auto"/>
              </w:rPr>
            </w:pPr>
            <w:r>
              <w:rPr>
                <w:rFonts w:ascii="Arial" w:cs="Arial" w:eastAsia="Arial" w:hAnsi="Arial"/>
                <w:sz w:val="14"/>
                <w:szCs w:val="14"/>
                <w:color w:val="auto"/>
              </w:rPr>
              <w:t>Deferred provision:</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Federal</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tcPr>
          <w:p>
            <w:pPr>
              <w:ind w:left="200"/>
              <w:spacing w:after="0"/>
              <w:rPr>
                <w:sz w:val="20"/>
                <w:szCs w:val="20"/>
                <w:color w:val="auto"/>
              </w:rPr>
            </w:pPr>
            <w:r>
              <w:rPr>
                <w:rFonts w:ascii="Arial" w:cs="Arial" w:eastAsia="Arial" w:hAnsi="Arial"/>
                <w:sz w:val="14"/>
                <w:szCs w:val="14"/>
                <w:color w:val="auto"/>
              </w:rPr>
              <w:t>State and local</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provision</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income tax benefit /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ind w:left="640"/>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80"/>
          </w:cols>
          <w:pgMar w:left="300" w:top="123" w:right="9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The significant components of the Company’s net deferred tax assets (liabilities) are as follows:</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6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929"/>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71"/>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Deferred tax assets:</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and state net operating loss carryforwards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212"/>
        </w:trPr>
        <w:tc>
          <w:tcPr>
            <w:tcW w:w="6740" w:type="dxa"/>
            <w:vAlign w:val="bottom"/>
          </w:tcPr>
          <w:p>
            <w:pPr>
              <w:ind w:left="280"/>
              <w:spacing w:after="0"/>
              <w:rPr>
                <w:sz w:val="20"/>
                <w:szCs w:val="20"/>
                <w:color w:val="auto"/>
              </w:rPr>
            </w:pPr>
            <w:r>
              <w:rPr>
                <w:rFonts w:ascii="Arial" w:cs="Arial" w:eastAsia="Arial" w:hAnsi="Arial"/>
                <w:sz w:val="14"/>
                <w:szCs w:val="14"/>
                <w:color w:val="auto"/>
              </w:rPr>
              <w:t>Customer credits liability</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limitation</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12"/>
        </w:trPr>
        <w:tc>
          <w:tcPr>
            <w:tcW w:w="6740" w:type="dxa"/>
            <w:vAlign w:val="bottom"/>
          </w:tcPr>
          <w:p>
            <w:pPr>
              <w:ind w:left="280"/>
              <w:spacing w:after="0"/>
              <w:rPr>
                <w:sz w:val="20"/>
                <w:szCs w:val="20"/>
                <w:color w:val="auto"/>
              </w:rPr>
            </w:pPr>
            <w:r>
              <w:rPr>
                <w:rFonts w:ascii="Arial" w:cs="Arial" w:eastAsia="Arial" w:hAnsi="Arial"/>
                <w:sz w:val="14"/>
                <w:szCs w:val="14"/>
                <w:color w:val="auto"/>
              </w:rPr>
              <w:t>Fixed assets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R&amp;D expenses</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12"/>
        </w:trPr>
        <w:tc>
          <w:tcPr>
            <w:tcW w:w="6740" w:type="dxa"/>
            <w:vAlign w:val="bottom"/>
          </w:tcPr>
          <w:p>
            <w:pPr>
              <w:ind w:left="280"/>
              <w:spacing w:after="0"/>
              <w:rPr>
                <w:sz w:val="20"/>
                <w:szCs w:val="20"/>
                <w:color w:val="auto"/>
              </w:rPr>
            </w:pPr>
            <w:r>
              <w:rPr>
                <w:rFonts w:ascii="Arial" w:cs="Arial" w:eastAsia="Arial" w:hAnsi="Arial"/>
                <w:sz w:val="14"/>
                <w:szCs w:val="14"/>
                <w:color w:val="auto"/>
              </w:rPr>
              <w:t>Tax credits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2"/>
        </w:trPr>
        <w:tc>
          <w:tcPr>
            <w:tcW w:w="6740" w:type="dxa"/>
            <w:vAlign w:val="bottom"/>
          </w:tcPr>
          <w:p>
            <w:pPr>
              <w:ind w:left="280"/>
              <w:spacing w:after="0"/>
              <w:rPr>
                <w:sz w:val="20"/>
                <w:szCs w:val="20"/>
                <w:color w:val="auto"/>
              </w:rPr>
            </w:pPr>
            <w:r>
              <w:rPr>
                <w:rFonts w:ascii="Arial" w:cs="Arial" w:eastAsia="Arial" w:hAnsi="Arial"/>
                <w:sz w:val="14"/>
                <w:szCs w:val="14"/>
                <w:color w:val="auto"/>
              </w:rPr>
              <w:t>Operating lease liability</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11.1</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1"/>
        </w:trPr>
        <w:tc>
          <w:tcPr>
            <w:tcW w:w="67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245.1</w:t>
            </w:r>
          </w:p>
        </w:tc>
        <w:tc>
          <w:tcPr>
            <w:tcW w:w="4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valuation allowance</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w:t>
            </w:r>
          </w:p>
        </w:tc>
        <w:tc>
          <w:tcPr>
            <w:tcW w:w="4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tcPr>
          <w:p>
            <w:pPr>
              <w:ind w:left="280"/>
              <w:spacing w:after="0"/>
              <w:rPr>
                <w:sz w:val="20"/>
                <w:szCs w:val="20"/>
                <w:color w:val="auto"/>
              </w:rPr>
            </w:pPr>
            <w:r>
              <w:rPr>
                <w:rFonts w:ascii="Arial" w:cs="Arial" w:eastAsia="Arial" w:hAnsi="Arial"/>
                <w:sz w:val="14"/>
                <w:szCs w:val="14"/>
                <w:color w:val="auto"/>
              </w:rPr>
              <w:t>Fixed assets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right-of-use-asset</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tax liabilities</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4"/>
                <w:szCs w:val="14"/>
                <w:color w:val="auto"/>
              </w:rPr>
              <w:t>—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Provisions enacted in the One, Big, Beautiful Bill Act (“OBBBA”) on July 4, 2025 relating to research and experimental expenditures became effective for tax years beginning after December 31, 2024, and added Section 174A to the Internal Revenue Code of 1986, as amended (the “Code”). Under the updated guidance, domestic research and experimental expenditures may be deducted as incurred or capitalized and amortized over five years. In addition, taxpayers may elect under Section 59(e) to capitalize and amortize such expenditures. The Company has elected under Section 59(e) to capitalize and amortize domestic research and experimental expenditures over a ten year period. Foreign research and experimental expenditures continue to be capitalized and amortized over a 15-year period. The Company evaluated the impact of this legislation and determined that it did not have a material impact on its consolidated financial statements as the Company continues its existing method of capitalizing and amortizing such expenditures.</w:t>
      </w:r>
    </w:p>
    <w:p>
      <w:pPr>
        <w:spacing w:after="0" w:line="163"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As of January 31, 2026, the Company had federal net operating loss tax carryforwards of $507.25 million. Approximately $7.8 million of the net operating loss carryforwards will expire at various times through 2038, while $499.45 million will not expire. In connection with the Company’s recapitalization transaction, the Company excluded certain income resulting from the cancellation of debt income under Section 108(a)(1)(B) of the Code. As a result of this exclusion, the Company’s net operating loss carryforwards were reduced pursuant to the attribute reduction rule under Section 108(b). Consequently, the Company’s net operating loss carryforwards as of January 31, 2026 have been adjusted accordingly to reflect this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In general, under Sections 382 and 383 of the Code, and corresponding provisions of state law, an ownership change, generally defined as a significant change in equity ownership, may limit the Company’s ability to utilize net operating loss carryforwards and other tax attributes generated prior to the change. The Company previously completed a Section 382 analysis and concluded that an ownership change occurred in 2010; however, all net operating losses subject to that limitation were fully utilized in prior periods. The Company subsequently updated its Section 382 analysis through November 2025 and further determined that an additional ownership change occurred on October 28, 2025. As a result, net operating losses arising prior to that date are subject to annual limitations on utilization under Section 382, which may limit the amount of such net operating losses available to offset future taxable income. These limitations were considered in assessing the realizability of the Company’s deferred tax assets, and the Company has recorded a full valuation allowance against its U.S. deferred tax assets.</w:t>
      </w:r>
    </w:p>
    <w:p>
      <w:pPr>
        <w:spacing w:after="0" w:line="163"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As of January 31, 2026 and 2025, the Company maintained a valuation allowance against all of its U.S. deferred tax assets since, in the judgment of management, the realization of these assets was not considered more likely than not. The net change in the total valuation allowance for the years ended January 31, 2026 and 2025 was a decrease of $32.5 million and an increase of $13.5 million, respectively.</w:t>
      </w:r>
    </w:p>
    <w:p>
      <w:pPr>
        <w:spacing w:after="0" w:line="15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Company has elected to prospectively adopt the guidance in ASU No. 2023-09, Income Taxes (Topic 740): Improvements to Income Taxes Disclosures, or ASU 2023-09. The following table is a reconciliation of the U.S. federal statutory rate of 21% to the Company’s effective rate for the year ended January 31, 2026, in accordance with ASU 2023-09:</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4"/>
                <w:szCs w:val="14"/>
                <w:b w:val="1"/>
                <w:bCs w:val="1"/>
                <w:color w:val="auto"/>
              </w:rPr>
              <w:t>Year Ended January 31,</w:t>
            </w:r>
          </w:p>
        </w:tc>
      </w:tr>
      <w:tr>
        <w:trPr>
          <w:trHeight w:val="171"/>
        </w:trPr>
        <w:tc>
          <w:tcPr>
            <w:tcW w:w="7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2026</w:t>
            </w:r>
          </w:p>
        </w:tc>
        <w:tc>
          <w:tcPr>
            <w:tcW w:w="1140" w:type="dxa"/>
            <w:vAlign w:val="bottom"/>
            <w:tcBorders>
              <w:bottom w:val="single" w:sz="8" w:color="auto"/>
            </w:tcBorders>
          </w:tcPr>
          <w:p>
            <w:pPr>
              <w:spacing w:after="0"/>
              <w:rPr>
                <w:sz w:val="14"/>
                <w:szCs w:val="14"/>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Percent</w:t>
            </w:r>
          </w:p>
        </w:tc>
      </w:tr>
      <w:tr>
        <w:trPr>
          <w:trHeight w:val="17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(4.8)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State and Local income taxes, net of federal income tax effect (1)</w:t>
            </w:r>
          </w:p>
        </w:tc>
        <w:tc>
          <w:tcPr>
            <w:tcW w:w="96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color w:val="auto"/>
              </w:rPr>
              <w:t>(0.1)</w:t>
            </w:r>
          </w:p>
        </w:tc>
        <w:tc>
          <w:tcPr>
            <w:tcW w:w="1140" w:type="dxa"/>
            <w:vAlign w:val="bottom"/>
          </w:tcPr>
          <w:p>
            <w:pPr>
              <w:jc w:val="right"/>
              <w:spacing w:after="0"/>
              <w:rPr>
                <w:sz w:val="20"/>
                <w:szCs w:val="20"/>
                <w:color w:val="auto"/>
              </w:rPr>
            </w:pPr>
            <w:r>
              <w:rPr>
                <w:rFonts w:ascii="Arial" w:cs="Arial" w:eastAsia="Arial" w:hAnsi="Arial"/>
                <w:sz w:val="14"/>
                <w:szCs w:val="14"/>
                <w:color w:val="auto"/>
              </w:rPr>
              <w:t>0.22 %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Effects of Cross Border Tax Laws</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440" w:type="dxa"/>
            <w:vAlign w:val="bottom"/>
          </w:tcPr>
          <w:p>
            <w:pPr>
              <w:ind w:left="200"/>
              <w:spacing w:after="0"/>
              <w:rPr>
                <w:sz w:val="20"/>
                <w:szCs w:val="20"/>
                <w:color w:val="auto"/>
              </w:rPr>
            </w:pPr>
            <w:r>
              <w:rPr>
                <w:rFonts w:ascii="Arial" w:cs="Arial" w:eastAsia="Arial" w:hAnsi="Arial"/>
                <w:sz w:val="14"/>
                <w:szCs w:val="14"/>
                <w:color w:val="auto"/>
              </w:rPr>
              <w:t>GILTI Inclusion</w:t>
            </w:r>
          </w:p>
        </w:tc>
        <w:tc>
          <w:tcPr>
            <w:tcW w:w="96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color w:val="auto"/>
              </w:rPr>
              <w:t>(0.2)</w:t>
            </w:r>
          </w:p>
        </w:tc>
        <w:tc>
          <w:tcPr>
            <w:tcW w:w="1140" w:type="dxa"/>
            <w:vAlign w:val="bottom"/>
          </w:tcPr>
          <w:p>
            <w:pPr>
              <w:jc w:val="right"/>
              <w:spacing w:after="0"/>
              <w:rPr>
                <w:sz w:val="20"/>
                <w:szCs w:val="20"/>
                <w:color w:val="auto"/>
              </w:rPr>
            </w:pPr>
            <w:r>
              <w:rPr>
                <w:rFonts w:ascii="Arial" w:cs="Arial" w:eastAsia="Arial" w:hAnsi="Arial"/>
                <w:sz w:val="14"/>
                <w:szCs w:val="14"/>
                <w:color w:val="auto"/>
              </w:rPr>
              <w:t>1.06 %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Credits</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440" w:type="dxa"/>
            <w:vAlign w:val="bottom"/>
          </w:tcPr>
          <w:p>
            <w:pPr>
              <w:ind w:left="200"/>
              <w:spacing w:after="0"/>
              <w:rPr>
                <w:sz w:val="20"/>
                <w:szCs w:val="20"/>
                <w:color w:val="auto"/>
              </w:rPr>
            </w:pPr>
            <w:r>
              <w:rPr>
                <w:rFonts w:ascii="Arial" w:cs="Arial" w:eastAsia="Arial" w:hAnsi="Arial"/>
                <w:sz w:val="14"/>
                <w:szCs w:val="14"/>
                <w:color w:val="auto"/>
              </w:rPr>
              <w:t>R&amp;D Credits</w:t>
            </w:r>
          </w:p>
        </w:tc>
        <w:tc>
          <w:tcPr>
            <w:tcW w:w="96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color w:val="auto"/>
              </w:rPr>
              <w:t>(0.5)</w:t>
            </w:r>
          </w:p>
        </w:tc>
        <w:tc>
          <w:tcPr>
            <w:tcW w:w="1140" w:type="dxa"/>
            <w:vAlign w:val="bottom"/>
          </w:tcPr>
          <w:p>
            <w:pPr>
              <w:jc w:val="right"/>
              <w:spacing w:after="0"/>
              <w:rPr>
                <w:sz w:val="20"/>
                <w:szCs w:val="20"/>
                <w:color w:val="auto"/>
              </w:rPr>
            </w:pPr>
            <w:r>
              <w:rPr>
                <w:rFonts w:ascii="Arial" w:cs="Arial" w:eastAsia="Arial" w:hAnsi="Arial"/>
                <w:sz w:val="14"/>
                <w:szCs w:val="14"/>
                <w:color w:val="auto"/>
              </w:rPr>
              <w:t>2.31 %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Valuation Allowance</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98"/>
              </w:rPr>
              <w:t>(13.6)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59.81 %</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Foreign Tax Effects: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7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Ireland tax rate differential</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0.3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0"/>
        </w:trPr>
        <w:tc>
          <w:tcPr>
            <w:tcW w:w="7440" w:type="dxa"/>
            <w:vAlign w:val="bottom"/>
          </w:tcPr>
          <w:p>
            <w:pPr>
              <w:ind w:left="20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7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NonTaxable or Nondeductible Items:</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440" w:type="dxa"/>
            <w:vAlign w:val="bottom"/>
          </w:tcPr>
          <w:p>
            <w:pPr>
              <w:ind w:left="200"/>
              <w:spacing w:after="0"/>
              <w:rPr>
                <w:sz w:val="20"/>
                <w:szCs w:val="20"/>
                <w:color w:val="auto"/>
              </w:rPr>
            </w:pPr>
            <w:r>
              <w:rPr>
                <w:rFonts w:ascii="Arial" w:cs="Arial" w:eastAsia="Arial" w:hAnsi="Arial"/>
                <w:sz w:val="14"/>
                <w:szCs w:val="14"/>
                <w:color w:val="auto"/>
              </w:rPr>
              <w:t>(Gain)/Loss on Debt Restructuring</w:t>
            </w:r>
          </w:p>
        </w:tc>
        <w:tc>
          <w:tcPr>
            <w:tcW w:w="960" w:type="dxa"/>
            <w:vAlign w:val="bottom"/>
          </w:tcPr>
          <w:p>
            <w:pPr>
              <w:spacing w:after="0"/>
              <w:rPr>
                <w:sz w:val="15"/>
                <w:szCs w:val="15"/>
                <w:color w:val="auto"/>
              </w:rPr>
            </w:pPr>
          </w:p>
        </w:tc>
        <w:tc>
          <w:tcPr>
            <w:tcW w:w="760" w:type="dxa"/>
            <w:vAlign w:val="bottom"/>
          </w:tcPr>
          <w:p>
            <w:pPr>
              <w:jc w:val="right"/>
              <w:ind w:right="349"/>
              <w:spacing w:after="0"/>
              <w:rPr>
                <w:sz w:val="20"/>
                <w:szCs w:val="20"/>
                <w:color w:val="auto"/>
              </w:rPr>
            </w:pPr>
            <w:r>
              <w:rPr>
                <w:rFonts w:ascii="Arial" w:cs="Arial" w:eastAsia="Arial" w:hAnsi="Arial"/>
                <w:sz w:val="14"/>
                <w:szCs w:val="14"/>
                <w:color w:val="auto"/>
              </w:rPr>
              <w:t>20.2</w:t>
            </w:r>
          </w:p>
        </w:tc>
        <w:tc>
          <w:tcPr>
            <w:tcW w:w="1140" w:type="dxa"/>
            <w:vAlign w:val="bottom"/>
          </w:tcPr>
          <w:p>
            <w:pPr>
              <w:jc w:val="right"/>
              <w:spacing w:after="0"/>
              <w:rPr>
                <w:sz w:val="20"/>
                <w:szCs w:val="20"/>
                <w:color w:val="auto"/>
              </w:rPr>
            </w:pPr>
            <w:r>
              <w:rPr>
                <w:rFonts w:ascii="Arial" w:cs="Arial" w:eastAsia="Arial" w:hAnsi="Arial"/>
                <w:sz w:val="14"/>
                <w:szCs w:val="14"/>
                <w:color w:val="auto"/>
              </w:rPr>
              <w:t>(88.92)%</w:t>
            </w:r>
          </w:p>
        </w:tc>
      </w:tr>
      <w:tr>
        <w:trPr>
          <w:trHeight w:val="180"/>
        </w:trPr>
        <w:tc>
          <w:tcPr>
            <w:tcW w:w="7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Nondeductible Compensation</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(0.8)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3.33 %</w:t>
            </w:r>
          </w:p>
        </w:tc>
      </w:tr>
      <w:tr>
        <w:trPr>
          <w:trHeight w:val="180"/>
        </w:trPr>
        <w:tc>
          <w:tcPr>
            <w:tcW w:w="7440" w:type="dxa"/>
            <w:vAlign w:val="bottom"/>
          </w:tcPr>
          <w:p>
            <w:pPr>
              <w:ind w:left="200"/>
              <w:spacing w:after="0"/>
              <w:rPr>
                <w:sz w:val="20"/>
                <w:szCs w:val="20"/>
                <w:color w:val="auto"/>
              </w:rPr>
            </w:pPr>
            <w:r>
              <w:rPr>
                <w:rFonts w:ascii="Arial" w:cs="Arial" w:eastAsia="Arial" w:hAnsi="Arial"/>
                <w:sz w:val="14"/>
                <w:szCs w:val="14"/>
                <w:color w:val="auto"/>
              </w:rPr>
              <w:t>Nondeductible Stock Compensation</w:t>
            </w:r>
          </w:p>
        </w:tc>
        <w:tc>
          <w:tcPr>
            <w:tcW w:w="960" w:type="dxa"/>
            <w:vAlign w:val="bottom"/>
          </w:tcPr>
          <w:p>
            <w:pPr>
              <w:spacing w:after="0"/>
              <w:rPr>
                <w:sz w:val="15"/>
                <w:szCs w:val="15"/>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color w:val="auto"/>
              </w:rPr>
              <w:t>(0.5)</w:t>
            </w:r>
          </w:p>
        </w:tc>
        <w:tc>
          <w:tcPr>
            <w:tcW w:w="1140" w:type="dxa"/>
            <w:vAlign w:val="bottom"/>
          </w:tcPr>
          <w:p>
            <w:pPr>
              <w:jc w:val="right"/>
              <w:spacing w:after="0"/>
              <w:rPr>
                <w:sz w:val="20"/>
                <w:szCs w:val="20"/>
                <w:color w:val="auto"/>
              </w:rPr>
            </w:pPr>
            <w:r>
              <w:rPr>
                <w:rFonts w:ascii="Arial" w:cs="Arial" w:eastAsia="Arial" w:hAnsi="Arial"/>
                <w:sz w:val="14"/>
                <w:szCs w:val="14"/>
                <w:color w:val="auto"/>
              </w:rPr>
              <w:t>2.38 %</w:t>
            </w:r>
          </w:p>
        </w:tc>
      </w:tr>
      <w:tr>
        <w:trPr>
          <w:trHeight w:val="180"/>
        </w:trPr>
        <w:tc>
          <w:tcPr>
            <w:tcW w:w="7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(0.2)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0.66 %</w:t>
            </w:r>
          </w:p>
        </w:tc>
      </w:tr>
      <w:tr>
        <w:trPr>
          <w:trHeight w:val="18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Changes in Unrecognized Tax Benefits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r>
      <w:tr>
        <w:trPr>
          <w:trHeight w:val="19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(0.1)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00" w:hanging="113"/>
        <w:spacing w:after="0"/>
        <w:tabs>
          <w:tab w:leader="none" w:pos="500" w:val="left"/>
        </w:tabs>
        <w:numPr>
          <w:ilvl w:val="0"/>
          <w:numId w:val="65"/>
        </w:numPr>
        <w:rPr>
          <w:rFonts w:ascii="Arial" w:cs="Arial" w:eastAsia="Arial" w:hAnsi="Arial"/>
          <w:sz w:val="13"/>
          <w:szCs w:val="13"/>
          <w:i w:val="1"/>
          <w:iCs w:val="1"/>
          <w:color w:val="auto"/>
          <w:vertAlign w:val="superscript"/>
        </w:rPr>
      </w:pPr>
      <w:r>
        <w:rPr>
          <w:rFonts w:ascii="Arial" w:cs="Arial" w:eastAsia="Arial" w:hAnsi="Arial"/>
          <w:sz w:val="10"/>
          <w:szCs w:val="10"/>
          <w:color w:val="auto"/>
        </w:rPr>
        <w:t>State taxes in Texas made up the majority (greater than 50%) of the tax effect in this category.</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is a reconciliation of the U.S. federal statutory rate of 21% to the Company’s effective rate for the years ended January 31, 2025 and 2024:</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1180" w:type="dxa"/>
            <w:vAlign w:val="bottom"/>
            <w:tcBorders>
              <w:bottom w:val="single" w:sz="8" w:color="auto"/>
            </w:tcBorders>
          </w:tcPr>
          <w:p>
            <w:pPr>
              <w:spacing w:after="0"/>
              <w:rPr>
                <w:sz w:val="16"/>
                <w:szCs w:val="16"/>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2024</w:t>
            </w:r>
          </w:p>
        </w:tc>
      </w:tr>
      <w:tr>
        <w:trPr>
          <w:trHeight w:val="171"/>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 “expected” tax benefit</w:t>
            </w:r>
          </w:p>
        </w:tc>
        <w:tc>
          <w:tcPr>
            <w:tcW w:w="1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21.00 %</w:t>
            </w:r>
          </w:p>
        </w:tc>
      </w:tr>
      <w:tr>
        <w:trPr>
          <w:trHeight w:val="18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78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18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18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0.16 %</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18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year change in valuation allowance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r>
      <w:tr>
        <w:trPr>
          <w:trHeight w:val="18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1.26 %</w:t>
            </w:r>
          </w:p>
        </w:tc>
      </w:tr>
      <w:tr>
        <w:trPr>
          <w:trHeight w:val="191"/>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the unrecognized tax benefit activity for the periods indicated: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w w:val="98"/>
              </w:rPr>
              <w:t>Year Ended January 31,</w:t>
            </w:r>
          </w:p>
        </w:tc>
        <w:tc>
          <w:tcPr>
            <w:tcW w:w="1200" w:type="dxa"/>
            <w:vAlign w:val="bottom"/>
            <w:tcBorders>
              <w:bottom w:val="single" w:sz="8" w:color="auto"/>
            </w:tcBorders>
          </w:tcPr>
          <w:p>
            <w:pPr>
              <w:spacing w:after="0"/>
              <w:rPr>
                <w:sz w:val="16"/>
                <w:szCs w:val="16"/>
                <w:color w:val="auto"/>
              </w:rPr>
            </w:pPr>
          </w:p>
        </w:tc>
      </w:tr>
      <w:tr>
        <w:trPr>
          <w:trHeight w:val="171"/>
        </w:trPr>
        <w:tc>
          <w:tcPr>
            <w:tcW w:w="56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2024</w:t>
            </w:r>
          </w:p>
        </w:tc>
      </w:tr>
      <w:tr>
        <w:trPr>
          <w:trHeight w:val="17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the beginning of the period</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0"/>
        </w:trPr>
        <w:tc>
          <w:tcPr>
            <w:tcW w:w="5660" w:type="dxa"/>
            <w:vAlign w:val="bottom"/>
          </w:tcPr>
          <w:p>
            <w:pPr>
              <w:ind w:left="20"/>
              <w:spacing w:after="0"/>
              <w:rPr>
                <w:sz w:val="20"/>
                <w:szCs w:val="20"/>
                <w:color w:val="auto"/>
              </w:rPr>
            </w:pPr>
            <w:r>
              <w:rPr>
                <w:rFonts w:ascii="Arial" w:cs="Arial" w:eastAsia="Arial" w:hAnsi="Arial"/>
                <w:sz w:val="14"/>
                <w:szCs w:val="14"/>
                <w:color w:val="auto"/>
              </w:rPr>
              <w:t>Additions for tax positions of the current year</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 for tax positions of prior years</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660" w:type="dxa"/>
            <w:vAlign w:val="bottom"/>
          </w:tcPr>
          <w:p>
            <w:pPr>
              <w:ind w:left="20"/>
              <w:spacing w:after="0"/>
              <w:rPr>
                <w:sz w:val="20"/>
                <w:szCs w:val="20"/>
                <w:color w:val="auto"/>
              </w:rPr>
            </w:pPr>
            <w:r>
              <w:rPr>
                <w:rFonts w:ascii="Arial" w:cs="Arial" w:eastAsia="Arial" w:hAnsi="Arial"/>
                <w:sz w:val="14"/>
                <w:szCs w:val="14"/>
                <w:color w:val="auto"/>
              </w:rPr>
              <w:t>Reductions for tax positions of prior years</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Lapse of statute of limitations</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Settlements</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9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the end of the period</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amount of unrecognized tax benefits included on the Consolidated Balance Sheets as of January 31, 2026 and 2025 are $1.1 million and $1.2 million, respectively.</w:t>
      </w:r>
    </w:p>
    <w:p>
      <w:pPr>
        <w:spacing w:after="0" w:line="200"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The Company is subject to United States federal and state taxation, as well as subject to taxation in Ireland. The Company may be subject to examination by the Internal Revenue Service (the “IRS”) and as of January 31, 2026, tax year 2022 and years filed thereafter remain open to examination. These examinations may result in proposed adjustments to the Company’s income tax liability or tax attributes with respect to years under examination as well as subsequent periods.</w:t>
      </w:r>
    </w:p>
    <w:p>
      <w:pPr>
        <w:spacing w:after="0" w:line="15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total taxes paid, net of refunds received, by jurisdiction: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January</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2026</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net of refunds received:</w:t>
            </w:r>
          </w:p>
        </w:tc>
        <w:tc>
          <w:tcPr>
            <w:tcW w:w="4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State and Local:</w:t>
            </w: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48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New York State</w:t>
            </w: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 City</w:t>
            </w:r>
          </w:p>
        </w:tc>
        <w:tc>
          <w:tcPr>
            <w:tcW w:w="4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South Carolina</w:t>
            </w: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Philadelphia</w:t>
            </w:r>
          </w:p>
        </w:tc>
        <w:tc>
          <w:tcPr>
            <w:tcW w:w="4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5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0.01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State and Local taxes paid, net of refunds received</w:t>
            </w:r>
          </w:p>
        </w:tc>
        <w:tc>
          <w:tcPr>
            <w:tcW w:w="45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0.22</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4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Ireland</w:t>
            </w: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0.04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Total Taxes Paid, net of refund received</w:t>
            </w:r>
          </w:p>
        </w:tc>
        <w:tc>
          <w:tcPr>
            <w:tcW w:w="450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0.26</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500" w:type="dxa"/>
            <w:vAlign w:val="bottom"/>
            <w:vMerge w:val="restart"/>
          </w:tcPr>
          <w:p>
            <w:pPr>
              <w:jc w:val="right"/>
              <w:ind w:right="3389"/>
              <w:spacing w:after="0"/>
              <w:rPr>
                <w:sz w:val="20"/>
                <w:szCs w:val="20"/>
                <w:color w:val="auto"/>
              </w:rPr>
            </w:pPr>
            <w:r>
              <w:rPr>
                <w:rFonts w:ascii="Arial" w:cs="Arial" w:eastAsia="Arial" w:hAnsi="Arial"/>
                <w:sz w:val="14"/>
                <w:szCs w:val="14"/>
                <w:color w:val="auto"/>
              </w:rPr>
              <w:t>127</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2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2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2026</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share payable</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2"/>
        </w:trPr>
        <w:tc>
          <w:tcPr>
            <w:tcW w:w="7280" w:type="dxa"/>
            <w:vAlign w:val="bottom"/>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related expenses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2"/>
        </w:trPr>
        <w:tc>
          <w:tcPr>
            <w:tcW w:w="72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other taxes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financing</w:t>
            </w: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37"/>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borrowing rate for the short-term financing obligation was 8.00% and 5.50% as of January 31, 2026 and 2025, respectively.</w:t>
      </w:r>
    </w:p>
    <w:p>
      <w:pPr>
        <w:spacing w:after="0" w:line="263" w:lineRule="exact"/>
        <w:rPr>
          <w:sz w:val="20"/>
          <w:szCs w:val="20"/>
          <w:color w:val="auto"/>
        </w:rPr>
      </w:pPr>
    </w:p>
    <w:p>
      <w:pPr>
        <w:ind w:left="380" w:hanging="375"/>
        <w:spacing w:after="0"/>
        <w:tabs>
          <w:tab w:leader="none" w:pos="3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93" w:lineRule="exact"/>
        <w:rPr>
          <w:rFonts w:ascii="Arial" w:cs="Arial" w:eastAsia="Arial" w:hAnsi="Arial"/>
          <w:sz w:val="14"/>
          <w:szCs w:val="14"/>
          <w:b w:val="1"/>
          <w:bCs w:val="1"/>
          <w:color w:val="auto"/>
        </w:rPr>
      </w:pPr>
    </w:p>
    <w:p>
      <w:pPr>
        <w:ind w:left="380" w:right="4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1" w:lineRule="exact"/>
        <w:rPr>
          <w:rFonts w:ascii="Arial" w:cs="Arial" w:eastAsia="Arial" w:hAnsi="Arial"/>
          <w:sz w:val="14"/>
          <w:szCs w:val="14"/>
          <w:b w:val="1"/>
          <w:bCs w:val="1"/>
          <w:color w:val="auto"/>
        </w:rPr>
      </w:pPr>
    </w:p>
    <w:p>
      <w:pPr>
        <w:ind w:left="380" w:right="1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January 31, 2026 and 2025,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130" w:lineRule="exact"/>
        <w:rPr>
          <w:rFonts w:ascii="Arial" w:cs="Arial" w:eastAsia="Arial" w:hAnsi="Arial"/>
          <w:sz w:val="14"/>
          <w:szCs w:val="14"/>
          <w:b w:val="1"/>
          <w:bCs w:val="1"/>
          <w:color w:val="auto"/>
        </w:rPr>
      </w:pPr>
    </w:p>
    <w:p>
      <w:pPr>
        <w:ind w:left="380"/>
        <w:spacing w:after="0" w:line="244"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Consolidated Balance Sheets. See “Note 9 – Long-Term Debt”. The Company estimates the fair value of its long-term debt using a Black-Derman-Toy (BDT) model based on the Company’s implied credit spread using the median of option adjusted spreads for similar financial instruments with similar credit ratings, and, as such, long-term debt is classified as Level 3 within the fair value hierarchy. As of January 31, 2026, the estimated fair value of the Company’s long-term debt approximates its principal amount.</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3"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9480" w:hanging="375"/>
        <w:spacing w:after="0" w:line="428" w:lineRule="auto"/>
        <w:tabs>
          <w:tab w:leader="none" w:pos="375"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Rights Offering</w:t>
      </w:r>
    </w:p>
    <w:p>
      <w:pPr>
        <w:spacing w:after="0" w:line="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See “Note 4 - Recapitalization Transactions” and “Note 15 - Net Income (Loss) per Share Attributable to Common Stockholders” for information regarding the rights offering.</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Reverse Stock Split</w:t>
      </w:r>
    </w:p>
    <w:p>
      <w:pPr>
        <w:spacing w:after="0" w:line="187" w:lineRule="exact"/>
        <w:rPr>
          <w:rFonts w:ascii="Arial" w:cs="Arial" w:eastAsia="Arial" w:hAnsi="Arial"/>
          <w:sz w:val="14"/>
          <w:szCs w:val="14"/>
          <w:b w:val="1"/>
          <w:bCs w:val="1"/>
          <w:color w:val="auto"/>
        </w:rPr>
      </w:pPr>
    </w:p>
    <w:p>
      <w:pPr>
        <w:ind w:left="380" w:right="60"/>
        <w:spacing w:after="0"/>
        <w:rPr>
          <w:rFonts w:ascii="Arial" w:cs="Arial" w:eastAsia="Arial" w:hAnsi="Arial"/>
          <w:sz w:val="14"/>
          <w:szCs w:val="14"/>
          <w:b w:val="1"/>
          <w:bCs w:val="1"/>
          <w:color w:val="auto"/>
        </w:rPr>
      </w:pPr>
      <w:r>
        <w:rPr>
          <w:rFonts w:ascii="Arial" w:cs="Arial" w:eastAsia="Arial" w:hAnsi="Arial"/>
          <w:sz w:val="14"/>
          <w:szCs w:val="14"/>
          <w:color w:val="auto"/>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 All per share amounts and common shares amounts have been adjusted on a retroactive basis to reflect the Reverse Stock Split for all periods.</w:t>
      </w:r>
    </w:p>
    <w:p>
      <w:pPr>
        <w:spacing w:after="0" w:line="165" w:lineRule="exact"/>
        <w:rPr>
          <w:rFonts w:ascii="Arial" w:cs="Arial" w:eastAsia="Arial" w:hAnsi="Arial"/>
          <w:sz w:val="14"/>
          <w:szCs w:val="14"/>
          <w:b w:val="1"/>
          <w:bCs w:val="1"/>
          <w:color w:val="auto"/>
        </w:rPr>
      </w:pPr>
    </w:p>
    <w:p>
      <w:pPr>
        <w:ind w:left="380"/>
        <w:spacing w:after="0" w:line="243" w:lineRule="auto"/>
        <w:rPr>
          <w:rFonts w:ascii="Arial" w:cs="Arial" w:eastAsia="Arial" w:hAnsi="Arial"/>
          <w:sz w:val="14"/>
          <w:szCs w:val="14"/>
          <w:b w:val="1"/>
          <w:bCs w:val="1"/>
          <w:color w:val="auto"/>
        </w:rPr>
      </w:pPr>
      <w:r>
        <w:rPr>
          <w:rFonts w:ascii="Arial" w:cs="Arial" w:eastAsia="Arial" w:hAnsi="Arial"/>
          <w:sz w:val="14"/>
          <w:szCs w:val="14"/>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176"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Common Stock</w:t>
      </w:r>
    </w:p>
    <w:p>
      <w:pPr>
        <w:spacing w:after="0" w:line="91" w:lineRule="exact"/>
        <w:rPr>
          <w:rFonts w:ascii="Arial" w:cs="Arial" w:eastAsia="Arial" w:hAnsi="Arial"/>
          <w:sz w:val="14"/>
          <w:szCs w:val="14"/>
          <w:b w:val="1"/>
          <w:bCs w:val="1"/>
          <w:color w:val="auto"/>
        </w:rPr>
      </w:pPr>
    </w:p>
    <w:p>
      <w:pPr>
        <w:ind w:left="380"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and, upon liquidation, dissolution, winding up or other liquidation event of the Company, all assets available for distribution to common stockholders. There are no redemption provisions with respect to common stock.</w:t>
      </w:r>
    </w:p>
    <w:p>
      <w:pPr>
        <w:spacing w:after="0" w:line="154" w:lineRule="exact"/>
        <w:rPr>
          <w:rFonts w:ascii="Arial" w:cs="Arial" w:eastAsia="Arial" w:hAnsi="Arial"/>
          <w:sz w:val="14"/>
          <w:szCs w:val="14"/>
          <w:b w:val="1"/>
          <w:bCs w:val="1"/>
          <w:color w:val="auto"/>
        </w:rPr>
      </w:pPr>
    </w:p>
    <w:p>
      <w:pPr>
        <w:ind w:left="380" w:right="2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In connection with the closing of the Recapitalization Transactions, all outstanding shares of the Company’s Class B common stock were converted into shares of Class A common stock on a one-for-one basis, such that no shares of Class B common stock remain outstanding. See “Note 4 - Recapitalization Transactions” and “Note 14 — Share-based Compensation Plans” in the Notes to the Consolidated Financial Statements for more information.</w:t>
      </w:r>
    </w:p>
    <w:p>
      <w:pPr>
        <w:spacing w:after="0" w:line="2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right="1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January 31,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January 31, 2026 and 2025,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960" w:type="dxa"/>
            <w:vAlign w:val="bottom"/>
          </w:tcPr>
          <w:p>
            <w:pPr>
              <w:spacing w:after="0"/>
              <w:rPr>
                <w:sz w:val="11"/>
                <w:szCs w:val="11"/>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Date</w:t>
            </w:r>
          </w:p>
        </w:tc>
        <w:tc>
          <w:tcPr>
            <w:tcW w:w="1220" w:type="dxa"/>
            <w:vAlign w:val="bottom"/>
          </w:tcPr>
          <w:p>
            <w:pPr>
              <w:jc w:val="right"/>
              <w:ind w:right="25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280" w:type="dxa"/>
            <w:vAlign w:val="bottom"/>
            <w:gridSpan w:val="2"/>
          </w:tcPr>
          <w:p>
            <w:pPr>
              <w:ind w:left="380"/>
              <w:spacing w:after="0"/>
              <w:rPr>
                <w:sz w:val="20"/>
                <w:szCs w:val="20"/>
                <w:color w:val="auto"/>
              </w:rPr>
            </w:pPr>
            <w:r>
              <w:rPr>
                <w:rFonts w:ascii="Arial" w:cs="Arial" w:eastAsia="Arial" w:hAnsi="Arial"/>
                <w:sz w:val="11"/>
                <w:szCs w:val="11"/>
                <w:b w:val="1"/>
                <w:bCs w:val="1"/>
                <w:color w:val="auto"/>
              </w:rPr>
              <w:t>Class of</w:t>
            </w:r>
          </w:p>
        </w:tc>
        <w:tc>
          <w:tcPr>
            <w:tcW w:w="22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Exercise</w:t>
            </w:r>
          </w:p>
        </w:tc>
        <w:tc>
          <w:tcPr>
            <w:tcW w:w="180" w:type="dxa"/>
            <w:vAlign w:val="bottom"/>
          </w:tcPr>
          <w:p>
            <w:pPr>
              <w:spacing w:after="0"/>
              <w:rPr>
                <w:sz w:val="11"/>
                <w:szCs w:val="11"/>
                <w:color w:val="auto"/>
              </w:rPr>
            </w:pPr>
          </w:p>
        </w:tc>
        <w:tc>
          <w:tcPr>
            <w:tcW w:w="960" w:type="dxa"/>
            <w:vAlign w:val="bottom"/>
          </w:tcPr>
          <w:p>
            <w:pPr>
              <w:jc w:val="right"/>
              <w:ind w:right="251"/>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65"/>
        </w:trPr>
        <w:tc>
          <w:tcPr>
            <w:tcW w:w="2960" w:type="dxa"/>
            <w:vAlign w:val="bottom"/>
          </w:tcPr>
          <w:p>
            <w:pPr>
              <w:ind w:left="900"/>
              <w:spacing w:after="0"/>
              <w:rPr>
                <w:sz w:val="20"/>
                <w:szCs w:val="20"/>
                <w:color w:val="auto"/>
              </w:rPr>
            </w:pPr>
            <w:r>
              <w:rPr>
                <w:rFonts w:ascii="Arial" w:cs="Arial" w:eastAsia="Arial" w:hAnsi="Arial"/>
                <w:sz w:val="11"/>
                <w:szCs w:val="11"/>
                <w:b w:val="1"/>
                <w:bCs w:val="1"/>
                <w:color w:val="auto"/>
              </w:rPr>
              <w:t>Outstanding Warrants</w:t>
            </w:r>
          </w:p>
        </w:tc>
        <w:tc>
          <w:tcPr>
            <w:tcW w:w="11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Issued</w:t>
            </w:r>
          </w:p>
        </w:tc>
        <w:tc>
          <w:tcPr>
            <w:tcW w:w="1220" w:type="dxa"/>
            <w:vAlign w:val="bottom"/>
          </w:tcPr>
          <w:p>
            <w:pPr>
              <w:jc w:val="right"/>
              <w:ind w:right="35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Shares</w:t>
            </w:r>
          </w:p>
        </w:tc>
        <w:tc>
          <w:tcPr>
            <w:tcW w:w="12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Price (Per Warrant)</w:t>
            </w:r>
          </w:p>
        </w:tc>
        <w:tc>
          <w:tcPr>
            <w:tcW w:w="180" w:type="dxa"/>
            <w:vAlign w:val="bottom"/>
          </w:tcPr>
          <w:p>
            <w:pPr>
              <w:spacing w:after="0"/>
              <w:rPr>
                <w:sz w:val="14"/>
                <w:szCs w:val="14"/>
                <w:color w:val="auto"/>
              </w:rPr>
            </w:pPr>
          </w:p>
        </w:tc>
        <w:tc>
          <w:tcPr>
            <w:tcW w:w="960" w:type="dxa"/>
            <w:vAlign w:val="bottom"/>
          </w:tcPr>
          <w:p>
            <w:pPr>
              <w:jc w:val="right"/>
              <w:ind w:right="191"/>
              <w:spacing w:after="0"/>
              <w:rPr>
                <w:sz w:val="20"/>
                <w:szCs w:val="20"/>
                <w:color w:val="auto"/>
              </w:rPr>
            </w:pPr>
            <w:r>
              <w:rPr>
                <w:rFonts w:ascii="Arial" w:cs="Arial" w:eastAsia="Arial" w:hAnsi="Arial"/>
                <w:sz w:val="11"/>
                <w:szCs w:val="11"/>
                <w:b w:val="1"/>
                <w:bCs w:val="1"/>
                <w:color w:val="auto"/>
              </w:rPr>
              <w:t>at Issuance</w:t>
            </w:r>
          </w:p>
        </w:tc>
        <w:tc>
          <w:tcPr>
            <w:tcW w:w="80" w:type="dxa"/>
            <w:vAlign w:val="bottom"/>
          </w:tcPr>
          <w:p>
            <w:pPr>
              <w:spacing w:after="0"/>
              <w:rPr>
                <w:sz w:val="14"/>
                <w:szCs w:val="14"/>
                <w:color w:val="auto"/>
              </w:rPr>
            </w:pPr>
          </w:p>
        </w:tc>
        <w:tc>
          <w:tcPr>
            <w:tcW w:w="1100" w:type="dxa"/>
            <w:vAlign w:val="bottom"/>
          </w:tcPr>
          <w:p>
            <w:pPr>
              <w:jc w:val="right"/>
              <w:ind w:right="71"/>
              <w:spacing w:after="0"/>
              <w:rPr>
                <w:sz w:val="20"/>
                <w:szCs w:val="20"/>
                <w:color w:val="auto"/>
              </w:rPr>
            </w:pPr>
            <w:r>
              <w:rPr>
                <w:rFonts w:ascii="Arial" w:cs="Arial" w:eastAsia="Arial" w:hAnsi="Arial"/>
                <w:sz w:val="11"/>
                <w:szCs w:val="11"/>
                <w:b w:val="1"/>
                <w:bCs w:val="1"/>
                <w:color w:val="auto"/>
              </w:rPr>
              <w:t>Expiration Date</w:t>
            </w:r>
          </w:p>
        </w:tc>
      </w:tr>
      <w:tr>
        <w:trPr>
          <w:trHeight w:val="19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220" w:type="dxa"/>
            <w:vAlign w:val="bottom"/>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7"/>
                <w:szCs w:val="17"/>
                <w:color w:val="auto"/>
              </w:rPr>
            </w:pPr>
          </w:p>
        </w:tc>
        <w:tc>
          <w:tcPr>
            <w:tcW w:w="1280" w:type="dxa"/>
            <w:vAlign w:val="bottom"/>
            <w:gridSpan w:val="2"/>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tcPr>
          <w:p>
            <w:pPr>
              <w:jc w:val="right"/>
              <w:ind w:right="56"/>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Oct-26</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Jun-17</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Oct-26</w:t>
            </w: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22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7"/>
                <w:szCs w:val="17"/>
                <w:color w:val="auto"/>
              </w:rPr>
            </w:pPr>
          </w:p>
        </w:tc>
        <w:tc>
          <w:tcPr>
            <w:tcW w:w="1280" w:type="dxa"/>
            <w:vAlign w:val="bottom"/>
            <w:gridSpan w:val="2"/>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Oct-26</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Jan-18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Oct-26</w:t>
            </w: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22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7"/>
                <w:szCs w:val="17"/>
                <w:color w:val="auto"/>
              </w:rPr>
            </w:pPr>
          </w:p>
        </w:tc>
        <w:tc>
          <w:tcPr>
            <w:tcW w:w="1280" w:type="dxa"/>
            <w:vAlign w:val="bottom"/>
            <w:gridSpan w:val="2"/>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Oct-26</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Nov-15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Oct-26</w:t>
            </w: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220" w:type="dxa"/>
            <w:vAlign w:val="bottom"/>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7"/>
                <w:szCs w:val="17"/>
                <w:color w:val="auto"/>
              </w:rPr>
            </w:pPr>
          </w:p>
        </w:tc>
        <w:tc>
          <w:tcPr>
            <w:tcW w:w="1280" w:type="dxa"/>
            <w:vAlign w:val="bottom"/>
            <w:gridSpan w:val="2"/>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Oct-26</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Sep-16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Oct-26</w:t>
            </w: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color w:val="auto"/>
              </w:rPr>
              <w:t>CHS (US) Management LLC</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22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280" w:type="dxa"/>
            <w:vAlign w:val="bottom"/>
            <w:gridSpan w:val="2"/>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Oct-28</w:t>
            </w: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CHS (US) Management LLC</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Common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Jan-30</w:t>
            </w:r>
          </w:p>
        </w:tc>
      </w:tr>
      <w:tr>
        <w:trPr>
          <w:trHeight w:val="203"/>
        </w:trPr>
        <w:tc>
          <w:tcPr>
            <w:tcW w:w="2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140"/>
        <w:spacing w:after="0" w:line="290" w:lineRule="auto"/>
        <w:rPr>
          <w:sz w:val="20"/>
          <w:szCs w:val="20"/>
          <w:color w:val="auto"/>
        </w:rPr>
      </w:pPr>
      <w:r>
        <w:rPr>
          <w:rFonts w:ascii="Arial" w:cs="Arial" w:eastAsia="Arial" w:hAnsi="Arial"/>
          <w:sz w:val="14"/>
          <w:szCs w:val="14"/>
          <w:color w:val="auto"/>
        </w:rPr>
        <w:t>As of January 31, 2026 and 2025, all outstanding warrants were equity-classified and recorded as additional paid-in capital. Equity-classified contracts are not subsequently remeasured unless reclassification is required from equity to liability classification.</w:t>
      </w:r>
    </w:p>
    <w:p>
      <w:pPr>
        <w:spacing w:after="0" w:line="141"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0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197" w:lineRule="exact"/>
        <w:rPr>
          <w:rFonts w:ascii="Arial" w:cs="Arial" w:eastAsia="Arial" w:hAnsi="Arial"/>
          <w:sz w:val="14"/>
          <w:szCs w:val="14"/>
          <w:b w:val="1"/>
          <w:bCs w:val="1"/>
          <w:color w:val="auto"/>
        </w:rPr>
      </w:pPr>
    </w:p>
    <w:p>
      <w:pPr>
        <w:ind w:left="380" w:right="1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There are no outstanding RSUs under the 2009 Plan and 2019 Plan as of January 31, 2026. There will not be any further equity grants under the 2009 and 2019 Plans.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198" w:lineRule="exact"/>
        <w:rPr>
          <w:sz w:val="20"/>
          <w:szCs w:val="20"/>
          <w:color w:val="auto"/>
        </w:rPr>
      </w:pPr>
    </w:p>
    <w:p>
      <w:pPr>
        <w:ind w:left="380" w:right="20"/>
        <w:spacing w:after="0" w:line="260" w:lineRule="auto"/>
        <w:rPr>
          <w:sz w:val="20"/>
          <w:szCs w:val="20"/>
          <w:color w:val="auto"/>
        </w:rPr>
      </w:pPr>
      <w:r>
        <w:rPr>
          <w:rFonts w:ascii="Arial" w:cs="Arial" w:eastAsia="Arial" w:hAnsi="Arial"/>
          <w:sz w:val="14"/>
          <w:szCs w:val="14"/>
          <w:color w:val="auto"/>
        </w:rPr>
        <w:t>The Company's Amended and Restated 2021 Incentive Award Plan (the "2021 Plan") was adopted by the Board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years ended January 31, 2026 and 2025 have a shorter vesting period of one to two years. There will not be any further equity grants under the 2021 Plan. See below for details of the Second Amended and Restated 2021 Incentive Award Plan.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Second Amended and Restated 2021 Incentive Award Plan</w:t>
      </w:r>
    </w:p>
    <w:p>
      <w:pPr>
        <w:spacing w:after="0" w:line="198"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In October 2025, the Company’s stockholders approved the Second Amended and Restated 2021 Incentive Award Plan (the “Amended 2021 Plan”), which the Board approved in September 2025, to increase the number of shares of Class A common stock reserved for issuance thereunder by the number of shares equal to 18.3% of the shares of Class A common stock outstanding immediately prior to the closing of the Recapitalization Transactions and extend the expiration date to the tenth anniversary of the closing date, October 28, 2035. As of January 31, 2026, there were 5,735,226 shares of Class A common stock available for issuance under the Amended 2021 Plan. The PSU awards have been included assuming payout at target level. There will not be any further equity grants of Class B common stock. Shares of Class B common stock are not available for issuance under the Amended 2021 Plan.</w:t>
      </w:r>
    </w:p>
    <w:p>
      <w:pPr>
        <w:spacing w:after="0" w:line="142"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The risk-free rate for the expected term of the option is based on the U.S. Treasury yield curve at the date of grant. There were no stock options granted during the years ended January 31, 2026, 2025, and 2024.</w:t>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Average</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Weighted</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Remaining</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Average</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Contract</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1"/>
                <w:szCs w:val="11"/>
                <w:color w:val="auto"/>
              </w:rPr>
            </w:pPr>
          </w:p>
        </w:tc>
        <w:tc>
          <w:tcPr>
            <w:tcW w:w="1420" w:type="dxa"/>
            <w:vAlign w:val="bottom"/>
          </w:tcPr>
          <w:p>
            <w:pPr>
              <w:jc w:val="right"/>
              <w:ind w:right="353"/>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Exercise</w:t>
            </w: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280" w:type="dxa"/>
            <w:vAlign w:val="bottom"/>
          </w:tcPr>
          <w:p>
            <w:pPr>
              <w:spacing w:after="0"/>
              <w:rPr>
                <w:sz w:val="11"/>
                <w:szCs w:val="11"/>
                <w:color w:val="auto"/>
              </w:rPr>
            </w:pPr>
          </w:p>
        </w:tc>
        <w:tc>
          <w:tcPr>
            <w:tcW w:w="1160" w:type="dxa"/>
            <w:vAlign w:val="bottom"/>
          </w:tcPr>
          <w:p>
            <w:pPr>
              <w:jc w:val="center"/>
              <w:ind w:right="21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65"/>
        </w:trPr>
        <w:tc>
          <w:tcPr>
            <w:tcW w:w="43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w w:val="96"/>
              </w:rPr>
              <w:t>Price</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34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152.50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175.64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as of January 31, 2026</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175.64</w:t>
            </w: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CCEEFF"/>
              <w:bottom w:val="single" w:sz="8" w:color="CCEEFF"/>
            </w:tcBorders>
            <w:vMerge w:val="restart"/>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5"/>
        </w:trPr>
        <w:tc>
          <w:tcPr>
            <w:tcW w:w="4340" w:type="dxa"/>
            <w:vAlign w:val="bottom"/>
            <w:vMerge w:val="continue"/>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12,081</w:t>
            </w:r>
          </w:p>
        </w:tc>
        <w:tc>
          <w:tcPr>
            <w:tcW w:w="38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were no options exercised during the years ended January 31, 2025 and 2024.</w:t>
      </w:r>
    </w:p>
    <w:p>
      <w:pPr>
        <w:spacing w:after="0" w:line="200"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January 31, 2026, unrecognized compensation cost related to stock options granted was immaterial and is expected to be recognized over a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 Class A and Class B common stock were forfeited in exchange for 132,546 RSUs which generally vest over two years. The Company will recognize $0.8 million of incremental stock compensation expense from the RSUs granted as a result of the option exchange which will be recognized over the two year vesting period.</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Weighted</w:t>
            </w:r>
          </w:p>
        </w:tc>
      </w:tr>
      <w:tr>
        <w:trPr>
          <w:trHeight w:val="138"/>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r>
      <w:tr>
        <w:trPr>
          <w:trHeight w:val="127"/>
        </w:trPr>
        <w:tc>
          <w:tcPr>
            <w:tcW w:w="7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Grant-Date</w:t>
            </w:r>
          </w:p>
        </w:tc>
      </w:tr>
      <w:tr>
        <w:trPr>
          <w:trHeight w:val="138"/>
        </w:trPr>
        <w:tc>
          <w:tcPr>
            <w:tcW w:w="7400" w:type="dxa"/>
            <w:vAlign w:val="bottom"/>
          </w:tcPr>
          <w:p>
            <w:pPr>
              <w:spacing w:after="0"/>
              <w:rPr>
                <w:sz w:val="11"/>
                <w:szCs w:val="11"/>
                <w:color w:val="auto"/>
              </w:rPr>
            </w:pPr>
          </w:p>
        </w:tc>
        <w:tc>
          <w:tcPr>
            <w:tcW w:w="1420" w:type="dxa"/>
            <w:vAlign w:val="bottom"/>
          </w:tcPr>
          <w:p>
            <w:pPr>
              <w:jc w:val="right"/>
              <w:ind w:right="35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rPr>
                <w:sz w:val="20"/>
                <w:szCs w:val="20"/>
                <w:color w:val="auto"/>
              </w:rPr>
            </w:pPr>
            <w:r>
              <w:rPr>
                <w:rFonts w:ascii="Arial" w:cs="Arial" w:eastAsia="Arial" w:hAnsi="Arial"/>
                <w:sz w:val="11"/>
                <w:szCs w:val="11"/>
                <w:b w:val="1"/>
                <w:bCs w:val="1"/>
                <w:color w:val="auto"/>
              </w:rPr>
              <w:t>Fair Value</w:t>
            </w:r>
          </w:p>
        </w:tc>
      </w:tr>
      <w:tr>
        <w:trPr>
          <w:trHeight w:val="160"/>
        </w:trPr>
        <w:tc>
          <w:tcPr>
            <w:tcW w:w="74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333,899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r>
      <w:tr>
        <w:trPr>
          <w:trHeight w:val="202"/>
        </w:trPr>
        <w:tc>
          <w:tcPr>
            <w:tcW w:w="7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2,365,444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2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w:t>
            </w:r>
          </w:p>
        </w:tc>
      </w:tr>
      <w:tr>
        <w:trPr>
          <w:trHeight w:val="20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(120,784)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17.37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2,343,505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weighted average grant date fair values of RSUs granted for the years ended January 31, 2025 and 2024 were $8.45 and $49.80 per share, respectively.</w:t>
      </w:r>
    </w:p>
    <w:p>
      <w:pPr>
        <w:spacing w:after="0" w:line="200" w:lineRule="exact"/>
        <w:rPr>
          <w:sz w:val="20"/>
          <w:szCs w:val="20"/>
          <w:color w:val="auto"/>
        </w:rPr>
      </w:pPr>
    </w:p>
    <w:p>
      <w:pPr>
        <w:ind w:left="380" w:right="340"/>
        <w:spacing w:after="0" w:line="290" w:lineRule="auto"/>
        <w:rPr>
          <w:sz w:val="20"/>
          <w:szCs w:val="20"/>
          <w:color w:val="auto"/>
        </w:rPr>
      </w:pPr>
      <w:r>
        <w:rPr>
          <w:rFonts w:ascii="Arial" w:cs="Arial" w:eastAsia="Arial" w:hAnsi="Arial"/>
          <w:sz w:val="14"/>
          <w:szCs w:val="14"/>
          <w:color w:val="auto"/>
        </w:rPr>
        <w:t>As of January 31, 2026, there was $11.5 million of unrecognized compensation cost related to RSUs granted that is expected to be recognized over a weighted average period of 3.7 years. Of the total unrecognized compensation cost, an immaterial amount related to RSUs granted as a result of the option exchange.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Performance RSUs</w:t>
      </w:r>
    </w:p>
    <w:p>
      <w:pPr>
        <w:spacing w:after="0" w:line="177" w:lineRule="exact"/>
        <w:rPr>
          <w:sz w:val="20"/>
          <w:szCs w:val="20"/>
          <w:color w:val="auto"/>
        </w:rPr>
      </w:pPr>
    </w:p>
    <w:p>
      <w:pPr>
        <w:jc w:val="both"/>
        <w:ind w:left="380" w:right="100"/>
        <w:spacing w:after="0" w:line="271" w:lineRule="auto"/>
        <w:rPr>
          <w:sz w:val="20"/>
          <w:szCs w:val="20"/>
          <w:color w:val="auto"/>
        </w:rPr>
      </w:pPr>
      <w:r>
        <w:rPr>
          <w:rFonts w:ascii="Arial" w:cs="Arial" w:eastAsia="Arial" w:hAnsi="Arial"/>
          <w:sz w:val="14"/>
          <w:szCs w:val="14"/>
          <w:color w:val="auto"/>
        </w:rPr>
        <w:t>PSU awards require the achievement of certain performance targets established by the Company’s Board of Directors during a three-year performance period. PSU awards vest following the last day of the performance period, subject to continued employment through such date. Share-based compensation expense is recognized based on the Company’s best estimate of expected performance.</w:t>
      </w:r>
    </w:p>
    <w:p>
      <w:pPr>
        <w:spacing w:after="0" w:line="155"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During the year ended January 31, 2026, the Company’s Board of Directors approved 2,206,540 PSU awards for employees. These awards were not deemed granted during the year ended January 31, 2026 as the performance targets have not been established. There were no PSU awards granted prior to fiscal year 2025. The Company recognized no share-based compensation expense for the PSU awards during the year ended January 31, 2026 and excluded them from the calculation of weighted-average shares used in computing diluted net income (loss) per share although they are potentially dilutive as the performance targets have not been established or met. The PSU awards may vest up to 200% of the number of awards granted based on the achievement of performance targets.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92" w:lineRule="exact"/>
        <w:rPr>
          <w:sz w:val="20"/>
          <w:szCs w:val="20"/>
          <w:color w:val="auto"/>
        </w:rPr>
      </w:pPr>
    </w:p>
    <w:p>
      <w:pPr>
        <w:ind w:left="380" w:right="320"/>
        <w:spacing w:after="0" w:line="290" w:lineRule="auto"/>
        <w:rPr>
          <w:sz w:val="20"/>
          <w:szCs w:val="20"/>
          <w:color w:val="auto"/>
        </w:rPr>
      </w:pPr>
      <w:r>
        <w:rPr>
          <w:rFonts w:ascii="Arial" w:cs="Arial" w:eastAsia="Arial" w:hAnsi="Arial"/>
          <w:sz w:val="14"/>
          <w:szCs w:val="14"/>
          <w:color w:val="auto"/>
        </w:rPr>
        <w:t>The classification of share-based compensation for the years ended January 31, 2026, 2025 and 2024, respectively, presented within each line item of the Consolidated Statements of Operations is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59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5"/>
        </w:trPr>
        <w:tc>
          <w:tcPr>
            <w:tcW w:w="59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1"/>
                <w:szCs w:val="11"/>
                <w:b w:val="1"/>
                <w:bCs w:val="1"/>
                <w:color w:val="auto"/>
              </w:rPr>
              <w:t>2024</w:t>
            </w:r>
          </w:p>
        </w:tc>
      </w:tr>
      <w:tr>
        <w:trPr>
          <w:trHeight w:val="193"/>
        </w:trPr>
        <w:tc>
          <w:tcPr>
            <w:tcW w:w="59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tcPr>
          <w:p>
            <w:pPr>
              <w:jc w:val="right"/>
              <w:ind w:right="834"/>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237"/>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The Company recognized $2.4 million of incremental share-based compensation expense in General and administrative expenses during the year ended January 31, 2024 due to equity award modifications related to the transition of the Chief Financial Officer role.</w:t>
      </w:r>
    </w:p>
    <w:p>
      <w:pPr>
        <w:spacing w:after="0" w:line="131" w:lineRule="exact"/>
        <w:rPr>
          <w:sz w:val="20"/>
          <w:szCs w:val="20"/>
          <w:color w:val="auto"/>
        </w:rPr>
      </w:pPr>
    </w:p>
    <w:p>
      <w:pPr>
        <w:ind w:left="380"/>
        <w:spacing w:after="0" w:line="274" w:lineRule="auto"/>
        <w:rPr>
          <w:sz w:val="20"/>
          <w:szCs w:val="20"/>
          <w:color w:val="auto"/>
        </w:rPr>
      </w:pPr>
      <w:r>
        <w:rPr>
          <w:rFonts w:ascii="Arial" w:cs="Arial" w:eastAsia="Arial" w:hAnsi="Arial"/>
          <w:sz w:val="14"/>
          <w:szCs w:val="14"/>
          <w:color w:val="auto"/>
        </w:rPr>
        <w:t>The Company recognized $0.7 million and $1.6 million of share-based compensation expense during the years ended January 31, 2026 and 2025, respectively, on the RSUs granted as a result of the option exchange discussed above.</w:t>
      </w:r>
    </w:p>
    <w:p>
      <w:pPr>
        <w:spacing w:after="0" w:line="216" w:lineRule="exact"/>
        <w:rPr>
          <w:sz w:val="20"/>
          <w:szCs w:val="20"/>
          <w:color w:val="auto"/>
        </w:rPr>
      </w:pPr>
    </w:p>
    <w:p>
      <w:pPr>
        <w:ind w:left="380" w:hanging="375"/>
        <w:spacing w:after="0"/>
        <w:tabs>
          <w:tab w:leader="none" w:pos="38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(Loss) per Share Attributable to Common Stockholders</w:t>
      </w:r>
    </w:p>
    <w:p>
      <w:pPr>
        <w:spacing w:after="0" w:line="93" w:lineRule="exact"/>
        <w:rPr>
          <w:rFonts w:ascii="Arial" w:cs="Arial" w:eastAsia="Arial" w:hAnsi="Arial"/>
          <w:sz w:val="14"/>
          <w:szCs w:val="14"/>
          <w:b w:val="1"/>
          <w:bCs w:val="1"/>
          <w:color w:val="auto"/>
        </w:rPr>
      </w:pPr>
    </w:p>
    <w:p>
      <w:pPr>
        <w:ind w:left="380" w:right="4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income (loss) per share attributable to common stockholders under the two-class method required for multiple classes of common stock and participating securities. The rights of the Class A common stock and Class B common stock were substantially identical, other than voting rights. Accordingly, the net income (loss) per share attributable to common stockholders will be the same for Class A and Class B common stock on an individual or combined basis. The dilutive effect of the Company’s securities was calculated using the treasury stock method. As discussed above, the Company completed a rights offering in October 2025. As the exercise price for the rights offering was lower than the Company’s stock price, the rights offering contained a bonus element similar to a stock dividend. The Company adjusted the weighted-average shares used in computing net income (loss) per share for all periods presented to reflect the bonus element. The Company’s computation of weighted-average shares also reflects the 26,175,193 shares issued to the Company’s lender in exchange for debt for the period as of and following the completion of the Recapitalization Transactions. See “Note 4 - Recapitalization Transactions” for additional information.</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the computation of basic and diluted net income (loss) per share attributable to common stockholders: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76"/>
        </w:trPr>
        <w:tc>
          <w:tcPr>
            <w:tcW w:w="6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2024</w:t>
            </w:r>
          </w:p>
        </w:tc>
      </w:tr>
      <w:tr>
        <w:trPr>
          <w:trHeight w:val="19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6340" w:type="dxa"/>
            <w:vAlign w:val="bottom"/>
          </w:tcPr>
          <w:p>
            <w:pPr>
              <w:ind w:left="360"/>
              <w:spacing w:after="0"/>
              <w:rPr>
                <w:sz w:val="20"/>
                <w:szCs w:val="20"/>
                <w:color w:val="auto"/>
              </w:rPr>
            </w:pPr>
            <w:r>
              <w:rPr>
                <w:rFonts w:ascii="Arial" w:cs="Arial" w:eastAsia="Arial" w:hAnsi="Arial"/>
                <w:sz w:val="14"/>
                <w:szCs w:val="14"/>
                <w:color w:val="auto"/>
              </w:rPr>
              <w:t>Net income (loss) attributable to common stockholders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634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income (loss) per share attributable to</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6340" w:type="dxa"/>
            <w:vAlign w:val="bottom"/>
          </w:tcPr>
          <w:p>
            <w:pPr>
              <w:ind w:left="540"/>
              <w:spacing w:after="0"/>
              <w:rPr>
                <w:sz w:val="20"/>
                <w:szCs w:val="20"/>
                <w:color w:val="auto"/>
              </w:rPr>
            </w:pPr>
            <w:r>
              <w:rPr>
                <w:rFonts w:ascii="Arial" w:cs="Arial" w:eastAsia="Arial" w:hAnsi="Arial"/>
                <w:sz w:val="14"/>
                <w:szCs w:val="14"/>
                <w:color w:val="auto"/>
              </w:rPr>
              <w:t>common stockholders, basic</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11,961,285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3,967,937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3,591,538</w:t>
            </w:r>
          </w:p>
        </w:tc>
      </w:tr>
      <w:tr>
        <w:trPr>
          <w:trHeight w:val="22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options, warrants and RSUs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6340" w:type="dxa"/>
            <w:vAlign w:val="bottom"/>
          </w:tcPr>
          <w:p>
            <w:pPr>
              <w:ind w:left="360"/>
              <w:spacing w:after="0" w:line="157" w:lineRule="exact"/>
              <w:rPr>
                <w:sz w:val="20"/>
                <w:szCs w:val="20"/>
                <w:color w:val="auto"/>
              </w:rPr>
            </w:pPr>
            <w:r>
              <w:rPr>
                <w:rFonts w:ascii="Arial" w:cs="Arial" w:eastAsia="Arial" w:hAnsi="Arial"/>
                <w:sz w:val="14"/>
                <w:szCs w:val="14"/>
                <w:color w:val="auto"/>
              </w:rPr>
              <w:t>Weighted-average shares used in computing net income (loss) per share attributable to</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196"/>
        </w:trPr>
        <w:tc>
          <w:tcPr>
            <w:tcW w:w="63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common stockholders,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11,997,493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3,967,937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3,591,538</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common stockholders, diluted</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18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income (loss) per share attributable to common stockholders because including them would have been anti-dilutive:</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30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Year Ended January 31,</w:t>
            </w:r>
          </w:p>
        </w:tc>
        <w:tc>
          <w:tcPr>
            <w:tcW w:w="1440" w:type="dxa"/>
            <w:vAlign w:val="bottom"/>
            <w:tcBorders>
              <w:bottom w:val="single" w:sz="8" w:color="auto"/>
            </w:tcBorders>
          </w:tcPr>
          <w:p>
            <w:pPr>
              <w:spacing w:after="0"/>
              <w:rPr>
                <w:sz w:val="13"/>
                <w:szCs w:val="13"/>
                <w:color w:val="auto"/>
              </w:rPr>
            </w:pPr>
          </w:p>
        </w:tc>
      </w:tr>
      <w:tr>
        <w:trPr>
          <w:trHeight w:val="171"/>
        </w:trPr>
        <w:tc>
          <w:tcPr>
            <w:tcW w:w="6300" w:type="dxa"/>
            <w:vAlign w:val="bottom"/>
          </w:tcPr>
          <w:p>
            <w:pPr>
              <w:spacing w:after="0"/>
              <w:rPr>
                <w:sz w:val="14"/>
                <w:szCs w:val="14"/>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2024</w:t>
            </w:r>
          </w:p>
        </w:tc>
      </w:tr>
      <w:tr>
        <w:trPr>
          <w:trHeight w:val="155"/>
        </w:trPr>
        <w:tc>
          <w:tcPr>
            <w:tcW w:w="6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42,613</w:t>
            </w:r>
          </w:p>
        </w:tc>
      </w:tr>
      <w:tr>
        <w:trPr>
          <w:trHeight w:val="202"/>
        </w:trPr>
        <w:tc>
          <w:tcPr>
            <w:tcW w:w="630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440" w:type="dxa"/>
            <w:vAlign w:val="bottom"/>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131,574</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131,574</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2,263,878</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333,899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404,965</w:t>
            </w:r>
          </w:p>
        </w:tc>
      </w:tr>
      <w:tr>
        <w:trPr>
          <w:trHeight w:val="203"/>
        </w:trPr>
        <w:tc>
          <w:tcPr>
            <w:tcW w:w="6300" w:type="dxa"/>
            <w:vAlign w:val="bottom"/>
          </w:tcPr>
          <w:p>
            <w:pPr>
              <w:ind w:left="36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2,407,541</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499,011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579,152</w:t>
            </w:r>
          </w:p>
        </w:tc>
      </w:tr>
      <w:tr>
        <w:trPr>
          <w:trHeight w:val="20"/>
        </w:trPr>
        <w:tc>
          <w:tcPr>
            <w:tcW w:w="6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80" w:hanging="375"/>
        <w:spacing w:after="0"/>
        <w:tabs>
          <w:tab w:leader="none" w:pos="3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93" w:lineRule="exact"/>
        <w:rPr>
          <w:rFonts w:ascii="Arial" w:cs="Arial" w:eastAsia="Arial" w:hAnsi="Arial"/>
          <w:sz w:val="14"/>
          <w:szCs w:val="14"/>
          <w:b w:val="1"/>
          <w:bCs w:val="1"/>
          <w:color w:val="auto"/>
        </w:rPr>
      </w:pPr>
    </w:p>
    <w:p>
      <w:pPr>
        <w:ind w:left="380" w:right="1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As of January 31, 2026, the Company had outstanding long-term debt, net of $156.6 million with the Investor Group. The debt is presented as Long-term debt, net on the Consolidated Balance Sheets. The Investor Group held 85% of the voting power of the Company’s outstanding Class A Common Stock as of January 31, 2026. Under the terms of the New Credit Agreement, the Company will not recognize any interest expense on the $110.0 million of term loans held by the original lender between the transaction date and the maturity of the debt. The Company recognized a nominal amount of interest expense related to the $10.0 million of new term loans held by other members of the Investor Group during the year ended January 31, 2026. On January 28, 2026, the Company entered into the First Amendment. The First Amendment removed the minimum liquidity maintenance covenant. See “Note 4 - Recapitalization Transactions” and “Note 9 - Long-Term Debt” for additional information.</w:t>
      </w:r>
    </w:p>
    <w:p>
      <w:pPr>
        <w:spacing w:after="0" w:line="226" w:lineRule="exact"/>
        <w:rPr>
          <w:rFonts w:ascii="Arial" w:cs="Arial" w:eastAsia="Arial" w:hAnsi="Arial"/>
          <w:sz w:val="14"/>
          <w:szCs w:val="14"/>
          <w:b w:val="1"/>
          <w:bCs w:val="1"/>
          <w:color w:val="auto"/>
        </w:rPr>
      </w:pPr>
    </w:p>
    <w:p>
      <w:pPr>
        <w:ind w:left="380" w:hanging="375"/>
        <w:spacing w:after="0"/>
        <w:tabs>
          <w:tab w:leader="none" w:pos="3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8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See “Note 2 - Summary of Significant Accounting Policies” for information regarding the Company’s restricted cash balances.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8840" w:type="dxa"/>
            <w:vAlign w:val="bottom"/>
          </w:tcPr>
          <w:p>
            <w:pPr>
              <w:jc w:val="right"/>
              <w:ind w:right="229"/>
              <w:spacing w:after="0"/>
              <w:rPr>
                <w:sz w:val="20"/>
                <w:szCs w:val="20"/>
                <w:color w:val="auto"/>
              </w:rPr>
            </w:pPr>
            <w:r>
              <w:rPr>
                <w:rFonts w:ascii="Arial" w:cs="Arial" w:eastAsia="Arial" w:hAnsi="Arial"/>
                <w:sz w:val="14"/>
                <w:szCs w:val="14"/>
                <w:color w:val="auto"/>
              </w:rPr>
              <w:t>The Company had the following non-cancelable minimum purchase commitments related to technology services as of January 31, 2026:</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1"/>
        </w:trPr>
        <w:tc>
          <w:tcPr>
            <w:tcW w:w="88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Commitment</w:t>
            </w:r>
          </w:p>
        </w:tc>
      </w:tr>
      <w:tr>
        <w:trPr>
          <w:trHeight w:val="160"/>
        </w:trPr>
        <w:tc>
          <w:tcPr>
            <w:tcW w:w="8840" w:type="dxa"/>
            <w:vAlign w:val="bottom"/>
            <w:shd w:val="clear" w:color="auto" w:fill="CCEEFF"/>
          </w:tcPr>
          <w:p>
            <w:pPr>
              <w:jc w:val="right"/>
              <w:ind w:right="8029"/>
              <w:spacing w:after="0"/>
              <w:rPr>
                <w:sz w:val="20"/>
                <w:szCs w:val="20"/>
                <w:color w:val="auto"/>
              </w:rPr>
            </w:pPr>
            <w:r>
              <w:rPr>
                <w:rFonts w:ascii="Arial" w:cs="Arial" w:eastAsia="Arial" w:hAnsi="Arial"/>
                <w:sz w:val="14"/>
                <w:szCs w:val="14"/>
                <w:color w:val="auto"/>
              </w:rPr>
              <w:t>Fiscal year:</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0"/>
        </w:trPr>
        <w:tc>
          <w:tcPr>
            <w:tcW w:w="8840" w:type="dxa"/>
            <w:vAlign w:val="bottom"/>
          </w:tcPr>
          <w:p>
            <w:pPr>
              <w:jc w:val="right"/>
              <w:ind w:right="8269"/>
              <w:spacing w:after="0"/>
              <w:rPr>
                <w:sz w:val="20"/>
                <w:szCs w:val="20"/>
                <w:color w:val="auto"/>
              </w:rPr>
            </w:pPr>
            <w:r>
              <w:rPr>
                <w:rFonts w:ascii="Arial" w:cs="Arial" w:eastAsia="Arial" w:hAnsi="Arial"/>
                <w:sz w:val="14"/>
                <w:szCs w:val="14"/>
                <w:color w:val="auto"/>
              </w:rPr>
              <w:t>2026</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8840" w:type="dxa"/>
            <w:vAlign w:val="bottom"/>
            <w:shd w:val="clear" w:color="auto" w:fill="CCEEFF"/>
          </w:tcPr>
          <w:p>
            <w:pPr>
              <w:jc w:val="right"/>
              <w:ind w:right="8269"/>
              <w:spacing w:after="0"/>
              <w:rPr>
                <w:sz w:val="20"/>
                <w:szCs w:val="20"/>
                <w:color w:val="auto"/>
              </w:rPr>
            </w:pPr>
            <w:r>
              <w:rPr>
                <w:rFonts w:ascii="Arial" w:cs="Arial" w:eastAsia="Arial" w:hAnsi="Arial"/>
                <w:sz w:val="14"/>
                <w:szCs w:val="14"/>
                <w:color w:val="auto"/>
              </w:rPr>
              <w:t>2027</w:t>
            </w: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8840" w:type="dxa"/>
            <w:vAlign w:val="bottom"/>
          </w:tcPr>
          <w:p>
            <w:pPr>
              <w:jc w:val="right"/>
              <w:ind w:right="6129"/>
              <w:spacing w:after="0"/>
              <w:rPr>
                <w:sz w:val="20"/>
                <w:szCs w:val="20"/>
                <w:color w:val="auto"/>
              </w:rPr>
            </w:pPr>
            <w:r>
              <w:rPr>
                <w:rFonts w:ascii="Arial" w:cs="Arial" w:eastAsia="Arial" w:hAnsi="Arial"/>
                <w:sz w:val="14"/>
                <w:szCs w:val="14"/>
                <w:color w:val="auto"/>
              </w:rPr>
              <w:t>Commitments as of January 31, 2026</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8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380" w:right="40"/>
        <w:spacing w:after="0" w:line="290" w:lineRule="auto"/>
        <w:rPr>
          <w:sz w:val="20"/>
          <w:szCs w:val="20"/>
          <w:color w:val="auto"/>
        </w:rPr>
      </w:pPr>
      <w:r>
        <w:rPr>
          <w:rFonts w:ascii="Arial" w:cs="Arial" w:eastAsia="Arial" w:hAnsi="Arial"/>
          <w:sz w:val="14"/>
          <w:szCs w:val="14"/>
          <w:color w:val="auto"/>
        </w:rPr>
        <w:t>The Company made purchases under minimum purchase commitments related to technology services of $2.7 million and $0.6 million during the years ended January 31, 2026 and 2025, respectively.</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3" w:right="5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54"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 On September 12, 2025, the Court issued an order granting in part and denying in part defendants’ motion for reconsideration, dismissing all remaining claims except those based on fulfillment costs. Following the order, defendants filed their answers to the amended complaint on October 6, 2025. On October 16, 2025, defendants requested, per the Court’s rules, a pre-motion conference in connection with their anticipated motion for judgment on the pleadings, which plaintiffs opposed. On October 24, 2025, the Court ordered briefing on defendants’ motion for judgment on the pleadings. On November 12, 2025, plaintiffs filed a letter motion seeking an order allowing discovery to proceed during the pendency of defendants’ motion for judgment on the pleadings, which defendants opposed on November 21, 2025. On December 3, 2025, the Court issued an order directing a limited “second phase” of discovery to proceed pending the outcome of defendants’ motion for judgment on the pleadings, focusing on a limited category of information appropriately cabined by the scope of plaintiffs’ remaining claims. On February 17, 2026, the parties submitted a joint letter to the court concerning plaintiffs’ request for further discovery. On March 3, 2026, the court issued an order requiring that, by March 31, 2026, the Company produce those documents it proposed to produce as part of the “second phase” discovery and rejected plaintiffs’ request for additional documents. The Company completed production of “second phase” documents on March 31, 2026.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pacing w:after="0" w:line="227" w:lineRule="exact"/>
        <w:rPr>
          <w:sz w:val="20"/>
          <w:szCs w:val="20"/>
          <w:color w:val="auto"/>
        </w:rPr>
      </w:pPr>
    </w:p>
    <w:p>
      <w:pPr>
        <w:ind w:left="380" w:hanging="375"/>
        <w:spacing w:after="0"/>
        <w:tabs>
          <w:tab w:leader="none" w:pos="3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3" w:lineRule="exact"/>
        <w:rPr>
          <w:rFonts w:ascii="Arial" w:cs="Arial" w:eastAsia="Arial" w:hAnsi="Arial"/>
          <w:sz w:val="14"/>
          <w:szCs w:val="14"/>
          <w:b w:val="1"/>
          <w:bCs w:val="1"/>
          <w:color w:val="auto"/>
        </w:rPr>
      </w:pPr>
    </w:p>
    <w:p>
      <w:pPr>
        <w:ind w:left="380" w:right="4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On April 1, 2026, the Company entered into the Second Amendment to the New Credit Agreement. The Second Amendment provides the Company with the ability to capitalize interest in lieu of cash payments until May 3, 2027.</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2026 because of the material weaknesses in our internal control over financial reporting described below.</w:t>
      </w:r>
    </w:p>
    <w:p>
      <w:pPr>
        <w:spacing w:after="0" w:line="55"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 xml:space="preserve">Management is responsible for establishing and maintaining adequate internal control over financial reporting, as such term is defined in Rules 13a-15(f) and 15d-15(f) under the Exchange Act. Our management, under the supervision and with the participation of our principal executive officer and principal financial officer, conducted an assessment of the effectiveness of our internal control over financial reporting as of January 31, 2026, based on the framework and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Based on this assessment, management concluded that, as of January 31, 2026, our internal control over financial reporting was not effective due to the existence of material weaknesses described below.</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January 31, 2026, these material weaknesses remain unremediated.</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16" w:right="379" w:bottom="1440" w:gutter="0" w:footer="0" w:header="0"/>
        </w:sectPr>
      </w:pPr>
    </w:p>
    <w:bookmarkStart w:id="141" w:name="page142"/>
    <w:bookmarkEnd w:id="141"/>
    <w:p>
      <w:pPr>
        <w:ind w:right="60"/>
        <w:spacing w:after="0" w:line="256"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The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155" w:lineRule="exact"/>
        <w:rPr>
          <w:sz w:val="20"/>
          <w:szCs w:val="20"/>
          <w:color w:val="auto"/>
        </w:rPr>
      </w:pPr>
    </w:p>
    <w:p>
      <w:pPr>
        <w:ind w:right="280"/>
        <w:spacing w:after="0" w:line="274" w:lineRule="auto"/>
        <w:rPr>
          <w:sz w:val="20"/>
          <w:szCs w:val="20"/>
          <w:color w:val="auto"/>
        </w:rPr>
      </w:pPr>
      <w:r>
        <w:rPr>
          <w:rFonts w:ascii="Arial" w:cs="Arial" w:eastAsia="Arial" w:hAnsi="Arial"/>
          <w:sz w:val="14"/>
          <w:szCs w:val="14"/>
          <w:color w:val="auto"/>
        </w:rPr>
        <w:t>This Annual Report on Form 10 -K does not include an attestation report of the Company’s independent registered public accounting firm regarding internal control over financial reporting pursuant to the JOBS Act because the Company is an “emerging growth company” as defined in Rule 12b-2 under the Exchange Act.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49"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During fiscal year 2025, we have established a comprehensive framework for our IT general controls and have substantially completed the design of these controls across our key financial systems.</w:t>
      </w:r>
    </w:p>
    <w:p>
      <w:pPr>
        <w:spacing w:after="0" w:line="35"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January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On January 12, 2026, Andrew Rau, Chief Supply Chain Officer, canceled his Rule 10b5-1 trading plan. No trades were executed under the plan.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16" w:right="1440"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4"/>
          <w:szCs w:val="14"/>
          <w:b w:val="1"/>
          <w:bCs w:val="1"/>
          <w:color w:val="auto"/>
        </w:rPr>
        <w:t>Part III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information required by this item is incorporated by reference from our Proxy Statement for the 2026 Annual Meeting of Stockholders (“Proxy Statement”) to be filed with the SEC within 120 days of the year ended January 31, 2026.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have adopted insider trading policies and procedures applicable to our directors, officers, and</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employees, that are reasonably designed to promote compliance with insider trading laws, rules and regulations, and Nasdaq listing standards. Our Insider Trading Policy is filed as Exhibit 19.1 to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filed as part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1.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listed in the “Financial Statements and Supplementary Data” under Part II, Item 8,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2. Financial Statement Schedules</w:t>
      </w:r>
    </w:p>
    <w:p>
      <w:pPr>
        <w:spacing w:after="0" w:line="200"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color w:val="auto"/>
        </w:rPr>
        <w:t>All financial statement schedules have been omitted because they are not required or are not applicable, or the required information is shown in our consolidated financial statements or the notes thereto.</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3.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Incorporated by Reference</w:t>
            </w: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1"/>
                <w:szCs w:val="11"/>
                <w:color w:val="auto"/>
              </w:rPr>
            </w:pPr>
          </w:p>
        </w:tc>
        <w:tc>
          <w:tcPr>
            <w:tcW w:w="5420" w:type="dxa"/>
            <w:vAlign w:val="bottom"/>
            <w:gridSpan w:val="17"/>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6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vMerge w:val="restart"/>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vMerge w:val="restart"/>
          </w:tcPr>
          <w:p>
            <w:pPr>
              <w:spacing w:after="0"/>
              <w:rPr>
                <w:sz w:val="11"/>
                <w:szCs w:val="11"/>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rPr>
              <w:t>Exhibit</w:t>
            </w:r>
          </w:p>
        </w:tc>
        <w:tc>
          <w:tcPr>
            <w:tcW w:w="60" w:type="dxa"/>
            <w:vAlign w:val="bottom"/>
            <w:vMerge w:val="restart"/>
          </w:tcPr>
          <w:p>
            <w:pPr>
              <w:spacing w:after="0"/>
              <w:rPr>
                <w:sz w:val="11"/>
                <w:szCs w:val="11"/>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1"/>
                <w:szCs w:val="11"/>
                <w:color w:val="auto"/>
              </w:rPr>
            </w:pPr>
          </w:p>
        </w:tc>
        <w:tc>
          <w:tcPr>
            <w:tcW w:w="1180" w:type="dxa"/>
            <w:vAlign w:val="bottom"/>
          </w:tcPr>
          <w:p>
            <w:pPr>
              <w:spacing w:after="0"/>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gridSpan w:val="17"/>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213"/>
        </w:trPr>
        <w:tc>
          <w:tcPr>
            <w:tcW w:w="780" w:type="dxa"/>
            <w:vAlign w:val="bottom"/>
          </w:tcPr>
          <w:p>
            <w:pPr>
              <w:ind w:left="2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gridSpan w:val="18"/>
          </w:tcPr>
          <w:p>
            <w:pPr>
              <w:spacing w:after="0"/>
              <w:rPr>
                <w:rFonts w:ascii="Arial" w:cs="Arial" w:eastAsia="Arial" w:hAnsi="Arial"/>
                <w:sz w:val="14"/>
                <w:szCs w:val="14"/>
                <w:color w:val="0000FF"/>
              </w:rPr>
            </w:pPr>
            <w:hyperlink r:id="rId212">
              <w:r>
                <w:rPr>
                  <w:rFonts w:ascii="Arial" w:cs="Arial" w:eastAsia="Arial" w:hAnsi="Arial"/>
                  <w:sz w:val="14"/>
                  <w:szCs w:val="14"/>
                  <w:color w:val="0000FF"/>
                </w:rPr>
                <w:t>Twelfth Amended &amp; Restated Certificate of Incorporation</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bottom w:val="single" w:sz="8" w:color="0000FF"/>
            </w:tcBorders>
            <w:gridSpan w:val="14"/>
          </w:tcPr>
          <w:p>
            <w:pPr>
              <w:spacing w:after="0"/>
              <w:rPr>
                <w:rFonts w:ascii="Arial" w:cs="Arial" w:eastAsia="Arial" w:hAnsi="Arial"/>
                <w:sz w:val="14"/>
                <w:szCs w:val="14"/>
                <w:color w:val="0000FF"/>
              </w:rPr>
            </w:pPr>
            <w:hyperlink r:id="rId213">
              <w:r>
                <w:rPr>
                  <w:rFonts w:ascii="Arial" w:cs="Arial" w:eastAsia="Arial" w:hAnsi="Arial"/>
                  <w:sz w:val="14"/>
                  <w:szCs w:val="14"/>
                  <w:color w:val="0000FF"/>
                </w:rPr>
                <w:t>Certificate of Amendment to Twelfth Amended &amp; Restated Certificate of Incorporation</w:t>
              </w:r>
            </w:hyperlink>
          </w:p>
        </w:tc>
        <w:tc>
          <w:tcPr>
            <w:tcW w:w="160" w:type="dxa"/>
            <w:vAlign w:val="bottom"/>
            <w:gridSpan w:val="4"/>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04/02/2024</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18"/>
          </w:tcPr>
          <w:p>
            <w:pPr>
              <w:spacing w:after="0"/>
              <w:rPr>
                <w:rFonts w:ascii="Arial" w:cs="Arial" w:eastAsia="Arial" w:hAnsi="Arial"/>
                <w:sz w:val="14"/>
                <w:szCs w:val="14"/>
                <w:color w:val="0000FF"/>
              </w:rPr>
            </w:pPr>
            <w:hyperlink r:id="rId214">
              <w:r>
                <w:rPr>
                  <w:rFonts w:ascii="Arial" w:cs="Arial" w:eastAsia="Arial" w:hAnsi="Arial"/>
                  <w:sz w:val="14"/>
                  <w:szCs w:val="14"/>
                  <w:color w:val="0000FF"/>
                </w:rPr>
                <w:t>Second Amended &amp; Restated Bylaws</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8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10/28/2025</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8"/>
          </w:tcPr>
          <w:p>
            <w:pPr>
              <w:spacing w:after="0"/>
              <w:rPr>
                <w:rFonts w:ascii="Arial" w:cs="Arial" w:eastAsia="Arial" w:hAnsi="Arial"/>
                <w:sz w:val="14"/>
                <w:szCs w:val="14"/>
                <w:color w:val="0000FF"/>
              </w:rPr>
            </w:pPr>
            <w:hyperlink r:id="rId215">
              <w:r>
                <w:rPr>
                  <w:rFonts w:ascii="Arial" w:cs="Arial" w:eastAsia="Arial" w:hAnsi="Arial"/>
                  <w:sz w:val="14"/>
                  <w:szCs w:val="14"/>
                  <w:color w:val="0000FF"/>
                </w:rPr>
                <w:t>Specimen Class A common stock certificate</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8"/>
          </w:tcPr>
          <w:p>
            <w:pPr>
              <w:spacing w:after="0"/>
              <w:rPr>
                <w:rFonts w:ascii="Arial" w:cs="Arial" w:eastAsia="Arial" w:hAnsi="Arial"/>
                <w:sz w:val="14"/>
                <w:szCs w:val="14"/>
                <w:color w:val="0000FF"/>
              </w:rPr>
            </w:pPr>
            <w:hyperlink r:id="rId216">
              <w:r>
                <w:rPr>
                  <w:rFonts w:ascii="Arial" w:cs="Arial" w:eastAsia="Arial" w:hAnsi="Arial"/>
                  <w:sz w:val="14"/>
                  <w:szCs w:val="14"/>
                  <w:color w:val="0000FF"/>
                </w:rPr>
                <w:t>Eighth Amended and Restated Investors’ Rights Agreement (the “IRA”) by and among</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12"/>
          </w:tcPr>
          <w:p>
            <w:pPr>
              <w:spacing w:after="0" w:line="139" w:lineRule="exact"/>
              <w:rPr>
                <w:rFonts w:ascii="Arial" w:cs="Arial" w:eastAsia="Arial" w:hAnsi="Arial"/>
                <w:sz w:val="14"/>
                <w:szCs w:val="14"/>
                <w:color w:val="0000FF"/>
              </w:rPr>
            </w:pPr>
            <w:hyperlink r:id="rId216">
              <w:r>
                <w:rPr>
                  <w:rFonts w:ascii="Arial" w:cs="Arial" w:eastAsia="Arial" w:hAnsi="Arial"/>
                  <w:sz w:val="14"/>
                  <w:szCs w:val="14"/>
                  <w:color w:val="0000FF"/>
                </w:rPr>
                <w:t>the Company and certain of its stockholders, dated April 30, 2020, as amended by</w:t>
              </w:r>
            </w:hyperlink>
          </w:p>
        </w:tc>
        <w:tc>
          <w:tcPr>
            <w:tcW w:w="240" w:type="dxa"/>
            <w:vAlign w:val="bottom"/>
            <w:tcBorders>
              <w:top w:val="single" w:sz="8" w:color="0000FF"/>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gridSpan w:val="18"/>
          </w:tcPr>
          <w:p>
            <w:pPr>
              <w:spacing w:after="0" w:line="139" w:lineRule="exact"/>
              <w:rPr>
                <w:rFonts w:ascii="Arial" w:cs="Arial" w:eastAsia="Arial" w:hAnsi="Arial"/>
                <w:sz w:val="14"/>
                <w:szCs w:val="14"/>
                <w:color w:val="0000FF"/>
              </w:rPr>
            </w:pPr>
            <w:hyperlink r:id="rId216">
              <w:r>
                <w:rPr>
                  <w:rFonts w:ascii="Arial" w:cs="Arial" w:eastAsia="Arial" w:hAnsi="Arial"/>
                  <w:sz w:val="14"/>
                  <w:szCs w:val="14"/>
                  <w:color w:val="0000FF"/>
                </w:rPr>
                <w:t>that amendment No. 1 to the IRA, dated October 26, 2020 and that amendment No. 2</w:t>
              </w:r>
            </w:hyperlink>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rPr>
            </w:pPr>
            <w:hyperlink r:id="rId216">
              <w:r>
                <w:rPr>
                  <w:rFonts w:ascii="Arial" w:cs="Arial" w:eastAsia="Arial" w:hAnsi="Arial"/>
                  <w:sz w:val="14"/>
                  <w:szCs w:val="14"/>
                  <w:color w:val="0000FF"/>
                </w:rPr>
                <w:t>to the IRA, dated April 30, 2021</w:t>
              </w:r>
            </w:hyperlink>
          </w:p>
        </w:tc>
        <w:tc>
          <w:tcPr>
            <w:tcW w:w="3360" w:type="dxa"/>
            <w:vAlign w:val="bottom"/>
            <w:tcBorders>
              <w:top w:val="single" w:sz="8" w:color="0000FF"/>
            </w:tcBorders>
            <w:gridSpan w:val="11"/>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0000FF"/>
            </w:tcBorders>
            <w:gridSpan w:val="3"/>
          </w:tcPr>
          <w:p>
            <w:pPr>
              <w:spacing w:after="0"/>
              <w:rPr>
                <w:rFonts w:ascii="Arial" w:cs="Arial" w:eastAsia="Arial" w:hAnsi="Arial"/>
                <w:sz w:val="14"/>
                <w:szCs w:val="14"/>
                <w:color w:val="0000FF"/>
              </w:rPr>
            </w:pPr>
            <w:hyperlink r:id="rId217">
              <w:r>
                <w:rPr>
                  <w:rFonts w:ascii="Arial" w:cs="Arial" w:eastAsia="Arial" w:hAnsi="Arial"/>
                  <w:sz w:val="14"/>
                  <w:szCs w:val="14"/>
                  <w:color w:val="0000FF"/>
                </w:rPr>
                <w:t>Description of Capital Stock</w:t>
              </w:r>
            </w:hyperlink>
          </w:p>
        </w:tc>
        <w:tc>
          <w:tcPr>
            <w:tcW w:w="3740" w:type="dxa"/>
            <w:vAlign w:val="bottom"/>
            <w:gridSpan w:val="15"/>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gridSpan w:val="2"/>
          </w:tcPr>
          <w:p>
            <w:pPr>
              <w:jc w:val="right"/>
              <w:ind w:right="50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rPr>
                <w:rFonts w:ascii="Arial" w:cs="Arial" w:eastAsia="Arial" w:hAnsi="Arial"/>
                <w:sz w:val="14"/>
                <w:szCs w:val="14"/>
                <w:color w:val="0000FF"/>
              </w:rPr>
            </w:pPr>
            <w:hyperlink r:id="rId218">
              <w:r>
                <w:rPr>
                  <w:rFonts w:ascii="Arial" w:cs="Arial" w:eastAsia="Arial" w:hAnsi="Arial"/>
                  <w:sz w:val="14"/>
                  <w:szCs w:val="14"/>
                  <w:color w:val="0000FF"/>
                </w:rPr>
                <w:t>2009 Stock Incentive Plan</w:t>
              </w:r>
            </w:hyperlink>
          </w:p>
        </w:tc>
        <w:tc>
          <w:tcPr>
            <w:tcW w:w="3840" w:type="dxa"/>
            <w:vAlign w:val="bottom"/>
            <w:gridSpan w:val="16"/>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rPr>
                <w:rFonts w:ascii="Arial" w:cs="Arial" w:eastAsia="Arial" w:hAnsi="Arial"/>
                <w:sz w:val="14"/>
                <w:szCs w:val="14"/>
                <w:color w:val="0000FF"/>
              </w:rPr>
            </w:pPr>
            <w:hyperlink r:id="rId219">
              <w:r>
                <w:rPr>
                  <w:rFonts w:ascii="Arial" w:cs="Arial" w:eastAsia="Arial" w:hAnsi="Arial"/>
                  <w:sz w:val="14"/>
                  <w:szCs w:val="14"/>
                  <w:color w:val="0000FF"/>
                </w:rPr>
                <w:t>2019 Stock Incentive Plan</w:t>
              </w:r>
            </w:hyperlink>
          </w:p>
        </w:tc>
        <w:tc>
          <w:tcPr>
            <w:tcW w:w="3840" w:type="dxa"/>
            <w:vAlign w:val="bottom"/>
            <w:gridSpan w:val="16"/>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18"/>
          </w:tcPr>
          <w:p>
            <w:pPr>
              <w:spacing w:after="0"/>
              <w:rPr>
                <w:rFonts w:ascii="Arial" w:cs="Arial" w:eastAsia="Arial" w:hAnsi="Arial"/>
                <w:sz w:val="14"/>
                <w:szCs w:val="14"/>
                <w:color w:val="0000FF"/>
              </w:rPr>
            </w:pPr>
            <w:hyperlink r:id="rId220">
              <w:r>
                <w:rPr>
                  <w:rFonts w:ascii="Arial" w:cs="Arial" w:eastAsia="Arial" w:hAnsi="Arial"/>
                  <w:sz w:val="14"/>
                  <w:szCs w:val="14"/>
                  <w:color w:val="0000FF"/>
                </w:rPr>
                <w:t>Amended and Restated 2021 Incentive Award Plan</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10/22/2021</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18"/>
          </w:tcPr>
          <w:p>
            <w:pPr>
              <w:spacing w:after="0"/>
              <w:rPr>
                <w:rFonts w:ascii="Arial" w:cs="Arial" w:eastAsia="Arial" w:hAnsi="Arial"/>
                <w:sz w:val="14"/>
                <w:szCs w:val="14"/>
                <w:color w:val="0000FF"/>
              </w:rPr>
            </w:pPr>
            <w:hyperlink r:id="rId221">
              <w:r>
                <w:rPr>
                  <w:rFonts w:ascii="Arial" w:cs="Arial" w:eastAsia="Arial" w:hAnsi="Arial"/>
                  <w:sz w:val="14"/>
                  <w:szCs w:val="14"/>
                  <w:color w:val="0000FF"/>
                </w:rPr>
                <w:t xml:space="preserve">Second </w:t>
              </w:r>
            </w:hyperlink>
            <w:r>
              <w:rPr>
                <w:rFonts w:ascii="Arial" w:cs="Arial" w:eastAsia="Arial" w:hAnsi="Arial"/>
                <w:sz w:val="14"/>
                <w:szCs w:val="14"/>
                <w:color w:val="0000FF"/>
              </w:rPr>
              <w:t xml:space="preserve">Amended </w:t>
            </w:r>
            <w:hyperlink r:id="rId221">
              <w:r>
                <w:rPr>
                  <w:rFonts w:ascii="Arial" w:cs="Arial" w:eastAsia="Arial" w:hAnsi="Arial"/>
                  <w:sz w:val="14"/>
                  <w:szCs w:val="14"/>
                  <w:color w:val="0000FF"/>
                </w:rPr>
                <w:t>and Restated 2021 Incentive Award Plan</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S-8</w:t>
            </w:r>
          </w:p>
        </w:tc>
        <w:tc>
          <w:tcPr>
            <w:tcW w:w="1180" w:type="dxa"/>
            <w:vAlign w:val="bottom"/>
          </w:tcPr>
          <w:p>
            <w:pPr>
              <w:ind w:left="20"/>
              <w:spacing w:after="0"/>
              <w:rPr>
                <w:sz w:val="20"/>
                <w:szCs w:val="20"/>
                <w:color w:val="auto"/>
              </w:rPr>
            </w:pPr>
            <w:r>
              <w:rPr>
                <w:rFonts w:ascii="Arial" w:cs="Arial" w:eastAsia="Arial" w:hAnsi="Arial"/>
                <w:sz w:val="14"/>
                <w:szCs w:val="14"/>
                <w:color w:val="auto"/>
              </w:rPr>
              <w:t>33-291155</w:t>
            </w: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99.1</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10/29/2025</w:t>
            </w: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bottom w:val="single" w:sz="8" w:color="0000FF"/>
            </w:tcBorders>
            <w:gridSpan w:val="11"/>
          </w:tcPr>
          <w:p>
            <w:pPr>
              <w:spacing w:after="0"/>
              <w:rPr>
                <w:rFonts w:ascii="Arial" w:cs="Arial" w:eastAsia="Arial" w:hAnsi="Arial"/>
                <w:sz w:val="14"/>
                <w:szCs w:val="14"/>
                <w:color w:val="0000FF"/>
              </w:rPr>
            </w:pPr>
            <w:hyperlink r:id="rId222">
              <w:r>
                <w:rPr>
                  <w:rFonts w:ascii="Arial" w:cs="Arial" w:eastAsia="Arial" w:hAnsi="Arial"/>
                  <w:sz w:val="14"/>
                  <w:szCs w:val="14"/>
                  <w:color w:val="0000FF"/>
                </w:rPr>
                <w:t>First Amendment to Second Amended and Restated 2021 Incentive Award Plan</w:t>
              </w:r>
            </w:hyperlink>
          </w:p>
        </w:tc>
        <w:tc>
          <w:tcPr>
            <w:tcW w:w="480" w:type="dxa"/>
            <w:vAlign w:val="bottom"/>
            <w:gridSpan w:val="7"/>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S-8</w:t>
            </w:r>
          </w:p>
        </w:tc>
        <w:tc>
          <w:tcPr>
            <w:tcW w:w="1180" w:type="dxa"/>
            <w:vAlign w:val="bottom"/>
          </w:tcPr>
          <w:p>
            <w:pPr>
              <w:ind w:left="20"/>
              <w:spacing w:after="0"/>
              <w:rPr>
                <w:sz w:val="20"/>
                <w:szCs w:val="20"/>
                <w:color w:val="auto"/>
              </w:rPr>
            </w:pPr>
            <w:r>
              <w:rPr>
                <w:rFonts w:ascii="Arial" w:cs="Arial" w:eastAsia="Arial" w:hAnsi="Arial"/>
                <w:sz w:val="14"/>
                <w:szCs w:val="14"/>
                <w:color w:val="auto"/>
              </w:rPr>
              <w:t>33-291155</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12/15/2025</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0" w:type="dxa"/>
            <w:vAlign w:val="bottom"/>
          </w:tcPr>
          <w:p>
            <w:pPr>
              <w:ind w:left="20"/>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18"/>
          </w:tcPr>
          <w:p>
            <w:pPr>
              <w:spacing w:after="0"/>
              <w:rPr>
                <w:rFonts w:ascii="Arial" w:cs="Arial" w:eastAsia="Arial" w:hAnsi="Arial"/>
                <w:sz w:val="14"/>
                <w:szCs w:val="14"/>
                <w:color w:val="0000FF"/>
              </w:rPr>
            </w:pPr>
            <w:hyperlink r:id="rId223">
              <w:r>
                <w:rPr>
                  <w:rFonts w:ascii="Arial" w:cs="Arial" w:eastAsia="Arial" w:hAnsi="Arial"/>
                  <w:sz w:val="14"/>
                  <w:szCs w:val="14"/>
                  <w:color w:val="0000FF"/>
                </w:rPr>
                <w:t>Form of Indemnification Agreement between the Company and each of its directors</w:t>
              </w:r>
            </w:hyperlink>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80" w:type="dxa"/>
            <w:vAlign w:val="bottom"/>
          </w:tcPr>
          <w:p>
            <w:pPr>
              <w:ind w:left="20"/>
              <w:spacing w:after="0"/>
              <w:rPr>
                <w:sz w:val="20"/>
                <w:szCs w:val="20"/>
                <w:color w:val="auto"/>
              </w:rPr>
            </w:pPr>
            <w:r>
              <w:rPr>
                <w:rFonts w:ascii="Arial" w:cs="Arial" w:eastAsia="Arial" w:hAnsi="Arial"/>
                <w:sz w:val="14"/>
                <w:szCs w:val="14"/>
                <w:color w:val="auto"/>
              </w:rPr>
              <w:t>333-260027</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r:id="rId223">
              <w:r>
                <w:rPr>
                  <w:rFonts w:ascii="Arial" w:cs="Arial" w:eastAsia="Arial" w:hAnsi="Arial"/>
                  <w:sz w:val="14"/>
                  <w:szCs w:val="14"/>
                  <w:color w:val="0000FF"/>
                </w:rPr>
                <w:t>and executive officers</w:t>
              </w:r>
            </w:hyperlink>
          </w:p>
        </w:tc>
        <w:tc>
          <w:tcPr>
            <w:tcW w:w="28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4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Non-Employee Director Compensation Program</w:t>
            </w:r>
          </w:p>
        </w:tc>
        <w:tc>
          <w:tcPr>
            <w:tcW w:w="2480" w:type="dxa"/>
            <w:vAlign w:val="bottom"/>
            <w:gridSpan w:val="11"/>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jc w:val="right"/>
              <w:ind w:right="50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gridSpan w:val="12"/>
          </w:tcPr>
          <w:p>
            <w:pPr>
              <w:jc w:val="right"/>
              <w:ind w:right="100"/>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45" w:name="page146"/>
    <w:bookmarkEnd w:id="145"/>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10.8+</w:t>
      </w:r>
      <w:r>
        <w:rPr>
          <w:sz w:val="20"/>
          <w:szCs w:val="20"/>
          <w:color w:val="auto"/>
        </w:rPr>
        <w:tab/>
      </w:r>
      <w:hyperlink r:id="rId226">
        <w:r>
          <w:rPr>
            <w:rFonts w:ascii="Arial" w:cs="Arial" w:eastAsia="Arial" w:hAnsi="Arial"/>
            <w:sz w:val="14"/>
            <w:szCs w:val="14"/>
            <w:u w:val="single" w:color="auto"/>
            <w:color w:val="0000FF"/>
          </w:rPr>
          <w:t>2021 Employee Stock Purchase Plan</w:t>
        </w:r>
      </w:hyperlink>
    </w:p>
    <w:p>
      <w:pPr>
        <w:spacing w:after="0" w:line="8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227">
        <w:r>
          <w:rPr>
            <w:rFonts w:ascii="Arial" w:cs="Arial" w:eastAsia="Arial" w:hAnsi="Arial"/>
            <w:sz w:val="14"/>
            <w:szCs w:val="14"/>
            <w:u w:val="single" w:color="auto"/>
            <w:color w:val="0000FF"/>
          </w:rPr>
          <w:t>Offer Letter between the Company and Sarah Tam, dated January 12, 2015</w:t>
        </w:r>
      </w:hyperlink>
    </w:p>
    <w:p>
      <w:pPr>
        <w:spacing w:after="0" w:line="41" w:lineRule="exact"/>
        <w:rPr>
          <w:sz w:val="20"/>
          <w:szCs w:val="20"/>
          <w:color w:val="auto"/>
        </w:rPr>
      </w:pPr>
    </w:p>
    <w:p>
      <w:pPr>
        <w:ind w:left="820" w:right="4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228">
        <w:r>
          <w:rPr>
            <w:rFonts w:ascii="Arial" w:cs="Arial" w:eastAsia="Arial" w:hAnsi="Arial"/>
            <w:sz w:val="14"/>
            <w:szCs w:val="14"/>
            <w:u w:val="single" w:color="auto"/>
            <w:color w:val="0000FF"/>
          </w:rPr>
          <w:t>Amended and Restated Employment Agreement, by and between the Company</w:t>
        </w:r>
      </w:hyperlink>
      <w:r>
        <w:rPr>
          <w:rFonts w:ascii="Arial" w:cs="Arial" w:eastAsia="Arial" w:hAnsi="Arial"/>
          <w:sz w:val="14"/>
          <w:szCs w:val="14"/>
          <w:u w:val="single" w:color="auto"/>
          <w:color w:val="0000FF"/>
        </w:rPr>
        <w:t xml:space="preserve"> </w:t>
      </w:r>
      <w:hyperlink r:id="rId228">
        <w:r>
          <w:rPr>
            <w:rFonts w:ascii="Arial" w:cs="Arial" w:eastAsia="Arial" w:hAnsi="Arial"/>
            <w:sz w:val="14"/>
            <w:szCs w:val="14"/>
            <w:u w:val="single" w:color="auto"/>
            <w:color w:val="0000FF"/>
          </w:rPr>
          <w:t>and Jennifer Y. Hyman, dated October 5, 2021</w:t>
        </w:r>
      </w:hyperlink>
    </w:p>
    <w:p>
      <w:pPr>
        <w:spacing w:after="0" w:line="1" w:lineRule="exact"/>
        <w:rPr>
          <w:sz w:val="20"/>
          <w:szCs w:val="20"/>
          <w:color w:val="auto"/>
        </w:rPr>
      </w:pPr>
    </w:p>
    <w:p>
      <w:pPr>
        <w:ind w:left="82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10.11+</w:t>
      </w:r>
      <w:r>
        <w:rPr>
          <w:sz w:val="20"/>
          <w:szCs w:val="20"/>
          <w:color w:val="auto"/>
        </w:rPr>
        <w:tab/>
      </w:r>
      <w:hyperlink r:id="rId229">
        <w:r>
          <w:rPr>
            <w:rFonts w:ascii="Arial" w:cs="Arial" w:eastAsia="Arial" w:hAnsi="Arial"/>
            <w:sz w:val="14"/>
            <w:szCs w:val="14"/>
            <w:u w:val="single" w:color="auto"/>
            <w:color w:val="0000FF"/>
          </w:rPr>
          <w:t>Amendment to Amended and Restated Employment Agreement by and between</w:t>
        </w:r>
      </w:hyperlink>
      <w:r>
        <w:rPr>
          <w:rFonts w:ascii="Arial" w:cs="Arial" w:eastAsia="Arial" w:hAnsi="Arial"/>
          <w:sz w:val="14"/>
          <w:szCs w:val="14"/>
          <w:u w:val="single" w:color="auto"/>
          <w:color w:val="0000FF"/>
        </w:rPr>
        <w:t xml:space="preserve"> </w:t>
      </w:r>
      <w:hyperlink r:id="rId229">
        <w:r>
          <w:rPr>
            <w:rFonts w:ascii="Arial" w:cs="Arial" w:eastAsia="Arial" w:hAnsi="Arial"/>
            <w:sz w:val="14"/>
            <w:szCs w:val="14"/>
            <w:u w:val="single" w:color="auto"/>
            <w:color w:val="0000FF"/>
          </w:rPr>
          <w:t>the Company and Jennifer Y. Hyman, dated May 18, 2022</w:t>
        </w:r>
      </w:hyperlink>
    </w:p>
    <w:p>
      <w:pPr>
        <w:spacing w:after="0" w:line="1" w:lineRule="exact"/>
        <w:rPr>
          <w:sz w:val="20"/>
          <w:szCs w:val="20"/>
          <w:color w:val="auto"/>
        </w:rPr>
      </w:pPr>
    </w:p>
    <w:p>
      <w:pPr>
        <w:ind w:left="82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10.12+</w:t>
      </w:r>
      <w:r>
        <w:rPr>
          <w:sz w:val="20"/>
          <w:szCs w:val="20"/>
          <w:color w:val="auto"/>
        </w:rPr>
        <w:tab/>
      </w:r>
      <w:hyperlink r:id="rId230">
        <w:r>
          <w:rPr>
            <w:rFonts w:ascii="Arial" w:cs="Arial" w:eastAsia="Arial" w:hAnsi="Arial"/>
            <w:sz w:val="14"/>
            <w:szCs w:val="14"/>
            <w:u w:val="single" w:color="auto"/>
            <w:color w:val="0000FF"/>
          </w:rPr>
          <w:t>Amendment to Amended and Restated Employment Agreement by and between</w:t>
        </w:r>
      </w:hyperlink>
      <w:r>
        <w:rPr>
          <w:rFonts w:ascii="Arial" w:cs="Arial" w:eastAsia="Arial" w:hAnsi="Arial"/>
          <w:sz w:val="14"/>
          <w:szCs w:val="14"/>
          <w:u w:val="single" w:color="auto"/>
          <w:color w:val="0000FF"/>
        </w:rPr>
        <w:t xml:space="preserve"> </w:t>
      </w:r>
      <w:hyperlink r:id="rId230">
        <w:r>
          <w:rPr>
            <w:rFonts w:ascii="Arial" w:cs="Arial" w:eastAsia="Arial" w:hAnsi="Arial"/>
            <w:sz w:val="14"/>
            <w:szCs w:val="14"/>
            <w:u w:val="single" w:color="auto"/>
            <w:color w:val="0000FF"/>
          </w:rPr>
          <w:t>the Company and Jennifer Y. Hyman, dated February 25, 2025</w:t>
        </w:r>
      </w:hyperlink>
    </w:p>
    <w:p>
      <w:pPr>
        <w:spacing w:after="0" w:line="1" w:lineRule="exact"/>
        <w:rPr>
          <w:sz w:val="20"/>
          <w:szCs w:val="20"/>
          <w:color w:val="auto"/>
        </w:rPr>
      </w:pPr>
    </w:p>
    <w:p>
      <w:pPr>
        <w:ind w:left="820" w:right="280" w:hanging="816"/>
        <w:spacing w:after="0" w:line="242"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10.13X</w:t>
      </w:r>
      <w:r>
        <w:rPr>
          <w:sz w:val="20"/>
          <w:szCs w:val="20"/>
          <w:color w:val="auto"/>
        </w:rPr>
        <w:tab/>
      </w:r>
      <w:hyperlink r:id="rId231">
        <w:r>
          <w:rPr>
            <w:rFonts w:ascii="Arial" w:cs="Arial" w:eastAsia="Arial" w:hAnsi="Arial"/>
            <w:sz w:val="14"/>
            <w:szCs w:val="14"/>
            <w:u w:val="single" w:color="auto"/>
            <w:color w:val="0000FF"/>
          </w:rPr>
          <w:t>Amendment to Amended and Restated Employment Agreement, by and</w:t>
        </w:r>
      </w:hyperlink>
      <w:r>
        <w:rPr>
          <w:rFonts w:ascii="Arial" w:cs="Arial" w:eastAsia="Arial" w:hAnsi="Arial"/>
          <w:sz w:val="14"/>
          <w:szCs w:val="14"/>
          <w:u w:val="single" w:color="auto"/>
          <w:color w:val="0000FF"/>
        </w:rPr>
        <w:t xml:space="preserve"> </w:t>
      </w:r>
      <w:hyperlink r:id="rId231">
        <w:r>
          <w:rPr>
            <w:rFonts w:ascii="Arial" w:cs="Arial" w:eastAsia="Arial" w:hAnsi="Arial"/>
            <w:sz w:val="14"/>
            <w:szCs w:val="14"/>
            <w:u w:val="single" w:color="auto"/>
            <w:color w:val="0000FF"/>
          </w:rPr>
          <w:t>between Rent the Runway, Inc. and Jennifer Hyman, dated August 20, 2025</w:t>
        </w:r>
      </w:hyperlink>
    </w:p>
    <w:p>
      <w:pPr>
        <w:spacing w:after="0" w:line="4" w:lineRule="exact"/>
        <w:rPr>
          <w:sz w:val="20"/>
          <w:szCs w:val="20"/>
          <w:color w:val="auto"/>
        </w:rPr>
      </w:pPr>
    </w:p>
    <w:p>
      <w:pPr>
        <w:ind w:left="820" w:right="40" w:hanging="816"/>
        <w:spacing w:after="0" w:line="255"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232">
        <w:r>
          <w:rPr>
            <w:rFonts w:ascii="Arial" w:cs="Arial" w:eastAsia="Arial" w:hAnsi="Arial"/>
            <w:sz w:val="14"/>
            <w:szCs w:val="14"/>
            <w:u w:val="single" w:color="auto"/>
            <w:color w:val="0000FF"/>
          </w:rPr>
          <w:t>Stockholders Agreement, dated October 29, 2021, by and among the Company,</w:t>
        </w:r>
      </w:hyperlink>
      <w:r>
        <w:rPr>
          <w:rFonts w:ascii="Arial" w:cs="Arial" w:eastAsia="Arial" w:hAnsi="Arial"/>
          <w:sz w:val="14"/>
          <w:szCs w:val="14"/>
          <w:u w:val="single" w:color="auto"/>
          <w:color w:val="0000FF"/>
        </w:rPr>
        <w:t xml:space="preserve"> </w:t>
      </w:r>
      <w:hyperlink r:id="rId232">
        <w:r>
          <w:rPr>
            <w:rFonts w:ascii="Arial" w:cs="Arial" w:eastAsia="Arial" w:hAnsi="Arial"/>
            <w:sz w:val="14"/>
            <w:szCs w:val="14"/>
            <w:u w:val="single" w:color="auto"/>
            <w:color w:val="0000FF"/>
          </w:rPr>
          <w:t>Jennifer Y. Hyman, entities affiliated with Bain Capital Ventures and entities</w:t>
        </w:r>
      </w:hyperlink>
      <w:r>
        <w:rPr>
          <w:rFonts w:ascii="Arial" w:cs="Arial" w:eastAsia="Arial" w:hAnsi="Arial"/>
          <w:sz w:val="14"/>
          <w:szCs w:val="14"/>
          <w:u w:val="single" w:color="auto"/>
          <w:color w:val="0000FF"/>
        </w:rPr>
        <w:t xml:space="preserve"> </w:t>
      </w:r>
      <w:hyperlink r:id="rId232">
        <w:r>
          <w:rPr>
            <w:rFonts w:ascii="Arial" w:cs="Arial" w:eastAsia="Arial" w:hAnsi="Arial"/>
            <w:sz w:val="14"/>
            <w:szCs w:val="14"/>
            <w:u w:val="single" w:color="auto"/>
            <w:color w:val="0000FF"/>
          </w:rPr>
          <w:t>affiliated with Highland Capital Partners and certain related parties</w:t>
        </w:r>
      </w:hyperlink>
    </w:p>
    <w:p>
      <w:pPr>
        <w:spacing w:after="0" w:line="7" w:lineRule="exact"/>
        <w:rPr>
          <w:rFonts w:ascii="Arial" w:cs="Arial" w:eastAsia="Arial" w:hAnsi="Arial"/>
          <w:sz w:val="14"/>
          <w:szCs w:val="14"/>
          <w:u w:val="single" w:color="auto"/>
          <w:color w:val="0000FF"/>
        </w:rPr>
      </w:pPr>
    </w:p>
    <w:p>
      <w:pPr>
        <w:ind w:left="820" w:right="160" w:hanging="816"/>
        <w:spacing w:after="0" w:line="223"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10.15†X</w:t>
      </w:r>
      <w:r>
        <w:rPr>
          <w:sz w:val="20"/>
          <w:szCs w:val="20"/>
          <w:color w:val="auto"/>
        </w:rPr>
        <w:tab/>
      </w:r>
      <w:hyperlink r:id="rId233">
        <w:r>
          <w:rPr>
            <w:rFonts w:ascii="Arial" w:cs="Arial" w:eastAsia="Arial" w:hAnsi="Arial"/>
            <w:sz w:val="14"/>
            <w:szCs w:val="14"/>
            <w:u w:val="single" w:color="auto"/>
            <w:color w:val="0000FF"/>
          </w:rPr>
          <w:t>Lease, dated as of July 7, 2014 as amended by th</w:t>
        </w:r>
        <w:r>
          <w:rPr>
            <w:rFonts w:ascii="Arial" w:cs="Arial" w:eastAsia="Arial" w:hAnsi="Arial"/>
            <w:sz w:val="14"/>
            <w:szCs w:val="14"/>
            <w:color w:val="000000"/>
          </w:rPr>
          <w:t>e</w:t>
        </w:r>
        <w:r>
          <w:rPr>
            <w:rFonts w:ascii="Arial" w:cs="Arial" w:eastAsia="Arial" w:hAnsi="Arial"/>
            <w:sz w:val="14"/>
            <w:szCs w:val="14"/>
            <w:u w:val="single" w:color="auto"/>
            <w:color w:val="0000FF"/>
          </w:rPr>
          <w:t xml:space="preserve"> certain Lease Modification</w:t>
        </w:r>
      </w:hyperlink>
      <w:r>
        <w:rPr>
          <w:rFonts w:ascii="Arial" w:cs="Arial" w:eastAsia="Arial" w:hAnsi="Arial"/>
          <w:sz w:val="14"/>
          <w:szCs w:val="14"/>
          <w:u w:val="single" w:color="auto"/>
          <w:color w:val="0000FF"/>
        </w:rPr>
        <w:t xml:space="preserve"> </w:t>
      </w:r>
      <w:hyperlink r:id="rId233">
        <w:r>
          <w:rPr>
            <w:rFonts w:ascii="Arial" w:cs="Arial" w:eastAsia="Arial" w:hAnsi="Arial"/>
            <w:sz w:val="14"/>
            <w:szCs w:val="14"/>
            <w:u w:val="single" w:color="auto"/>
            <w:color w:val="0000FF"/>
          </w:rPr>
          <w:t>Agreements, dated April 28, 2020 and August 9, 2020, each by and between</w:t>
        </w:r>
      </w:hyperlink>
    </w:p>
    <w:p>
      <w:pPr>
        <w:spacing w:after="0" w:line="1" w:lineRule="exact"/>
        <w:rPr>
          <w:sz w:val="20"/>
          <w:szCs w:val="20"/>
          <w:color w:val="auto"/>
        </w:rPr>
      </w:pPr>
    </w:p>
    <w:p>
      <w:pPr>
        <w:ind w:left="820"/>
        <w:spacing w:after="0"/>
        <w:rPr>
          <w:rFonts w:ascii="Arial" w:cs="Arial" w:eastAsia="Arial" w:hAnsi="Arial"/>
          <w:sz w:val="14"/>
          <w:szCs w:val="14"/>
          <w:u w:val="single" w:color="auto"/>
          <w:color w:val="0000FF"/>
        </w:rPr>
      </w:pPr>
      <w:hyperlink r:id="rId233">
        <w:r>
          <w:rPr>
            <w:rFonts w:ascii="Arial" w:cs="Arial" w:eastAsia="Arial" w:hAnsi="Arial"/>
            <w:sz w:val="14"/>
            <w:szCs w:val="14"/>
            <w:u w:val="single" w:color="auto"/>
            <w:color w:val="0000FF"/>
          </w:rPr>
          <w:t>Hartz Metro Leasehold I LLC and the Company.</w:t>
        </w:r>
      </w:hyperlink>
    </w:p>
    <w:p>
      <w:pPr>
        <w:spacing w:after="0" w:line="11" w:lineRule="exact"/>
        <w:rPr>
          <w:sz w:val="20"/>
          <w:szCs w:val="20"/>
          <w:color w:val="auto"/>
        </w:rPr>
      </w:pPr>
    </w:p>
    <w:p>
      <w:pPr>
        <w:ind w:left="820" w:right="180" w:hanging="816"/>
        <w:spacing w:after="0" w:line="251"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10.16†X</w:t>
      </w:r>
      <w:r>
        <w:rPr>
          <w:sz w:val="20"/>
          <w:szCs w:val="20"/>
          <w:color w:val="auto"/>
        </w:rPr>
        <w:tab/>
      </w:r>
      <w:hyperlink r:id="rId234">
        <w:r>
          <w:rPr>
            <w:rFonts w:ascii="Arial" w:cs="Arial" w:eastAsia="Arial" w:hAnsi="Arial"/>
            <w:sz w:val="14"/>
            <w:szCs w:val="14"/>
            <w:u w:val="single" w:color="auto"/>
            <w:color w:val="0000FF"/>
          </w:rPr>
          <w:t>Industrial Lease, dated March 31, 2018, as amended by that certain First</w:t>
        </w:r>
      </w:hyperlink>
      <w:r>
        <w:rPr>
          <w:rFonts w:ascii="Arial" w:cs="Arial" w:eastAsia="Arial" w:hAnsi="Arial"/>
          <w:sz w:val="14"/>
          <w:szCs w:val="14"/>
          <w:u w:val="single" w:color="auto"/>
          <w:color w:val="0000FF"/>
        </w:rPr>
        <w:t xml:space="preserve"> </w:t>
      </w:r>
      <w:hyperlink r:id="rId234">
        <w:r>
          <w:rPr>
            <w:rFonts w:ascii="Arial" w:cs="Arial" w:eastAsia="Arial" w:hAnsi="Arial"/>
            <w:sz w:val="14"/>
            <w:szCs w:val="14"/>
            <w:u w:val="single" w:color="auto"/>
            <w:color w:val="0000FF"/>
          </w:rPr>
          <w:t>Amendment to Industrial Lease, dated August 31, 2020, by and between CPF</w:t>
        </w:r>
      </w:hyperlink>
      <w:r>
        <w:rPr>
          <w:rFonts w:ascii="Arial" w:cs="Arial" w:eastAsia="Arial" w:hAnsi="Arial"/>
          <w:sz w:val="14"/>
          <w:szCs w:val="14"/>
          <w:u w:val="single" w:color="auto"/>
          <w:color w:val="0000FF"/>
        </w:rPr>
        <w:t xml:space="preserve"> </w:t>
      </w:r>
      <w:hyperlink r:id="rId234">
        <w:r>
          <w:rPr>
            <w:rFonts w:ascii="Arial" w:cs="Arial" w:eastAsia="Arial" w:hAnsi="Arial"/>
            <w:sz w:val="14"/>
            <w:szCs w:val="14"/>
            <w:u w:val="single" w:color="auto"/>
            <w:color w:val="0000FF"/>
          </w:rPr>
          <w:t>BARDIN JV LP and the Company.</w:t>
        </w:r>
      </w:hyperlink>
    </w:p>
    <w:p>
      <w:pPr>
        <w:spacing w:after="0" w:line="9" w:lineRule="exact"/>
        <w:rPr>
          <w:rFonts w:ascii="Arial" w:cs="Arial" w:eastAsia="Arial" w:hAnsi="Arial"/>
          <w:sz w:val="14"/>
          <w:szCs w:val="14"/>
          <w:u w:val="single" w:color="auto"/>
          <w:color w:val="0000FF"/>
        </w:rPr>
      </w:pPr>
    </w:p>
    <w:p>
      <w:pPr>
        <w:ind w:left="820" w:right="20" w:hanging="816"/>
        <w:spacing w:after="0" w:line="255"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10.17†X</w:t>
      </w:r>
      <w:r>
        <w:rPr>
          <w:sz w:val="20"/>
          <w:szCs w:val="20"/>
          <w:color w:val="auto"/>
        </w:rPr>
        <w:tab/>
      </w:r>
      <w:hyperlink r:id="rId235">
        <w:r>
          <w:rPr>
            <w:rFonts w:ascii="Arial" w:cs="Arial" w:eastAsia="Arial" w:hAnsi="Arial"/>
            <w:sz w:val="14"/>
            <w:szCs w:val="14"/>
            <w:u w:val="single" w:color="auto"/>
            <w:color w:val="0000FF"/>
          </w:rPr>
          <w:t>Lease, dated as of April 1, 2019, as amended by that certain First Amendment</w:t>
        </w:r>
      </w:hyperlink>
      <w:r>
        <w:rPr>
          <w:rFonts w:ascii="Arial" w:cs="Arial" w:eastAsia="Arial" w:hAnsi="Arial"/>
          <w:sz w:val="14"/>
          <w:szCs w:val="14"/>
          <w:u w:val="single" w:color="auto"/>
          <w:color w:val="0000FF"/>
        </w:rPr>
        <w:t xml:space="preserve"> </w:t>
      </w:r>
      <w:hyperlink r:id="rId235">
        <w:r>
          <w:rPr>
            <w:rFonts w:ascii="Arial" w:cs="Arial" w:eastAsia="Arial" w:hAnsi="Arial"/>
            <w:sz w:val="14"/>
            <w:szCs w:val="14"/>
            <w:u w:val="single" w:color="auto"/>
            <w:color w:val="0000FF"/>
          </w:rPr>
          <w:t>of Lease, dated December 10, 2020, by and between 10 Jay Master Tenant LLC</w:t>
        </w:r>
      </w:hyperlink>
      <w:r>
        <w:rPr>
          <w:rFonts w:ascii="Arial" w:cs="Arial" w:eastAsia="Arial" w:hAnsi="Arial"/>
          <w:sz w:val="14"/>
          <w:szCs w:val="14"/>
          <w:u w:val="single" w:color="auto"/>
          <w:color w:val="0000FF"/>
        </w:rPr>
        <w:t xml:space="preserve"> </w:t>
      </w:r>
      <w:hyperlink r:id="rId235">
        <w:r>
          <w:rPr>
            <w:rFonts w:ascii="Arial" w:cs="Arial" w:eastAsia="Arial" w:hAnsi="Arial"/>
            <w:sz w:val="14"/>
            <w:szCs w:val="14"/>
            <w:u w:val="single" w:color="auto"/>
            <w:color w:val="0000FF"/>
          </w:rPr>
          <w:t>and the Company.</w:t>
        </w:r>
      </w:hyperlink>
    </w:p>
    <w:p>
      <w:pPr>
        <w:spacing w:after="0" w:line="7" w:lineRule="exact"/>
        <w:rPr>
          <w:rFonts w:ascii="Arial" w:cs="Arial" w:eastAsia="Arial" w:hAnsi="Arial"/>
          <w:sz w:val="14"/>
          <w:szCs w:val="14"/>
          <w:u w:val="single" w:color="auto"/>
          <w:color w:val="0000FF"/>
        </w:rPr>
      </w:pPr>
    </w:p>
    <w:p>
      <w:pPr>
        <w:ind w:left="820" w:right="2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236">
        <w:r>
          <w:rPr>
            <w:rFonts w:ascii="Arial" w:cs="Arial" w:eastAsia="Arial" w:hAnsi="Arial"/>
            <w:sz w:val="14"/>
            <w:szCs w:val="14"/>
            <w:u w:val="single" w:color="auto"/>
            <w:color w:val="0000FF"/>
          </w:rPr>
          <w:t>Partial Termination and Second Amendment of Lease, dated February 16, 2022,</w:t>
        </w:r>
      </w:hyperlink>
      <w:r>
        <w:rPr>
          <w:rFonts w:ascii="Arial" w:cs="Arial" w:eastAsia="Arial" w:hAnsi="Arial"/>
          <w:sz w:val="14"/>
          <w:szCs w:val="14"/>
          <w:u w:val="single" w:color="auto"/>
          <w:color w:val="0000FF"/>
        </w:rPr>
        <w:t xml:space="preserve"> </w:t>
      </w:r>
      <w:hyperlink r:id="rId236">
        <w:r>
          <w:rPr>
            <w:rFonts w:ascii="Arial" w:cs="Arial" w:eastAsia="Arial" w:hAnsi="Arial"/>
            <w:sz w:val="14"/>
            <w:szCs w:val="14"/>
            <w:u w:val="single" w:color="auto"/>
            <w:color w:val="0000FF"/>
          </w:rPr>
          <w:t>by and between 10 Jay Master Tenant LLC and the Company.</w:t>
        </w:r>
      </w:hyperlink>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237">
        <w:r>
          <w:rPr>
            <w:rFonts w:ascii="Arial" w:cs="Arial" w:eastAsia="Arial" w:hAnsi="Arial"/>
            <w:sz w:val="14"/>
            <w:szCs w:val="14"/>
            <w:u w:val="single" w:color="auto"/>
            <w:color w:val="0000FF"/>
          </w:rPr>
          <w:t>Form of Retention Bonus Letter</w:t>
        </w:r>
      </w:hyperlink>
    </w:p>
    <w:p>
      <w:pPr>
        <w:spacing w:after="0" w:line="41" w:lineRule="exact"/>
        <w:rPr>
          <w:sz w:val="20"/>
          <w:szCs w:val="20"/>
          <w:color w:val="auto"/>
        </w:rPr>
      </w:pPr>
    </w:p>
    <w:p>
      <w:pPr>
        <w:ind w:left="820" w:right="14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238">
        <w:r>
          <w:rPr>
            <w:rFonts w:ascii="Arial" w:cs="Arial" w:eastAsia="Arial" w:hAnsi="Arial"/>
            <w:sz w:val="14"/>
            <w:szCs w:val="14"/>
            <w:u w:val="single" w:color="auto"/>
            <w:color w:val="0000FF"/>
          </w:rPr>
          <w:t>Offer Letter Amendment, between the Company and Siddharth Thacker, dated</w:t>
        </w:r>
      </w:hyperlink>
      <w:r>
        <w:rPr>
          <w:rFonts w:ascii="Arial" w:cs="Arial" w:eastAsia="Arial" w:hAnsi="Arial"/>
          <w:sz w:val="14"/>
          <w:szCs w:val="14"/>
          <w:u w:val="single" w:color="auto"/>
          <w:color w:val="0000FF"/>
        </w:rPr>
        <w:t xml:space="preserve"> </w:t>
      </w:r>
      <w:hyperlink r:id="rId238">
        <w:r>
          <w:rPr>
            <w:rFonts w:ascii="Arial" w:cs="Arial" w:eastAsia="Arial" w:hAnsi="Arial"/>
            <w:sz w:val="14"/>
            <w:szCs w:val="14"/>
            <w:u w:val="single" w:color="auto"/>
            <w:color w:val="0000FF"/>
          </w:rPr>
          <w:t>April 11, 2023</w:t>
        </w:r>
      </w:hyperlink>
    </w:p>
    <w:p>
      <w:pPr>
        <w:spacing w:after="0" w:line="1" w:lineRule="exact"/>
        <w:rPr>
          <w:sz w:val="20"/>
          <w:szCs w:val="20"/>
          <w:color w:val="auto"/>
        </w:rPr>
      </w:pPr>
    </w:p>
    <w:p>
      <w:pPr>
        <w:ind w:left="820" w:right="180" w:hanging="816"/>
        <w:spacing w:after="0" w:line="268"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239">
        <w:r>
          <w:rPr>
            <w:rFonts w:ascii="Arial" w:cs="Arial" w:eastAsia="Arial" w:hAnsi="Arial"/>
            <w:sz w:val="14"/>
            <w:szCs w:val="14"/>
            <w:u w:val="single" w:color="auto"/>
            <w:color w:val="0000FF"/>
          </w:rPr>
          <w:t>Third Lease Modification, dated as of January 29, 2024 by and between Hartz</w:t>
        </w:r>
      </w:hyperlink>
      <w:r>
        <w:rPr>
          <w:rFonts w:ascii="Arial" w:cs="Arial" w:eastAsia="Arial" w:hAnsi="Arial"/>
          <w:sz w:val="14"/>
          <w:szCs w:val="14"/>
          <w:u w:val="single" w:color="auto"/>
          <w:color w:val="0000FF"/>
        </w:rPr>
        <w:t xml:space="preserve"> </w:t>
      </w:r>
      <w:hyperlink r:id="rId239">
        <w:r>
          <w:rPr>
            <w:rFonts w:ascii="Arial" w:cs="Arial" w:eastAsia="Arial" w:hAnsi="Arial"/>
            <w:sz w:val="14"/>
            <w:szCs w:val="14"/>
            <w:u w:val="single" w:color="auto"/>
            <w:color w:val="0000FF"/>
          </w:rPr>
          <w:t>Metro Leasehold I LLC and the Company.</w:t>
        </w:r>
      </w:hyperlink>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10.22+</w:t>
      </w:r>
      <w:r>
        <w:rPr>
          <w:sz w:val="20"/>
          <w:szCs w:val="20"/>
          <w:color w:val="auto"/>
        </w:rPr>
        <w:tab/>
      </w:r>
      <w:hyperlink r:id="rId240">
        <w:r>
          <w:rPr>
            <w:rFonts w:ascii="Arial" w:cs="Arial" w:eastAsia="Arial" w:hAnsi="Arial"/>
            <w:sz w:val="14"/>
            <w:szCs w:val="14"/>
            <w:u w:val="single" w:color="auto"/>
            <w:color w:val="0000FF"/>
          </w:rPr>
          <w:t>Amended and Restated Executive Severance Plan</w:t>
        </w:r>
      </w:hyperlink>
    </w:p>
    <w:p>
      <w:pPr>
        <w:spacing w:after="0" w:line="4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10.23+</w:t>
      </w:r>
      <w:r>
        <w:rPr>
          <w:sz w:val="20"/>
          <w:szCs w:val="20"/>
          <w:color w:val="auto"/>
        </w:rPr>
        <w:tab/>
      </w:r>
      <w:hyperlink r:id="rId241">
        <w:r>
          <w:rPr>
            <w:rFonts w:ascii="Arial" w:cs="Arial" w:eastAsia="Arial" w:hAnsi="Arial"/>
            <w:sz w:val="14"/>
            <w:szCs w:val="14"/>
            <w:u w:val="single" w:color="auto"/>
            <w:color w:val="0000FF"/>
          </w:rPr>
          <w:t>Transaction Bonus Plan</w:t>
        </w:r>
      </w:hyperlink>
    </w:p>
    <w:p>
      <w:pPr>
        <w:spacing w:after="0" w:line="4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10.24+</w:t>
      </w:r>
      <w:r>
        <w:rPr>
          <w:sz w:val="20"/>
          <w:szCs w:val="20"/>
          <w:color w:val="auto"/>
        </w:rPr>
        <w:tab/>
      </w:r>
      <w:hyperlink r:id="rId242">
        <w:r>
          <w:rPr>
            <w:rFonts w:ascii="Arial" w:cs="Arial" w:eastAsia="Arial" w:hAnsi="Arial"/>
            <w:sz w:val="14"/>
            <w:szCs w:val="14"/>
            <w:u w:val="single" w:color="auto"/>
            <w:color w:val="0000FF"/>
          </w:rPr>
          <w:t>Amendment No. 1 to Rent the Runway, Inc. Transaction Bonus Plan</w:t>
        </w:r>
      </w:hyperlink>
    </w:p>
    <w:p>
      <w:pPr>
        <w:spacing w:after="0" w:line="4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10.25+</w:t>
      </w:r>
      <w:r>
        <w:rPr>
          <w:sz w:val="20"/>
          <w:szCs w:val="20"/>
          <w:color w:val="auto"/>
        </w:rPr>
        <w:tab/>
      </w:r>
      <w:hyperlink r:id="rId243">
        <w:r>
          <w:rPr>
            <w:rFonts w:ascii="Arial" w:cs="Arial" w:eastAsia="Arial" w:hAnsi="Arial"/>
            <w:sz w:val="14"/>
            <w:szCs w:val="14"/>
            <w:u w:val="single" w:color="auto"/>
            <w:color w:val="0000FF"/>
          </w:rPr>
          <w:t>Amendment No. 2 to Rent the Runway, Inc. Transaction Bonus Plan</w:t>
        </w:r>
      </w:hyperlink>
    </w:p>
    <w:p>
      <w:pPr>
        <w:spacing w:after="0" w:line="41" w:lineRule="exact"/>
        <w:rPr>
          <w:sz w:val="20"/>
          <w:szCs w:val="20"/>
          <w:color w:val="auto"/>
        </w:rPr>
      </w:pPr>
    </w:p>
    <w:p>
      <w:pPr>
        <w:ind w:left="820" w:right="540" w:hanging="816"/>
        <w:spacing w:after="0" w:line="274" w:lineRule="auto"/>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10.26</w:t>
      </w:r>
      <w:r>
        <w:rPr>
          <w:sz w:val="20"/>
          <w:szCs w:val="20"/>
          <w:color w:val="auto"/>
        </w:rPr>
        <w:tab/>
      </w:r>
      <w:hyperlink r:id="rId244">
        <w:r>
          <w:rPr>
            <w:rFonts w:ascii="Arial" w:cs="Arial" w:eastAsia="Arial" w:hAnsi="Arial"/>
            <w:sz w:val="14"/>
            <w:szCs w:val="14"/>
            <w:u w:val="single" w:color="auto"/>
            <w:color w:val="0000FF"/>
          </w:rPr>
          <w:t>Exchange Agreement, dated August 20, 2025, by and between Rent the</w:t>
        </w:r>
      </w:hyperlink>
      <w:r>
        <w:rPr>
          <w:rFonts w:ascii="Arial" w:cs="Arial" w:eastAsia="Arial" w:hAnsi="Arial"/>
          <w:sz w:val="14"/>
          <w:szCs w:val="14"/>
          <w:u w:val="single" w:color="auto"/>
          <w:color w:val="0000FF"/>
        </w:rPr>
        <w:t xml:space="preserve"> </w:t>
      </w:r>
      <w:hyperlink r:id="rId244">
        <w:r>
          <w:rPr>
            <w:rFonts w:ascii="Arial" w:cs="Arial" w:eastAsia="Arial" w:hAnsi="Arial"/>
            <w:sz w:val="14"/>
            <w:szCs w:val="14"/>
            <w:u w:val="single" w:color="auto"/>
            <w:color w:val="0000FF"/>
          </w:rPr>
          <w:t>Runway, Inc. and CHS US Investments LLC</w:t>
        </w:r>
      </w:hyperlink>
    </w:p>
    <w:p>
      <w:pPr>
        <w:spacing w:after="0" w:line="200" w:lineRule="exact"/>
        <w:rPr>
          <w:sz w:val="20"/>
          <w:szCs w:val="20"/>
          <w:color w:val="auto"/>
        </w:rPr>
      </w:pPr>
    </w:p>
    <w:p>
      <w:pPr>
        <w:spacing w:after="0" w:line="32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720" w:type="dxa"/>
            <w:vAlign w:val="bottom"/>
          </w:tcPr>
          <w:p>
            <w:pPr>
              <w:jc w:val="right"/>
              <w:spacing w:after="0"/>
              <w:rPr>
                <w:sz w:val="20"/>
                <w:szCs w:val="20"/>
                <w:color w:val="auto"/>
              </w:rPr>
            </w:pPr>
            <w:r>
              <w:rPr>
                <w:rFonts w:ascii="Arial" w:cs="Arial" w:eastAsia="Arial" w:hAnsi="Arial"/>
                <w:sz w:val="14"/>
                <w:szCs w:val="14"/>
                <w:color w:val="auto"/>
              </w:rPr>
              <w:t>10.14</w:t>
            </w:r>
          </w:p>
        </w:tc>
        <w:tc>
          <w:tcPr>
            <w:tcW w:w="420" w:type="dxa"/>
            <w:vAlign w:val="bottom"/>
          </w:tcPr>
          <w:p>
            <w:pPr>
              <w:spacing w:after="0"/>
              <w:rPr>
                <w:sz w:val="16"/>
                <w:szCs w:val="16"/>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10/22/2021</w:t>
            </w:r>
          </w:p>
        </w:tc>
      </w:tr>
      <w:tr>
        <w:trPr>
          <w:trHeight w:val="244"/>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21"/>
                <w:szCs w:val="21"/>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06/06/2025</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720" w:type="dxa"/>
            <w:vAlign w:val="bottom"/>
          </w:tcPr>
          <w:p>
            <w:pPr>
              <w:jc w:val="right"/>
              <w:spacing w:after="0"/>
              <w:rPr>
                <w:sz w:val="20"/>
                <w:szCs w:val="20"/>
                <w:color w:val="auto"/>
              </w:rPr>
            </w:pPr>
            <w:r>
              <w:rPr>
                <w:rFonts w:ascii="Arial" w:cs="Arial" w:eastAsia="Arial" w:hAnsi="Arial"/>
                <w:sz w:val="14"/>
                <w:szCs w:val="14"/>
                <w:color w:val="auto"/>
              </w:rPr>
              <w:t>10.15</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10/18/2021</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6/10/2022</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10.17</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4/15/2025</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S-1/A</w:t>
            </w:r>
          </w:p>
        </w:tc>
        <w:tc>
          <w:tcPr>
            <w:tcW w:w="1300" w:type="dxa"/>
            <w:vAlign w:val="bottom"/>
          </w:tcPr>
          <w:p>
            <w:pPr>
              <w:ind w:left="180"/>
              <w:spacing w:after="0"/>
              <w:rPr>
                <w:sz w:val="20"/>
                <w:szCs w:val="20"/>
                <w:color w:val="auto"/>
              </w:rPr>
            </w:pPr>
            <w:r>
              <w:rPr>
                <w:rFonts w:ascii="Arial" w:cs="Arial" w:eastAsia="Arial" w:hAnsi="Arial"/>
                <w:sz w:val="14"/>
                <w:szCs w:val="14"/>
                <w:color w:val="auto"/>
              </w:rPr>
              <w:t>333-290358</w:t>
            </w:r>
          </w:p>
        </w:tc>
        <w:tc>
          <w:tcPr>
            <w:tcW w:w="720" w:type="dxa"/>
            <w:vAlign w:val="bottom"/>
          </w:tcPr>
          <w:p>
            <w:pPr>
              <w:jc w:val="right"/>
              <w:spacing w:after="0"/>
              <w:rPr>
                <w:sz w:val="20"/>
                <w:szCs w:val="20"/>
                <w:color w:val="auto"/>
              </w:rPr>
            </w:pPr>
            <w:r>
              <w:rPr>
                <w:rFonts w:ascii="Arial" w:cs="Arial" w:eastAsia="Arial" w:hAnsi="Arial"/>
                <w:sz w:val="14"/>
                <w:szCs w:val="14"/>
                <w:color w:val="auto"/>
              </w:rPr>
              <w:t>10.38</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09/29/2025</w:t>
            </w:r>
          </w:p>
        </w:tc>
      </w:tr>
      <w:tr>
        <w:trPr>
          <w:trHeight w:val="329"/>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10/29/2021</w:t>
            </w:r>
          </w:p>
        </w:tc>
      </w:tr>
      <w:tr>
        <w:trPr>
          <w:trHeight w:val="520"/>
        </w:trPr>
        <w:tc>
          <w:tcPr>
            <w:tcW w:w="520" w:type="dxa"/>
            <w:vAlign w:val="bottom"/>
          </w:tcPr>
          <w:p>
            <w:pPr>
              <w:spacing w:after="0"/>
              <w:rPr>
                <w:sz w:val="20"/>
                <w:szCs w:val="20"/>
                <w:color w:val="auto"/>
              </w:rPr>
            </w:pPr>
            <w:r>
              <w:rPr>
                <w:rFonts w:ascii="Arial" w:cs="Arial" w:eastAsia="Arial" w:hAnsi="Arial"/>
                <w:sz w:val="14"/>
                <w:szCs w:val="14"/>
                <w:color w:val="auto"/>
              </w:rPr>
              <w:t>S-1</w:t>
            </w:r>
          </w:p>
        </w:tc>
        <w:tc>
          <w:tcPr>
            <w:tcW w:w="130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720" w:type="dxa"/>
            <w:vAlign w:val="bottom"/>
          </w:tcPr>
          <w:p>
            <w:pPr>
              <w:jc w:val="right"/>
              <w:spacing w:after="0"/>
              <w:rPr>
                <w:sz w:val="20"/>
                <w:szCs w:val="20"/>
                <w:color w:val="auto"/>
              </w:rPr>
            </w:pPr>
            <w:r>
              <w:rPr>
                <w:rFonts w:ascii="Arial" w:cs="Arial" w:eastAsia="Arial" w:hAnsi="Arial"/>
                <w:sz w:val="14"/>
                <w:szCs w:val="14"/>
                <w:color w:val="auto"/>
              </w:rPr>
              <w:t>10.21</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10/04/2021</w:t>
            </w:r>
          </w:p>
        </w:tc>
      </w:tr>
      <w:tr>
        <w:trPr>
          <w:trHeight w:val="467"/>
        </w:trPr>
        <w:tc>
          <w:tcPr>
            <w:tcW w:w="520" w:type="dxa"/>
            <w:vAlign w:val="bottom"/>
          </w:tcPr>
          <w:p>
            <w:pPr>
              <w:spacing w:after="0"/>
              <w:rPr>
                <w:sz w:val="20"/>
                <w:szCs w:val="20"/>
                <w:color w:val="auto"/>
              </w:rPr>
            </w:pPr>
            <w:r>
              <w:rPr>
                <w:rFonts w:ascii="Arial" w:cs="Arial" w:eastAsia="Arial" w:hAnsi="Arial"/>
                <w:sz w:val="14"/>
                <w:szCs w:val="14"/>
                <w:color w:val="auto"/>
              </w:rPr>
              <w:t>S-1</w:t>
            </w:r>
          </w:p>
        </w:tc>
        <w:tc>
          <w:tcPr>
            <w:tcW w:w="130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720" w:type="dxa"/>
            <w:vAlign w:val="bottom"/>
          </w:tcPr>
          <w:p>
            <w:pPr>
              <w:jc w:val="right"/>
              <w:spacing w:after="0"/>
              <w:rPr>
                <w:sz w:val="20"/>
                <w:szCs w:val="20"/>
                <w:color w:val="auto"/>
              </w:rPr>
            </w:pPr>
            <w:r>
              <w:rPr>
                <w:rFonts w:ascii="Arial" w:cs="Arial" w:eastAsia="Arial" w:hAnsi="Arial"/>
                <w:sz w:val="14"/>
                <w:szCs w:val="14"/>
                <w:color w:val="auto"/>
              </w:rPr>
              <w:t>10.23</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10/04/2021</w:t>
            </w:r>
          </w:p>
        </w:tc>
      </w:tr>
      <w:tr>
        <w:trPr>
          <w:trHeight w:val="520"/>
        </w:trPr>
        <w:tc>
          <w:tcPr>
            <w:tcW w:w="520" w:type="dxa"/>
            <w:vAlign w:val="bottom"/>
          </w:tcPr>
          <w:p>
            <w:pPr>
              <w:spacing w:after="0"/>
              <w:rPr>
                <w:sz w:val="20"/>
                <w:szCs w:val="20"/>
                <w:color w:val="auto"/>
              </w:rPr>
            </w:pPr>
            <w:r>
              <w:rPr>
                <w:rFonts w:ascii="Arial" w:cs="Arial" w:eastAsia="Arial" w:hAnsi="Arial"/>
                <w:sz w:val="14"/>
                <w:szCs w:val="14"/>
                <w:color w:val="auto"/>
              </w:rPr>
              <w:t>S-1</w:t>
            </w:r>
          </w:p>
        </w:tc>
        <w:tc>
          <w:tcPr>
            <w:tcW w:w="130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720" w:type="dxa"/>
            <w:vAlign w:val="bottom"/>
          </w:tcPr>
          <w:p>
            <w:pPr>
              <w:jc w:val="right"/>
              <w:spacing w:after="0"/>
              <w:rPr>
                <w:sz w:val="20"/>
                <w:szCs w:val="20"/>
                <w:color w:val="auto"/>
              </w:rPr>
            </w:pPr>
            <w:r>
              <w:rPr>
                <w:rFonts w:ascii="Arial" w:cs="Arial" w:eastAsia="Arial" w:hAnsi="Arial"/>
                <w:sz w:val="14"/>
                <w:szCs w:val="14"/>
                <w:color w:val="auto"/>
              </w:rPr>
              <w:t>10.24</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10/04/2021</w:t>
            </w:r>
          </w:p>
        </w:tc>
      </w:tr>
      <w:tr>
        <w:trPr>
          <w:trHeight w:val="520"/>
        </w:trPr>
        <w:tc>
          <w:tcPr>
            <w:tcW w:w="520" w:type="dxa"/>
            <w:vAlign w:val="bottom"/>
          </w:tcPr>
          <w:p>
            <w:pPr>
              <w:spacing w:after="0"/>
              <w:rPr>
                <w:sz w:val="20"/>
                <w:szCs w:val="20"/>
                <w:color w:val="auto"/>
              </w:rPr>
            </w:pPr>
            <w:r>
              <w:rPr>
                <w:rFonts w:ascii="Arial" w:cs="Arial" w:eastAsia="Arial" w:hAnsi="Arial"/>
                <w:sz w:val="14"/>
                <w:szCs w:val="14"/>
                <w:color w:val="auto"/>
              </w:rPr>
              <w:t>10-K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10.27</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4/14/2022</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jc w:val="right"/>
              <w:ind w:right="49"/>
              <w:spacing w:after="0"/>
              <w:rPr>
                <w:sz w:val="20"/>
                <w:szCs w:val="20"/>
                <w:color w:val="auto"/>
              </w:rPr>
            </w:pPr>
            <w:r>
              <w:rPr>
                <w:rFonts w:ascii="Arial" w:cs="Arial" w:eastAsia="Arial" w:hAnsi="Arial"/>
                <w:sz w:val="14"/>
                <w:szCs w:val="14"/>
                <w:color w:val="auto"/>
              </w:rPr>
              <w:t>10.1</w:t>
            </w:r>
          </w:p>
        </w:tc>
        <w:tc>
          <w:tcPr>
            <w:tcW w:w="1240" w:type="dxa"/>
            <w:vAlign w:val="bottom"/>
          </w:tcPr>
          <w:p>
            <w:pPr>
              <w:jc w:val="right"/>
              <w:spacing w:after="0"/>
              <w:rPr>
                <w:sz w:val="20"/>
                <w:szCs w:val="20"/>
                <w:color w:val="auto"/>
              </w:rPr>
            </w:pPr>
            <w:r>
              <w:rPr>
                <w:rFonts w:ascii="Arial" w:cs="Arial" w:eastAsia="Arial" w:hAnsi="Arial"/>
                <w:sz w:val="14"/>
                <w:szCs w:val="14"/>
                <w:color w:val="auto"/>
              </w:rPr>
              <w:t>12/06/2023 45266</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4/12/2023</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10.32</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4/11/2024</w:t>
            </w:r>
          </w:p>
        </w:tc>
      </w:tr>
      <w:tr>
        <w:trPr>
          <w:trHeight w:val="361"/>
        </w:trPr>
        <w:tc>
          <w:tcPr>
            <w:tcW w:w="520" w:type="dxa"/>
            <w:vAlign w:val="bottom"/>
          </w:tcPr>
          <w:p>
            <w:pPr>
              <w:spacing w:after="0"/>
              <w:rPr>
                <w:sz w:val="20"/>
                <w:szCs w:val="20"/>
                <w:color w:val="auto"/>
              </w:rPr>
            </w:pPr>
            <w:r>
              <w:rPr>
                <w:rFonts w:ascii="Arial" w:cs="Arial" w:eastAsia="Arial" w:hAnsi="Arial"/>
                <w:sz w:val="14"/>
                <w:szCs w:val="14"/>
                <w:color w:val="auto"/>
              </w:rPr>
              <w:t>10-K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420" w:type="dxa"/>
            <w:vAlign w:val="bottom"/>
          </w:tcPr>
          <w:p>
            <w:pPr>
              <w:spacing w:after="0"/>
              <w:rPr>
                <w:sz w:val="24"/>
                <w:szCs w:val="24"/>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4/11/2024</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5/21/2024</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9/12/2025</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8/21/2025</w:t>
            </w:r>
          </w:p>
        </w:tc>
      </w:tr>
      <w:tr>
        <w:trPr>
          <w:trHeight w:val="202"/>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00" w:type="dxa"/>
            <w:vAlign w:val="bottom"/>
          </w:tcPr>
          <w:p>
            <w:pPr>
              <w:ind w:left="180"/>
              <w:spacing w:after="0"/>
              <w:rPr>
                <w:sz w:val="20"/>
                <w:szCs w:val="20"/>
                <w:color w:val="auto"/>
              </w:rPr>
            </w:pPr>
            <w:r>
              <w:rPr>
                <w:rFonts w:ascii="Arial" w:cs="Arial" w:eastAsia="Arial" w:hAnsi="Arial"/>
                <w:sz w:val="14"/>
                <w:szCs w:val="14"/>
                <w:color w:val="auto"/>
              </w:rPr>
              <w:t>001-40958</w:t>
            </w: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color w:val="auto"/>
              </w:rPr>
              <w:t>8/21/2025</w:t>
            </w:r>
          </w:p>
        </w:tc>
      </w:tr>
    </w:tbl>
    <w:p>
      <w:pPr>
        <w:sectPr>
          <w:pgSz w:w="11900" w:h="16838" w:orient="portrait"/>
          <w:cols w:equalWidth="0" w:num="2">
            <w:col w:w="5860" w:space="100"/>
            <w:col w:w="4200"/>
          </w:cols>
          <w:pgMar w:left="320" w:top="793" w:right="1419" w:bottom="1440" w:gutter="0" w:footer="0" w:header="0"/>
        </w:sectPr>
      </w:pPr>
    </w:p>
    <w:bookmarkStart w:id="146" w:name="page147"/>
    <w:bookmarkEnd w:id="14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 w:type="dxa"/>
            <w:vAlign w:val="bottom"/>
          </w:tcPr>
          <w:p>
            <w:pPr>
              <w:jc w:val="right"/>
              <w:ind w:right="409"/>
              <w:spacing w:after="0"/>
              <w:rPr>
                <w:sz w:val="20"/>
                <w:szCs w:val="20"/>
                <w:color w:val="auto"/>
              </w:rPr>
            </w:pPr>
            <w:r>
              <w:rPr>
                <w:rFonts w:ascii="Arial" w:cs="Arial" w:eastAsia="Arial" w:hAnsi="Arial"/>
                <w:sz w:val="14"/>
                <w:szCs w:val="14"/>
                <w:color w:val="auto"/>
                <w:w w:val="96"/>
              </w:rPr>
              <w:t>10.27</w:t>
            </w:r>
          </w:p>
        </w:tc>
        <w:tc>
          <w:tcPr>
            <w:tcW w:w="5340" w:type="dxa"/>
            <w:vAlign w:val="bottom"/>
            <w:gridSpan w:val="4"/>
          </w:tcPr>
          <w:p>
            <w:pPr>
              <w:spacing w:after="0"/>
              <w:rPr>
                <w:rFonts w:ascii="Arial" w:cs="Arial" w:eastAsia="Arial" w:hAnsi="Arial"/>
                <w:sz w:val="14"/>
                <w:szCs w:val="14"/>
                <w:color w:val="0000FF"/>
              </w:rPr>
            </w:pPr>
            <w:hyperlink r:id="rId246">
              <w:r>
                <w:rPr>
                  <w:rFonts w:ascii="Arial" w:cs="Arial" w:eastAsia="Arial" w:hAnsi="Arial"/>
                  <w:sz w:val="14"/>
                  <w:szCs w:val="14"/>
                  <w:color w:val="0000FF"/>
                </w:rPr>
                <w:t>Investor Rights Agreement, dated August 20, 2025, by and among Rent the Runway,</w:t>
              </w:r>
            </w:hyperlink>
          </w:p>
        </w:tc>
        <w:tc>
          <w:tcPr>
            <w:tcW w:w="620" w:type="dxa"/>
            <w:vAlign w:val="bottom"/>
          </w:tcPr>
          <w:p>
            <w:pPr>
              <w:ind w:left="160"/>
              <w:spacing w:after="0"/>
              <w:rPr>
                <w:sz w:val="20"/>
                <w:szCs w:val="20"/>
                <w:color w:val="auto"/>
              </w:rPr>
            </w:pPr>
            <w:r>
              <w:rPr>
                <w:rFonts w:ascii="Arial" w:cs="Arial" w:eastAsia="Arial" w:hAnsi="Arial"/>
                <w:sz w:val="14"/>
                <w:szCs w:val="14"/>
                <w:color w:val="auto"/>
              </w:rPr>
              <w:t>8-K</w:t>
            </w:r>
          </w:p>
        </w:tc>
        <w:tc>
          <w:tcPr>
            <w:tcW w:w="142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10.2</w:t>
            </w:r>
          </w:p>
        </w:tc>
        <w:tc>
          <w:tcPr>
            <w:tcW w:w="820" w:type="dxa"/>
            <w:vAlign w:val="bottom"/>
          </w:tcPr>
          <w:p>
            <w:pPr>
              <w:jc w:val="right"/>
              <w:spacing w:after="0"/>
              <w:rPr>
                <w:sz w:val="20"/>
                <w:szCs w:val="20"/>
                <w:color w:val="auto"/>
              </w:rPr>
            </w:pPr>
            <w:r>
              <w:rPr>
                <w:rFonts w:ascii="Arial" w:cs="Arial" w:eastAsia="Arial" w:hAnsi="Arial"/>
                <w:sz w:val="14"/>
                <w:szCs w:val="14"/>
                <w:color w:val="auto"/>
              </w:rPr>
              <w:t>8/21/2025</w:t>
            </w:r>
          </w:p>
        </w:tc>
      </w:tr>
      <w:tr>
        <w:trPr>
          <w:trHeight w:val="139"/>
        </w:trPr>
        <w:tc>
          <w:tcPr>
            <w:tcW w:w="840" w:type="dxa"/>
            <w:vAlign w:val="bottom"/>
          </w:tcPr>
          <w:p>
            <w:pPr>
              <w:spacing w:after="0"/>
              <w:rPr>
                <w:sz w:val="12"/>
                <w:szCs w:val="12"/>
                <w:color w:val="auto"/>
              </w:rPr>
            </w:pPr>
          </w:p>
        </w:tc>
        <w:tc>
          <w:tcPr>
            <w:tcW w:w="5320" w:type="dxa"/>
            <w:vAlign w:val="bottom"/>
            <w:tcBorders>
              <w:top w:val="single" w:sz="8" w:color="0000FF"/>
            </w:tcBorders>
            <w:gridSpan w:val="3"/>
          </w:tcPr>
          <w:p>
            <w:pPr>
              <w:spacing w:after="0" w:line="139" w:lineRule="exact"/>
              <w:rPr>
                <w:rFonts w:ascii="Arial" w:cs="Arial" w:eastAsia="Arial" w:hAnsi="Arial"/>
                <w:sz w:val="14"/>
                <w:szCs w:val="14"/>
                <w:color w:val="0000FF"/>
              </w:rPr>
            </w:pPr>
            <w:hyperlink r:id="rId246">
              <w:r>
                <w:rPr>
                  <w:rFonts w:ascii="Arial" w:cs="Arial" w:eastAsia="Arial" w:hAnsi="Arial"/>
                  <w:sz w:val="14"/>
                  <w:szCs w:val="14"/>
                  <w:color w:val="0000FF"/>
                </w:rPr>
                <w:t>Inc., CHS US Investments LLC, Gateway Runway, LLC, S3 RR Aggregator, LLC and</w:t>
              </w:r>
            </w:hyperlink>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840" w:type="dxa"/>
            <w:vAlign w:val="bottom"/>
          </w:tcPr>
          <w:p>
            <w:pPr>
              <w:spacing w:after="0"/>
              <w:rPr>
                <w:sz w:val="12"/>
                <w:szCs w:val="12"/>
                <w:color w:val="auto"/>
              </w:rPr>
            </w:pPr>
          </w:p>
        </w:tc>
        <w:tc>
          <w:tcPr>
            <w:tcW w:w="5300" w:type="dxa"/>
            <w:vAlign w:val="bottom"/>
            <w:tcBorders>
              <w:top w:val="single" w:sz="8" w:color="0000FF"/>
            </w:tcBorders>
            <w:gridSpan w:val="2"/>
          </w:tcPr>
          <w:p>
            <w:pPr>
              <w:spacing w:after="0" w:line="139" w:lineRule="exact"/>
              <w:rPr>
                <w:rFonts w:ascii="Arial" w:cs="Arial" w:eastAsia="Arial" w:hAnsi="Arial"/>
                <w:sz w:val="14"/>
                <w:szCs w:val="14"/>
                <w:color w:val="0000FF"/>
              </w:rPr>
            </w:pPr>
            <w:hyperlink r:id="rId246">
              <w:r>
                <w:rPr>
                  <w:rFonts w:ascii="Arial" w:cs="Arial" w:eastAsia="Arial" w:hAnsi="Arial"/>
                  <w:sz w:val="14"/>
                  <w:szCs w:val="14"/>
                  <w:color w:val="0000FF"/>
                </w:rPr>
                <w:t>entities affiliated with Jennifer Hyman</w:t>
              </w:r>
            </w:hyperlink>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2"/>
        </w:trPr>
        <w:tc>
          <w:tcPr>
            <w:tcW w:w="840" w:type="dxa"/>
            <w:vAlign w:val="bottom"/>
          </w:tcPr>
          <w:p>
            <w:pPr>
              <w:jc w:val="right"/>
              <w:ind w:right="409"/>
              <w:spacing w:after="0"/>
              <w:rPr>
                <w:sz w:val="20"/>
                <w:szCs w:val="20"/>
                <w:color w:val="auto"/>
              </w:rPr>
            </w:pPr>
            <w:r>
              <w:rPr>
                <w:rFonts w:ascii="Arial" w:cs="Arial" w:eastAsia="Arial" w:hAnsi="Arial"/>
                <w:sz w:val="14"/>
                <w:szCs w:val="14"/>
                <w:color w:val="auto"/>
                <w:w w:val="96"/>
              </w:rPr>
              <w:t>10.28</w:t>
            </w:r>
          </w:p>
        </w:tc>
        <w:tc>
          <w:tcPr>
            <w:tcW w:w="5340" w:type="dxa"/>
            <w:vAlign w:val="bottom"/>
            <w:tcBorders>
              <w:bottom w:val="single" w:sz="8" w:color="0000FF"/>
            </w:tcBorders>
            <w:gridSpan w:val="4"/>
          </w:tcPr>
          <w:p>
            <w:pPr>
              <w:spacing w:after="0"/>
              <w:rPr>
                <w:rFonts w:ascii="Arial" w:cs="Arial" w:eastAsia="Arial" w:hAnsi="Arial"/>
                <w:sz w:val="14"/>
                <w:szCs w:val="14"/>
                <w:color w:val="0000FF"/>
              </w:rPr>
            </w:pPr>
            <w:hyperlink r:id="rId247">
              <w:r>
                <w:rPr>
                  <w:rFonts w:ascii="Arial" w:cs="Arial" w:eastAsia="Arial" w:hAnsi="Arial"/>
                  <w:sz w:val="14"/>
                  <w:szCs w:val="14"/>
                  <w:color w:val="0000FF"/>
                </w:rPr>
                <w:t>Rights Offering Backstop Agreement, dated August 20, 2025, by and among Rent the</w:t>
              </w:r>
            </w:hyperlink>
          </w:p>
        </w:tc>
        <w:tc>
          <w:tcPr>
            <w:tcW w:w="620" w:type="dxa"/>
            <w:vAlign w:val="bottom"/>
          </w:tcPr>
          <w:p>
            <w:pPr>
              <w:ind w:left="160"/>
              <w:spacing w:after="0"/>
              <w:rPr>
                <w:sz w:val="20"/>
                <w:szCs w:val="20"/>
                <w:color w:val="auto"/>
              </w:rPr>
            </w:pPr>
            <w:r>
              <w:rPr>
                <w:rFonts w:ascii="Arial" w:cs="Arial" w:eastAsia="Arial" w:hAnsi="Arial"/>
                <w:sz w:val="14"/>
                <w:szCs w:val="14"/>
                <w:color w:val="auto"/>
              </w:rPr>
              <w:t>8-K</w:t>
            </w:r>
          </w:p>
        </w:tc>
        <w:tc>
          <w:tcPr>
            <w:tcW w:w="142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10.3</w:t>
            </w:r>
          </w:p>
        </w:tc>
        <w:tc>
          <w:tcPr>
            <w:tcW w:w="820" w:type="dxa"/>
            <w:vAlign w:val="bottom"/>
          </w:tcPr>
          <w:p>
            <w:pPr>
              <w:jc w:val="right"/>
              <w:spacing w:after="0"/>
              <w:rPr>
                <w:sz w:val="20"/>
                <w:szCs w:val="20"/>
                <w:color w:val="auto"/>
              </w:rPr>
            </w:pPr>
            <w:r>
              <w:rPr>
                <w:rFonts w:ascii="Arial" w:cs="Arial" w:eastAsia="Arial" w:hAnsi="Arial"/>
                <w:sz w:val="14"/>
                <w:szCs w:val="14"/>
                <w:color w:val="auto"/>
              </w:rPr>
              <w:t>8/21/2025</w:t>
            </w:r>
          </w:p>
        </w:tc>
      </w:tr>
      <w:tr>
        <w:trPr>
          <w:trHeight w:val="128"/>
        </w:trPr>
        <w:tc>
          <w:tcPr>
            <w:tcW w:w="840" w:type="dxa"/>
            <w:vAlign w:val="bottom"/>
          </w:tcPr>
          <w:p>
            <w:pPr>
              <w:spacing w:after="0"/>
              <w:rPr>
                <w:sz w:val="11"/>
                <w:szCs w:val="11"/>
                <w:color w:val="auto"/>
              </w:rPr>
            </w:pPr>
          </w:p>
        </w:tc>
        <w:tc>
          <w:tcPr>
            <w:tcW w:w="5340" w:type="dxa"/>
            <w:vAlign w:val="bottom"/>
            <w:gridSpan w:val="4"/>
          </w:tcPr>
          <w:p>
            <w:pPr>
              <w:spacing w:after="0" w:line="128" w:lineRule="exact"/>
              <w:rPr>
                <w:rFonts w:ascii="Arial" w:cs="Arial" w:eastAsia="Arial" w:hAnsi="Arial"/>
                <w:sz w:val="14"/>
                <w:szCs w:val="14"/>
                <w:u w:val="single" w:color="auto"/>
                <w:color w:val="0000FF"/>
              </w:rPr>
            </w:pPr>
            <w:hyperlink r:id="rId247">
              <w:r>
                <w:rPr>
                  <w:rFonts w:ascii="Arial" w:cs="Arial" w:eastAsia="Arial" w:hAnsi="Arial"/>
                  <w:sz w:val="14"/>
                  <w:szCs w:val="14"/>
                  <w:u w:val="single" w:color="auto"/>
                  <w:color w:val="0000FF"/>
                </w:rPr>
                <w:t>Runway, Inc. and CHS US Investments LLC, Gateway Runway, LLC and S3 RR</w:t>
              </w:r>
            </w:hyperlink>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ind w:left="860"/>
        <w:spacing w:after="0"/>
        <w:rPr>
          <w:rFonts w:ascii="Arial" w:cs="Arial" w:eastAsia="Arial" w:hAnsi="Arial"/>
          <w:sz w:val="14"/>
          <w:szCs w:val="14"/>
          <w:u w:val="single" w:color="auto"/>
          <w:color w:val="0000FF"/>
        </w:rPr>
      </w:pPr>
      <w:hyperlink r:id="rId247">
        <w:r>
          <w:rPr>
            <w:rFonts w:ascii="Arial" w:cs="Arial" w:eastAsia="Arial" w:hAnsi="Arial"/>
            <w:sz w:val="14"/>
            <w:szCs w:val="14"/>
            <w:u w:val="single" w:color="auto"/>
            <w:color w:val="0000FF"/>
          </w:rPr>
          <w:t>Aggregator, LLC</w:t>
        </w:r>
      </w:hyperlink>
    </w:p>
    <w:p>
      <w:pPr>
        <w:sectPr>
          <w:pgSz w:w="11900" w:h="16838" w:orient="portrait"/>
          <w:cols w:equalWidth="0" w:num="1">
            <w:col w:w="11280"/>
          </w:cols>
          <w:pgMar w:left="300" w:top="785" w:right="31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840" w:type="dxa"/>
            <w:vAlign w:val="bottom"/>
          </w:tcPr>
          <w:p>
            <w:pPr>
              <w:spacing w:after="0"/>
              <w:rPr>
                <w:sz w:val="20"/>
                <w:szCs w:val="20"/>
                <w:color w:val="auto"/>
              </w:rPr>
            </w:pPr>
            <w:r>
              <w:rPr>
                <w:rFonts w:ascii="Arial" w:cs="Arial" w:eastAsia="Arial" w:hAnsi="Arial"/>
                <w:sz w:val="14"/>
                <w:szCs w:val="14"/>
                <w:color w:val="auto"/>
              </w:rPr>
              <w:t>10.29</w:t>
            </w:r>
          </w:p>
        </w:tc>
        <w:tc>
          <w:tcPr>
            <w:tcW w:w="5200" w:type="dxa"/>
            <w:vAlign w:val="bottom"/>
            <w:tcBorders>
              <w:bottom w:val="single" w:sz="8" w:color="0000FF"/>
            </w:tcBorders>
            <w:gridSpan w:val="15"/>
          </w:tcPr>
          <w:p>
            <w:pPr>
              <w:spacing w:after="0"/>
              <w:rPr>
                <w:rFonts w:ascii="Arial" w:cs="Arial" w:eastAsia="Arial" w:hAnsi="Arial"/>
                <w:sz w:val="14"/>
                <w:szCs w:val="14"/>
                <w:color w:val="0000FF"/>
              </w:rPr>
            </w:pPr>
            <w:hyperlink r:id="rId248">
              <w:r>
                <w:rPr>
                  <w:rFonts w:ascii="Arial" w:cs="Arial" w:eastAsia="Arial" w:hAnsi="Arial"/>
                  <w:sz w:val="14"/>
                  <w:szCs w:val="14"/>
                  <w:color w:val="0000FF"/>
                </w:rPr>
                <w:t>Executive Chair Letter, by and between Rent the Runway, Inc. and Dhiren Fonseca</w:t>
              </w:r>
            </w:hyperlink>
          </w:p>
        </w:tc>
        <w:tc>
          <w:tcPr>
            <w:tcW w:w="220" w:type="dxa"/>
            <w:vAlign w:val="bottom"/>
            <w:gridSpan w:val="5"/>
          </w:tcPr>
          <w:p>
            <w:pPr>
              <w:spacing w:after="0"/>
              <w:rPr>
                <w:sz w:val="14"/>
                <w:szCs w:val="14"/>
                <w:color w:val="auto"/>
              </w:rPr>
            </w:pPr>
          </w:p>
        </w:tc>
      </w:tr>
      <w:tr>
        <w:trPr>
          <w:trHeight w:val="160"/>
        </w:trPr>
        <w:tc>
          <w:tcPr>
            <w:tcW w:w="840" w:type="dxa"/>
            <w:vAlign w:val="bottom"/>
          </w:tcPr>
          <w:p>
            <w:pPr>
              <w:spacing w:after="0"/>
              <w:rPr>
                <w:sz w:val="20"/>
                <w:szCs w:val="20"/>
                <w:color w:val="auto"/>
              </w:rPr>
            </w:pPr>
            <w:r>
              <w:rPr>
                <w:rFonts w:ascii="Arial" w:cs="Arial" w:eastAsia="Arial" w:hAnsi="Arial"/>
                <w:sz w:val="14"/>
                <w:szCs w:val="14"/>
                <w:color w:val="auto"/>
              </w:rPr>
              <w:t>10.30</w:t>
            </w:r>
          </w:p>
        </w:tc>
        <w:tc>
          <w:tcPr>
            <w:tcW w:w="5420" w:type="dxa"/>
            <w:vAlign w:val="bottom"/>
            <w:gridSpan w:val="20"/>
          </w:tcPr>
          <w:p>
            <w:pPr>
              <w:spacing w:after="0"/>
              <w:rPr>
                <w:rFonts w:ascii="Arial" w:cs="Arial" w:eastAsia="Arial" w:hAnsi="Arial"/>
                <w:sz w:val="14"/>
                <w:szCs w:val="14"/>
                <w:color w:val="0000FF"/>
              </w:rPr>
            </w:pPr>
            <w:hyperlink r:id="rId249">
              <w:r>
                <w:rPr>
                  <w:rFonts w:ascii="Arial" w:cs="Arial" w:eastAsia="Arial" w:hAnsi="Arial"/>
                  <w:sz w:val="14"/>
                  <w:szCs w:val="14"/>
                  <w:color w:val="0000FF"/>
                </w:rPr>
                <w:t>Amended and Restated Credit Agreement, dated October 28, 2025, by and among</w:t>
              </w:r>
            </w:hyperlink>
          </w:p>
        </w:tc>
      </w:tr>
      <w:tr>
        <w:trPr>
          <w:trHeight w:val="139"/>
        </w:trPr>
        <w:tc>
          <w:tcPr>
            <w:tcW w:w="84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14"/>
          </w:tcPr>
          <w:p>
            <w:pPr>
              <w:spacing w:after="0" w:line="139" w:lineRule="exact"/>
              <w:rPr>
                <w:rFonts w:ascii="Arial" w:cs="Arial" w:eastAsia="Arial" w:hAnsi="Arial"/>
                <w:sz w:val="14"/>
                <w:szCs w:val="14"/>
                <w:color w:val="0000FF"/>
                <w:w w:val="99"/>
              </w:rPr>
            </w:pPr>
            <w:hyperlink r:id="rId249">
              <w:r>
                <w:rPr>
                  <w:rFonts w:ascii="Arial" w:cs="Arial" w:eastAsia="Arial" w:hAnsi="Arial"/>
                  <w:sz w:val="14"/>
                  <w:szCs w:val="14"/>
                  <w:color w:val="0000FF"/>
                  <w:w w:val="99"/>
                </w:rPr>
                <w:t>Rent the Runway, Inc., as borrower, CHS (US) Management LLC, as administrative</w:t>
              </w:r>
            </w:hyperlink>
          </w:p>
        </w:tc>
        <w:tc>
          <w:tcPr>
            <w:tcW w:w="4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840" w:type="dxa"/>
            <w:vAlign w:val="bottom"/>
          </w:tcPr>
          <w:p>
            <w:pPr>
              <w:spacing w:after="0"/>
              <w:rPr>
                <w:sz w:val="12"/>
                <w:szCs w:val="12"/>
                <w:color w:val="auto"/>
              </w:rPr>
            </w:pPr>
          </w:p>
        </w:tc>
        <w:tc>
          <w:tcPr>
            <w:tcW w:w="5200" w:type="dxa"/>
            <w:vAlign w:val="bottom"/>
            <w:tcBorders>
              <w:bottom w:val="single" w:sz="8" w:color="0000FF"/>
            </w:tcBorders>
            <w:gridSpan w:val="15"/>
          </w:tcPr>
          <w:p>
            <w:pPr>
              <w:spacing w:after="0" w:line="139" w:lineRule="exact"/>
              <w:rPr>
                <w:rFonts w:ascii="Arial" w:cs="Arial" w:eastAsia="Arial" w:hAnsi="Arial"/>
                <w:sz w:val="14"/>
                <w:szCs w:val="14"/>
                <w:color w:val="0000FF"/>
                <w:w w:val="97"/>
              </w:rPr>
            </w:pPr>
            <w:hyperlink r:id="rId249">
              <w:r>
                <w:rPr>
                  <w:rFonts w:ascii="Arial" w:cs="Arial" w:eastAsia="Arial" w:hAnsi="Arial"/>
                  <w:sz w:val="14"/>
                  <w:szCs w:val="14"/>
                  <w:color w:val="0000FF"/>
                  <w:w w:val="97"/>
                </w:rPr>
                <w:t>agent, and CHS US Investments LLC, Gateway Runway, LLC and S3 RR Aggregator,</w:t>
              </w:r>
            </w:hyperlink>
          </w:p>
        </w:tc>
        <w:tc>
          <w:tcPr>
            <w:tcW w:w="6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840" w:type="dxa"/>
            <w:vAlign w:val="bottom"/>
          </w:tcPr>
          <w:p>
            <w:pPr>
              <w:spacing w:after="0"/>
              <w:rPr>
                <w:sz w:val="12"/>
                <w:szCs w:val="12"/>
                <w:color w:val="auto"/>
              </w:rPr>
            </w:pPr>
          </w:p>
        </w:tc>
        <w:tc>
          <w:tcPr>
            <w:tcW w:w="5360" w:type="dxa"/>
            <w:vAlign w:val="bottom"/>
            <w:gridSpan w:val="18"/>
          </w:tcPr>
          <w:p>
            <w:pPr>
              <w:spacing w:after="0" w:line="139" w:lineRule="exact"/>
              <w:rPr>
                <w:rFonts w:ascii="Arial" w:cs="Arial" w:eastAsia="Arial" w:hAnsi="Arial"/>
                <w:sz w:val="14"/>
                <w:szCs w:val="14"/>
                <w:color w:val="0000FF"/>
              </w:rPr>
            </w:pPr>
            <w:hyperlink r:id="rId249">
              <w:r>
                <w:rPr>
                  <w:rFonts w:ascii="Arial" w:cs="Arial" w:eastAsia="Arial" w:hAnsi="Arial"/>
                  <w:sz w:val="14"/>
                  <w:szCs w:val="14"/>
                  <w:color w:val="0000FF"/>
                </w:rPr>
                <w:t>LLC, as lenders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10.31</w:t>
            </w:r>
          </w:p>
        </w:tc>
        <w:tc>
          <w:tcPr>
            <w:tcW w:w="5120" w:type="dxa"/>
            <w:vAlign w:val="bottom"/>
            <w:tcBorders>
              <w:bottom w:val="single" w:sz="8" w:color="0000FF"/>
            </w:tcBorders>
            <w:gridSpan w:val="13"/>
          </w:tcPr>
          <w:p>
            <w:pPr>
              <w:spacing w:after="0"/>
              <w:rPr>
                <w:rFonts w:ascii="Arial" w:cs="Arial" w:eastAsia="Arial" w:hAnsi="Arial"/>
                <w:sz w:val="14"/>
                <w:szCs w:val="14"/>
                <w:color w:val="0000FF"/>
              </w:rPr>
            </w:pPr>
            <w:hyperlink r:id="rId222">
              <w:r>
                <w:rPr>
                  <w:rFonts w:ascii="Arial" w:cs="Arial" w:eastAsia="Arial" w:hAnsi="Arial"/>
                  <w:sz w:val="14"/>
                  <w:szCs w:val="14"/>
                  <w:color w:val="0000FF"/>
                </w:rPr>
                <w:t>First Amendment to Amended and Restated Credit Agreement, dated January 28,</w:t>
              </w:r>
            </w:hyperlink>
          </w:p>
        </w:tc>
        <w:tc>
          <w:tcPr>
            <w:tcW w:w="300" w:type="dxa"/>
            <w:vAlign w:val="bottom"/>
            <w:gridSpan w:val="7"/>
          </w:tcPr>
          <w:p>
            <w:pPr>
              <w:spacing w:after="0"/>
              <w:rPr>
                <w:sz w:val="15"/>
                <w:szCs w:val="15"/>
                <w:color w:val="auto"/>
              </w:rPr>
            </w:pPr>
          </w:p>
        </w:tc>
      </w:tr>
      <w:tr>
        <w:trPr>
          <w:trHeight w:val="139"/>
        </w:trPr>
        <w:tc>
          <w:tcPr>
            <w:tcW w:w="840" w:type="dxa"/>
            <w:vAlign w:val="bottom"/>
          </w:tcPr>
          <w:p>
            <w:pPr>
              <w:spacing w:after="0"/>
              <w:rPr>
                <w:sz w:val="12"/>
                <w:szCs w:val="12"/>
                <w:color w:val="auto"/>
              </w:rPr>
            </w:pPr>
          </w:p>
        </w:tc>
        <w:tc>
          <w:tcPr>
            <w:tcW w:w="5420" w:type="dxa"/>
            <w:vAlign w:val="bottom"/>
            <w:gridSpan w:val="20"/>
          </w:tcPr>
          <w:p>
            <w:pPr>
              <w:spacing w:after="0" w:line="139" w:lineRule="exact"/>
              <w:rPr>
                <w:rFonts w:ascii="Arial" w:cs="Arial" w:eastAsia="Arial" w:hAnsi="Arial"/>
                <w:sz w:val="14"/>
                <w:szCs w:val="14"/>
                <w:color w:val="0000FF"/>
              </w:rPr>
            </w:pPr>
            <w:hyperlink r:id="rId222">
              <w:r>
                <w:rPr>
                  <w:rFonts w:ascii="Arial" w:cs="Arial" w:eastAsia="Arial" w:hAnsi="Arial"/>
                  <w:sz w:val="14"/>
                  <w:szCs w:val="14"/>
                  <w:color w:val="0000FF"/>
                </w:rPr>
                <w:t>2026, by and among the Company, CHS (US) Management LLC, as the administrative</w:t>
              </w:r>
            </w:hyperlink>
          </w:p>
        </w:tc>
      </w:tr>
      <w:tr>
        <w:trPr>
          <w:trHeight w:val="139"/>
        </w:trPr>
        <w:tc>
          <w:tcPr>
            <w:tcW w:w="84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9"/>
          </w:tcPr>
          <w:p>
            <w:pPr>
              <w:spacing w:after="0" w:line="139" w:lineRule="exact"/>
              <w:rPr>
                <w:rFonts w:ascii="Arial" w:cs="Arial" w:eastAsia="Arial" w:hAnsi="Arial"/>
                <w:sz w:val="14"/>
                <w:szCs w:val="14"/>
                <w:color w:val="0000FF"/>
              </w:rPr>
            </w:pPr>
            <w:hyperlink r:id="rId222">
              <w:r>
                <w:rPr>
                  <w:rFonts w:ascii="Arial" w:cs="Arial" w:eastAsia="Arial" w:hAnsi="Arial"/>
                  <w:sz w:val="14"/>
                  <w:szCs w:val="14"/>
                  <w:color w:val="0000FF"/>
                </w:rPr>
                <w:t>agent, and the lenders party thereto</w:t>
              </w:r>
            </w:hyperlink>
          </w:p>
        </w:tc>
        <w:tc>
          <w:tcPr>
            <w:tcW w:w="31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10.32+</w:t>
            </w:r>
          </w:p>
        </w:tc>
        <w:tc>
          <w:tcPr>
            <w:tcW w:w="5420" w:type="dxa"/>
            <w:vAlign w:val="bottom"/>
            <w:gridSpan w:val="20"/>
          </w:tcPr>
          <w:p>
            <w:pPr>
              <w:spacing w:after="0"/>
              <w:rPr>
                <w:sz w:val="20"/>
                <w:szCs w:val="20"/>
                <w:color w:val="auto"/>
              </w:rPr>
            </w:pPr>
            <w:r>
              <w:rPr>
                <w:rFonts w:ascii="Arial" w:cs="Arial" w:eastAsia="Arial" w:hAnsi="Arial"/>
                <w:sz w:val="14"/>
                <w:szCs w:val="14"/>
                <w:color w:val="0000FF"/>
              </w:rPr>
              <w:t>Consulting Services Agreement, between the Company and Teri Bariquit, dated</w:t>
            </w:r>
          </w:p>
        </w:tc>
      </w:tr>
      <w:tr>
        <w:trPr>
          <w:trHeight w:val="139"/>
        </w:trPr>
        <w:tc>
          <w:tcPr>
            <w:tcW w:w="84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4"/>
                <w:szCs w:val="14"/>
                <w:color w:val="0000FF"/>
              </w:rPr>
              <w:t>November 1, 2025</w:t>
            </w:r>
          </w:p>
        </w:tc>
        <w:tc>
          <w:tcPr>
            <w:tcW w:w="3780" w:type="dxa"/>
            <w:vAlign w:val="bottom"/>
            <w:tcBorders>
              <w:top w:val="single" w:sz="8" w:color="0000FF"/>
            </w:tcBorders>
            <w:gridSpan w:val="9"/>
          </w:tcPr>
          <w:p>
            <w:pPr>
              <w:spacing w:after="0"/>
              <w:rPr>
                <w:sz w:val="12"/>
                <w:szCs w:val="12"/>
                <w:color w:val="auto"/>
              </w:rPr>
            </w:pPr>
          </w:p>
        </w:tc>
        <w:tc>
          <w:tcPr>
            <w:tcW w:w="30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10.33+</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Performance Stock Unit Award (Second Amended and Restated 2021</w:t>
            </w:r>
          </w:p>
        </w:tc>
      </w:tr>
      <w:tr>
        <w:trPr>
          <w:trHeight w:val="139"/>
        </w:trPr>
        <w:tc>
          <w:tcPr>
            <w:tcW w:w="84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6"/>
          </w:tcPr>
          <w:p>
            <w:pPr>
              <w:spacing w:after="0" w:line="139" w:lineRule="exact"/>
              <w:rPr>
                <w:sz w:val="20"/>
                <w:szCs w:val="20"/>
                <w:color w:val="auto"/>
              </w:rPr>
            </w:pPr>
            <w:r>
              <w:rPr>
                <w:rFonts w:ascii="Arial" w:cs="Arial" w:eastAsia="Arial" w:hAnsi="Arial"/>
                <w:sz w:val="14"/>
                <w:szCs w:val="14"/>
                <w:color w:val="0000FF"/>
              </w:rPr>
              <w:t>Incentive Award Plan) (Hyman)</w:t>
            </w:r>
          </w:p>
        </w:tc>
        <w:tc>
          <w:tcPr>
            <w:tcW w:w="2940" w:type="dxa"/>
            <w:vAlign w:val="bottom"/>
            <w:tcBorders>
              <w:top w:val="single" w:sz="8" w:color="0000FF"/>
            </w:tcBorders>
            <w:gridSpan w:val="5"/>
          </w:tcPr>
          <w:p>
            <w:pPr>
              <w:spacing w:after="0"/>
              <w:rPr>
                <w:sz w:val="12"/>
                <w:szCs w:val="12"/>
                <w:color w:val="auto"/>
              </w:rPr>
            </w:pPr>
          </w:p>
        </w:tc>
        <w:tc>
          <w:tcPr>
            <w:tcW w:w="3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10.34+</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Restricted Stock Unit Award (Second Amended and Restated 2021 Incentive</w:t>
            </w:r>
          </w:p>
        </w:tc>
      </w:tr>
      <w:tr>
        <w:trPr>
          <w:trHeight w:val="139"/>
        </w:trPr>
        <w:tc>
          <w:tcPr>
            <w:tcW w:w="840" w:type="dxa"/>
            <w:vAlign w:val="bottom"/>
          </w:tcPr>
          <w:p>
            <w:pPr>
              <w:spacing w:after="0"/>
              <w:rPr>
                <w:sz w:val="12"/>
                <w:szCs w:val="12"/>
                <w:color w:val="auto"/>
              </w:rPr>
            </w:pPr>
          </w:p>
        </w:tc>
        <w:tc>
          <w:tcPr>
            <w:tcW w:w="534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4"/>
                <w:szCs w:val="14"/>
                <w:color w:val="0000FF"/>
              </w:rPr>
              <w:t>Award Plan) (Hyman)</w:t>
            </w:r>
          </w:p>
        </w:tc>
        <w:tc>
          <w:tcPr>
            <w:tcW w:w="80" w:type="dxa"/>
            <w:vAlign w:val="bottom"/>
            <w:gridSpan w:val="3"/>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10.35+</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Performance Stock Unit Award (Second Amended and Restated 2021</w:t>
            </w:r>
          </w:p>
        </w:tc>
      </w:tr>
      <w:tr>
        <w:trPr>
          <w:trHeight w:val="139"/>
        </w:trPr>
        <w:tc>
          <w:tcPr>
            <w:tcW w:w="840" w:type="dxa"/>
            <w:vAlign w:val="bottom"/>
          </w:tcPr>
          <w:p>
            <w:pPr>
              <w:spacing w:after="0"/>
              <w:rPr>
                <w:sz w:val="12"/>
                <w:szCs w:val="12"/>
                <w:color w:val="auto"/>
              </w:rPr>
            </w:pPr>
          </w:p>
        </w:tc>
        <w:tc>
          <w:tcPr>
            <w:tcW w:w="2120" w:type="dxa"/>
            <w:vAlign w:val="bottom"/>
            <w:tcBorders>
              <w:top w:val="single" w:sz="8" w:color="0000FF"/>
              <w:bottom w:val="single" w:sz="8" w:color="0000FF"/>
            </w:tcBorders>
            <w:gridSpan w:val="8"/>
          </w:tcPr>
          <w:p>
            <w:pPr>
              <w:spacing w:after="0" w:line="139" w:lineRule="exact"/>
              <w:rPr>
                <w:sz w:val="20"/>
                <w:szCs w:val="20"/>
                <w:color w:val="auto"/>
              </w:rPr>
            </w:pPr>
            <w:r>
              <w:rPr>
                <w:rFonts w:ascii="Arial" w:cs="Arial" w:eastAsia="Arial" w:hAnsi="Arial"/>
                <w:sz w:val="14"/>
                <w:szCs w:val="14"/>
                <w:color w:val="0000FF"/>
                <w:w w:val="99"/>
              </w:rPr>
              <w:t>Incentive Award Plan) (Executive)</w:t>
            </w:r>
          </w:p>
        </w:tc>
        <w:tc>
          <w:tcPr>
            <w:tcW w:w="2780" w:type="dxa"/>
            <w:vAlign w:val="bottom"/>
            <w:tcBorders>
              <w:top w:val="single" w:sz="8" w:color="0000FF"/>
            </w:tcBorders>
            <w:gridSpan w:val="3"/>
          </w:tcPr>
          <w:p>
            <w:pPr>
              <w:spacing w:after="0"/>
              <w:rPr>
                <w:sz w:val="12"/>
                <w:szCs w:val="12"/>
                <w:color w:val="auto"/>
              </w:rPr>
            </w:pPr>
          </w:p>
        </w:tc>
        <w:tc>
          <w:tcPr>
            <w:tcW w:w="360" w:type="dxa"/>
            <w:vAlign w:val="bottom"/>
            <w:gridSpan w:val="5"/>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10.36+</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Restricted Stock Unit Award (Second Amended and Restated 2021 Incentive</w:t>
            </w:r>
          </w:p>
        </w:tc>
      </w:tr>
      <w:tr>
        <w:trPr>
          <w:trHeight w:val="139"/>
        </w:trPr>
        <w:tc>
          <w:tcPr>
            <w:tcW w:w="84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5"/>
          </w:tcPr>
          <w:p>
            <w:pPr>
              <w:spacing w:after="0" w:line="139" w:lineRule="exact"/>
              <w:rPr>
                <w:sz w:val="20"/>
                <w:szCs w:val="20"/>
                <w:color w:val="auto"/>
              </w:rPr>
            </w:pPr>
            <w:r>
              <w:rPr>
                <w:rFonts w:ascii="Arial" w:cs="Arial" w:eastAsia="Arial" w:hAnsi="Arial"/>
                <w:sz w:val="14"/>
                <w:szCs w:val="14"/>
                <w:color w:val="0000FF"/>
                <w:w w:val="99"/>
              </w:rPr>
              <w:t>Award Plan) (Executive)</w:t>
            </w:r>
          </w:p>
        </w:tc>
        <w:tc>
          <w:tcPr>
            <w:tcW w:w="3820" w:type="dxa"/>
            <w:vAlign w:val="bottom"/>
            <w:tcBorders>
              <w:top w:val="single" w:sz="8" w:color="0000FF"/>
            </w:tcBorders>
            <w:gridSpan w:val="12"/>
          </w:tcPr>
          <w:p>
            <w:pPr>
              <w:spacing w:after="0"/>
              <w:rPr>
                <w:sz w:val="12"/>
                <w:szCs w:val="12"/>
                <w:color w:val="auto"/>
              </w:rPr>
            </w:pPr>
          </w:p>
        </w:tc>
        <w:tc>
          <w:tcPr>
            <w:tcW w:w="80" w:type="dxa"/>
            <w:vAlign w:val="bottom"/>
            <w:gridSpan w:val="3"/>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10.37+</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Restricted Stock Unit Award (Second Amended and Restated 2021 Incentive</w:t>
            </w:r>
          </w:p>
        </w:tc>
      </w:tr>
      <w:tr>
        <w:trPr>
          <w:trHeight w:val="139"/>
        </w:trPr>
        <w:tc>
          <w:tcPr>
            <w:tcW w:w="840" w:type="dxa"/>
            <w:vAlign w:val="bottom"/>
          </w:tcPr>
          <w:p>
            <w:pPr>
              <w:spacing w:after="0"/>
              <w:rPr>
                <w:sz w:val="12"/>
                <w:szCs w:val="12"/>
                <w:color w:val="auto"/>
              </w:rPr>
            </w:pPr>
          </w:p>
        </w:tc>
        <w:tc>
          <w:tcPr>
            <w:tcW w:w="534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4"/>
                <w:szCs w:val="14"/>
                <w:color w:val="0000FF"/>
              </w:rPr>
              <w:t>Award Plan) (Non-Employee Director)</w:t>
            </w:r>
          </w:p>
        </w:tc>
        <w:tc>
          <w:tcPr>
            <w:tcW w:w="80" w:type="dxa"/>
            <w:vAlign w:val="bottom"/>
            <w:gridSpan w:val="3"/>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10.38+</w:t>
            </w:r>
          </w:p>
        </w:tc>
        <w:tc>
          <w:tcPr>
            <w:tcW w:w="5420" w:type="dxa"/>
            <w:vAlign w:val="bottom"/>
            <w:gridSpan w:val="20"/>
          </w:tcPr>
          <w:p>
            <w:pPr>
              <w:spacing w:after="0"/>
              <w:rPr>
                <w:sz w:val="20"/>
                <w:szCs w:val="20"/>
                <w:color w:val="auto"/>
              </w:rPr>
            </w:pPr>
            <w:r>
              <w:rPr>
                <w:rFonts w:ascii="Arial" w:cs="Arial" w:eastAsia="Arial" w:hAnsi="Arial"/>
                <w:sz w:val="14"/>
                <w:szCs w:val="14"/>
                <w:color w:val="0000FF"/>
              </w:rPr>
              <w:t>Employment Agreement between Rent the Runway, Inc. and Dhiren Fonseca, dated</w:t>
            </w:r>
          </w:p>
        </w:tc>
      </w:tr>
      <w:tr>
        <w:trPr>
          <w:trHeight w:val="139"/>
        </w:trPr>
        <w:tc>
          <w:tcPr>
            <w:tcW w:w="84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4"/>
                <w:szCs w:val="14"/>
                <w:color w:val="0000FF"/>
                <w:w w:val="99"/>
              </w:rPr>
              <w:t>February 24, 2026</w:t>
            </w:r>
          </w:p>
        </w:tc>
        <w:tc>
          <w:tcPr>
            <w:tcW w:w="4100" w:type="dxa"/>
            <w:vAlign w:val="bottom"/>
            <w:tcBorders>
              <w:top w:val="single" w:sz="8" w:color="0000FF"/>
            </w:tcBorders>
            <w:gridSpan w:val="14"/>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10.39+</w:t>
            </w:r>
          </w:p>
        </w:tc>
        <w:tc>
          <w:tcPr>
            <w:tcW w:w="5420" w:type="dxa"/>
            <w:vAlign w:val="bottom"/>
            <w:gridSpan w:val="20"/>
          </w:tcPr>
          <w:p>
            <w:pPr>
              <w:spacing w:after="0"/>
              <w:rPr>
                <w:sz w:val="20"/>
                <w:szCs w:val="20"/>
                <w:color w:val="auto"/>
              </w:rPr>
            </w:pPr>
            <w:r>
              <w:rPr>
                <w:rFonts w:ascii="Arial" w:cs="Arial" w:eastAsia="Arial" w:hAnsi="Arial"/>
                <w:sz w:val="14"/>
                <w:szCs w:val="14"/>
                <w:color w:val="0000FF"/>
              </w:rPr>
              <w:t>Form of Performance Stock Unit Award (Second Amended and Restated 2021</w:t>
            </w:r>
          </w:p>
        </w:tc>
      </w:tr>
      <w:tr>
        <w:trPr>
          <w:trHeight w:val="139"/>
        </w:trPr>
        <w:tc>
          <w:tcPr>
            <w:tcW w:w="840" w:type="dxa"/>
            <w:vAlign w:val="bottom"/>
          </w:tcPr>
          <w:p>
            <w:pPr>
              <w:spacing w:after="0"/>
              <w:rPr>
                <w:sz w:val="12"/>
                <w:szCs w:val="12"/>
                <w:color w:val="auto"/>
              </w:rPr>
            </w:pPr>
          </w:p>
        </w:tc>
        <w:tc>
          <w:tcPr>
            <w:tcW w:w="490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4"/>
                <w:szCs w:val="14"/>
                <w:color w:val="0000FF"/>
              </w:rPr>
              <w:t>Incentive Award Plan) (Fonseca)</w:t>
            </w:r>
          </w:p>
        </w:tc>
        <w:tc>
          <w:tcPr>
            <w:tcW w:w="520" w:type="dxa"/>
            <w:vAlign w:val="bottom"/>
            <w:gridSpan w:val="9"/>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color w:val="auto"/>
              </w:rPr>
              <w:t>10-Q</w:t>
            </w:r>
          </w:p>
        </w:tc>
        <w:tc>
          <w:tcPr>
            <w:tcW w:w="136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10.7</w:t>
            </w:r>
          </w:p>
        </w:tc>
        <w:tc>
          <w:tcPr>
            <w:tcW w:w="860" w:type="dxa"/>
            <w:vAlign w:val="bottom"/>
          </w:tcPr>
          <w:p>
            <w:pPr>
              <w:jc w:val="right"/>
              <w:spacing w:after="0"/>
              <w:rPr>
                <w:sz w:val="20"/>
                <w:szCs w:val="20"/>
                <w:color w:val="auto"/>
              </w:rPr>
            </w:pPr>
            <w:r>
              <w:rPr>
                <w:rFonts w:ascii="Arial" w:cs="Arial" w:eastAsia="Arial" w:hAnsi="Arial"/>
                <w:sz w:val="14"/>
                <w:szCs w:val="14"/>
                <w:color w:val="auto"/>
              </w:rPr>
              <w:t>12/12/2025</w:t>
            </w:r>
          </w:p>
        </w:tc>
      </w:tr>
      <w:tr>
        <w:trPr>
          <w:trHeight w:val="196"/>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6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w:t>
            </w:r>
          </w:p>
        </w:tc>
        <w:tc>
          <w:tcPr>
            <w:tcW w:w="860" w:type="dxa"/>
            <w:vAlign w:val="bottom"/>
          </w:tcPr>
          <w:p>
            <w:pPr>
              <w:jc w:val="right"/>
              <w:spacing w:after="0"/>
              <w:rPr>
                <w:sz w:val="20"/>
                <w:szCs w:val="20"/>
                <w:color w:val="auto"/>
              </w:rPr>
            </w:pPr>
            <w:r>
              <w:rPr>
                <w:rFonts w:ascii="Arial" w:cs="Arial" w:eastAsia="Arial" w:hAnsi="Arial"/>
                <w:sz w:val="14"/>
                <w:szCs w:val="14"/>
                <w:color w:val="auto"/>
              </w:rPr>
              <w:t>10/28/2025</w:t>
            </w:r>
          </w:p>
        </w:tc>
      </w:tr>
      <w:tr>
        <w:trPr>
          <w:trHeight w:val="679"/>
        </w:trPr>
        <w:tc>
          <w:tcPr>
            <w:tcW w:w="520" w:type="dxa"/>
            <w:vAlign w:val="bottom"/>
          </w:tcPr>
          <w:p>
            <w:pPr>
              <w:spacing w:after="0"/>
              <w:rPr>
                <w:sz w:val="20"/>
                <w:szCs w:val="20"/>
                <w:color w:val="auto"/>
              </w:rPr>
            </w:pPr>
            <w:r>
              <w:rPr>
                <w:rFonts w:ascii="Arial" w:cs="Arial" w:eastAsia="Arial" w:hAnsi="Arial"/>
                <w:sz w:val="14"/>
                <w:szCs w:val="14"/>
                <w:color w:val="auto"/>
              </w:rPr>
              <w:t>8-K</w:t>
            </w:r>
          </w:p>
        </w:tc>
        <w:tc>
          <w:tcPr>
            <w:tcW w:w="136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w:t>
            </w:r>
          </w:p>
        </w:tc>
        <w:tc>
          <w:tcPr>
            <w:tcW w:w="860" w:type="dxa"/>
            <w:vAlign w:val="bottom"/>
          </w:tcPr>
          <w:p>
            <w:pPr>
              <w:jc w:val="right"/>
              <w:spacing w:after="0"/>
              <w:rPr>
                <w:sz w:val="20"/>
                <w:szCs w:val="20"/>
                <w:color w:val="auto"/>
              </w:rPr>
            </w:pPr>
            <w:r>
              <w:rPr>
                <w:rFonts w:ascii="Arial" w:cs="Arial" w:eastAsia="Arial" w:hAnsi="Arial"/>
                <w:sz w:val="14"/>
                <w:szCs w:val="14"/>
                <w:color w:val="auto"/>
              </w:rPr>
              <w:t>2/3/2026</w:t>
            </w:r>
          </w:p>
        </w:tc>
      </w:tr>
    </w:tbl>
    <w:p>
      <w:pPr>
        <w:spacing w:after="0" w:line="334"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w:t>
      </w:r>
    </w:p>
    <w:p>
      <w:pPr>
        <w:spacing w:after="0" w:line="171" w:lineRule="exact"/>
        <w:rPr>
          <w:sz w:val="20"/>
          <w:szCs w:val="20"/>
          <w:color w:val="auto"/>
        </w:rPr>
      </w:pPr>
    </w:p>
    <w:p>
      <w:pPr>
        <w:sectPr>
          <w:pgSz w:w="11900" w:h="16838" w:orient="portrait"/>
          <w:cols w:equalWidth="0" w:num="2">
            <w:col w:w="6260" w:space="100"/>
            <w:col w:w="4920"/>
          </w:cols>
          <w:pgMar w:left="300" w:top="785"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860" w:type="dxa"/>
            <w:vAlign w:val="bottom"/>
          </w:tcPr>
          <w:p>
            <w:pPr>
              <w:jc w:val="right"/>
              <w:ind w:right="329"/>
              <w:spacing w:after="0"/>
              <w:rPr>
                <w:sz w:val="20"/>
                <w:szCs w:val="20"/>
                <w:color w:val="auto"/>
              </w:rPr>
            </w:pPr>
            <w:r>
              <w:rPr>
                <w:rFonts w:ascii="Arial" w:cs="Arial" w:eastAsia="Arial" w:hAnsi="Arial"/>
                <w:sz w:val="14"/>
                <w:szCs w:val="14"/>
                <w:color w:val="auto"/>
              </w:rPr>
              <w:t>10.40+</w:t>
            </w:r>
          </w:p>
        </w:tc>
        <w:tc>
          <w:tcPr>
            <w:tcW w:w="2860" w:type="dxa"/>
            <w:vAlign w:val="bottom"/>
            <w:tcBorders>
              <w:bottom w:val="single" w:sz="8" w:color="0000FF"/>
            </w:tcBorders>
            <w:gridSpan w:val="2"/>
          </w:tcPr>
          <w:p>
            <w:pPr>
              <w:spacing w:after="0"/>
              <w:rPr>
                <w:rFonts w:ascii="Arial" w:cs="Arial" w:eastAsia="Arial" w:hAnsi="Arial"/>
                <w:sz w:val="14"/>
                <w:szCs w:val="14"/>
                <w:color w:val="0000FF"/>
              </w:rPr>
            </w:pPr>
            <w:hyperlink r:id="rId250">
              <w:r>
                <w:rPr>
                  <w:rFonts w:ascii="Arial" w:cs="Arial" w:eastAsia="Arial" w:hAnsi="Arial"/>
                  <w:sz w:val="14"/>
                  <w:szCs w:val="14"/>
                  <w:color w:val="0000FF"/>
                </w:rPr>
                <w:t>Form of Restricted Stock Inducement Award (</w:t>
              </w:r>
            </w:hyperlink>
          </w:p>
        </w:tc>
        <w:tc>
          <w:tcPr>
            <w:tcW w:w="580" w:type="dxa"/>
            <w:vAlign w:val="bottom"/>
            <w:tcBorders>
              <w:bottom w:val="single" w:sz="8" w:color="0000FF"/>
            </w:tcBorders>
            <w:gridSpan w:val="2"/>
          </w:tcPr>
          <w:p>
            <w:pPr>
              <w:spacing w:after="0"/>
              <w:rPr>
                <w:rFonts w:ascii="Arial" w:cs="Arial" w:eastAsia="Arial" w:hAnsi="Arial"/>
                <w:sz w:val="14"/>
                <w:szCs w:val="14"/>
                <w:color w:val="0000FF"/>
                <w:w w:val="95"/>
              </w:rPr>
            </w:pPr>
            <w:hyperlink r:id="rId250">
              <w:r>
                <w:rPr>
                  <w:rFonts w:ascii="Arial" w:cs="Arial" w:eastAsia="Arial" w:hAnsi="Arial"/>
                  <w:sz w:val="14"/>
                  <w:szCs w:val="14"/>
                  <w:color w:val="0000FF"/>
                  <w:w w:val="95"/>
                </w:rPr>
                <w:t>Fonseca)</w:t>
              </w:r>
            </w:hyperlink>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S-8</w:t>
            </w:r>
          </w:p>
        </w:tc>
        <w:tc>
          <w:tcPr>
            <w:tcW w:w="1400" w:type="dxa"/>
            <w:vAlign w:val="bottom"/>
          </w:tcPr>
          <w:p>
            <w:pPr>
              <w:jc w:val="right"/>
              <w:ind w:right="409"/>
              <w:spacing w:after="0"/>
              <w:rPr>
                <w:sz w:val="20"/>
                <w:szCs w:val="20"/>
                <w:color w:val="auto"/>
              </w:rPr>
            </w:pPr>
            <w:r>
              <w:rPr>
                <w:rFonts w:ascii="Arial" w:cs="Arial" w:eastAsia="Arial" w:hAnsi="Arial"/>
                <w:sz w:val="14"/>
                <w:szCs w:val="14"/>
                <w:color w:val="auto"/>
              </w:rPr>
              <w:t>33-291155</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99.1</w:t>
            </w:r>
          </w:p>
        </w:tc>
        <w:tc>
          <w:tcPr>
            <w:tcW w:w="2080" w:type="dxa"/>
            <w:vAlign w:val="bottom"/>
          </w:tcPr>
          <w:p>
            <w:pPr>
              <w:jc w:val="right"/>
              <w:ind w:right="1189"/>
              <w:spacing w:after="0"/>
              <w:rPr>
                <w:sz w:val="20"/>
                <w:szCs w:val="20"/>
                <w:color w:val="auto"/>
              </w:rPr>
            </w:pPr>
            <w:r>
              <w:rPr>
                <w:rFonts w:ascii="Arial" w:cs="Arial" w:eastAsia="Arial" w:hAnsi="Arial"/>
                <w:sz w:val="14"/>
                <w:szCs w:val="14"/>
                <w:color w:val="auto"/>
              </w:rPr>
              <w:t>2/27/2026</w:t>
            </w:r>
          </w:p>
        </w:tc>
      </w:tr>
      <w:tr>
        <w:trPr>
          <w:trHeight w:val="182"/>
        </w:trPr>
        <w:tc>
          <w:tcPr>
            <w:tcW w:w="860" w:type="dxa"/>
            <w:vAlign w:val="bottom"/>
          </w:tcPr>
          <w:p>
            <w:pPr>
              <w:jc w:val="right"/>
              <w:ind w:right="329"/>
              <w:spacing w:after="0"/>
              <w:rPr>
                <w:sz w:val="20"/>
                <w:szCs w:val="20"/>
                <w:color w:val="auto"/>
              </w:rPr>
            </w:pPr>
            <w:r>
              <w:rPr>
                <w:rFonts w:ascii="Arial" w:cs="Arial" w:eastAsia="Arial" w:hAnsi="Arial"/>
                <w:sz w:val="14"/>
                <w:szCs w:val="14"/>
                <w:color w:val="auto"/>
              </w:rPr>
              <w:t>10.41+</w:t>
            </w:r>
          </w:p>
        </w:tc>
        <w:tc>
          <w:tcPr>
            <w:tcW w:w="5420" w:type="dxa"/>
            <w:vAlign w:val="bottom"/>
            <w:gridSpan w:val="7"/>
          </w:tcPr>
          <w:p>
            <w:pPr>
              <w:spacing w:after="0"/>
              <w:rPr>
                <w:sz w:val="20"/>
                <w:szCs w:val="20"/>
                <w:color w:val="auto"/>
              </w:rPr>
            </w:pPr>
            <w:r>
              <w:rPr>
                <w:rFonts w:ascii="Arial" w:cs="Arial" w:eastAsia="Arial" w:hAnsi="Arial"/>
                <w:sz w:val="14"/>
                <w:szCs w:val="14"/>
                <w:color w:val="0000FF"/>
              </w:rPr>
              <w:t>Form of Performance Stock Unit Award Amendment (Second Amended and Restated</w:t>
            </w: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80" w:type="dxa"/>
            <w:vAlign w:val="bottom"/>
          </w:tcPr>
          <w:p>
            <w:pPr>
              <w:jc w:val="right"/>
              <w:ind w:right="489"/>
              <w:spacing w:after="0"/>
              <w:rPr>
                <w:sz w:val="20"/>
                <w:szCs w:val="20"/>
                <w:color w:val="auto"/>
              </w:rPr>
            </w:pPr>
            <w:r>
              <w:rPr>
                <w:rFonts w:ascii="Arial" w:cs="Arial" w:eastAsia="Arial" w:hAnsi="Arial"/>
                <w:sz w:val="14"/>
                <w:szCs w:val="14"/>
                <w:color w:val="auto"/>
              </w:rPr>
              <w:t>*</w:t>
            </w:r>
          </w:p>
        </w:tc>
      </w:tr>
      <w:tr>
        <w:trPr>
          <w:trHeight w:val="139"/>
        </w:trPr>
        <w:tc>
          <w:tcPr>
            <w:tcW w:w="860" w:type="dxa"/>
            <w:vAlign w:val="bottom"/>
          </w:tcPr>
          <w:p>
            <w:pPr>
              <w:spacing w:after="0"/>
              <w:rPr>
                <w:sz w:val="12"/>
                <w:szCs w:val="12"/>
                <w:color w:val="auto"/>
              </w:rPr>
            </w:pPr>
          </w:p>
        </w:tc>
        <w:tc>
          <w:tcPr>
            <w:tcW w:w="5340" w:type="dxa"/>
            <w:vAlign w:val="bottom"/>
            <w:tcBorders>
              <w:top w:val="single" w:sz="8" w:color="0000FF"/>
            </w:tcBorders>
            <w:gridSpan w:val="6"/>
          </w:tcPr>
          <w:p>
            <w:pPr>
              <w:spacing w:after="0" w:line="139" w:lineRule="exact"/>
              <w:rPr>
                <w:sz w:val="20"/>
                <w:szCs w:val="20"/>
                <w:color w:val="auto"/>
              </w:rPr>
            </w:pPr>
            <w:r>
              <w:rPr>
                <w:rFonts w:ascii="Arial" w:cs="Arial" w:eastAsia="Arial" w:hAnsi="Arial"/>
                <w:sz w:val="14"/>
                <w:szCs w:val="14"/>
                <w:color w:val="0000FF"/>
              </w:rPr>
              <w:t>2021 Incentive Award Plan (Executive)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82"/>
        </w:trPr>
        <w:tc>
          <w:tcPr>
            <w:tcW w:w="860" w:type="dxa"/>
            <w:vAlign w:val="bottom"/>
          </w:tcPr>
          <w:p>
            <w:pPr>
              <w:jc w:val="right"/>
              <w:ind w:right="329"/>
              <w:spacing w:after="0"/>
              <w:rPr>
                <w:sz w:val="20"/>
                <w:szCs w:val="20"/>
                <w:color w:val="auto"/>
              </w:rPr>
            </w:pPr>
            <w:r>
              <w:rPr>
                <w:rFonts w:ascii="Arial" w:cs="Arial" w:eastAsia="Arial" w:hAnsi="Arial"/>
                <w:sz w:val="14"/>
                <w:szCs w:val="14"/>
                <w:color w:val="auto"/>
              </w:rPr>
              <w:t>10.42+</w:t>
            </w:r>
          </w:p>
        </w:tc>
        <w:tc>
          <w:tcPr>
            <w:tcW w:w="5420" w:type="dxa"/>
            <w:vAlign w:val="bottom"/>
            <w:gridSpan w:val="7"/>
          </w:tcPr>
          <w:p>
            <w:pPr>
              <w:spacing w:after="0"/>
              <w:rPr>
                <w:sz w:val="20"/>
                <w:szCs w:val="20"/>
                <w:color w:val="auto"/>
              </w:rPr>
            </w:pPr>
            <w:r>
              <w:rPr>
                <w:rFonts w:ascii="Arial" w:cs="Arial" w:eastAsia="Arial" w:hAnsi="Arial"/>
                <w:sz w:val="14"/>
                <w:szCs w:val="14"/>
                <w:color w:val="0000FF"/>
              </w:rPr>
              <w:t>Thacker One-Time Bonus Letter, dated March 20, 2026</w:t>
            </w: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80" w:type="dxa"/>
            <w:vAlign w:val="bottom"/>
          </w:tcPr>
          <w:p>
            <w:pPr>
              <w:jc w:val="right"/>
              <w:ind w:right="489"/>
              <w:spacing w:after="0"/>
              <w:rPr>
                <w:sz w:val="20"/>
                <w:szCs w:val="20"/>
                <w:color w:val="auto"/>
              </w:rPr>
            </w:pPr>
            <w:r>
              <w:rPr>
                <w:rFonts w:ascii="Arial" w:cs="Arial" w:eastAsia="Arial" w:hAnsi="Arial"/>
                <w:sz w:val="14"/>
                <w:szCs w:val="14"/>
                <w:color w:val="auto"/>
              </w:rPr>
              <w:t>*</w:t>
            </w:r>
          </w:p>
        </w:tc>
      </w:tr>
      <w:tr>
        <w:trPr>
          <w:trHeight w:val="182"/>
        </w:trPr>
        <w:tc>
          <w:tcPr>
            <w:tcW w:w="860" w:type="dxa"/>
            <w:vAlign w:val="bottom"/>
          </w:tcPr>
          <w:p>
            <w:pPr>
              <w:jc w:val="right"/>
              <w:ind w:right="329"/>
              <w:spacing w:after="0"/>
              <w:rPr>
                <w:sz w:val="20"/>
                <w:szCs w:val="20"/>
                <w:color w:val="auto"/>
              </w:rPr>
            </w:pPr>
            <w:r>
              <w:rPr>
                <w:rFonts w:ascii="Arial" w:cs="Arial" w:eastAsia="Arial" w:hAnsi="Arial"/>
                <w:sz w:val="14"/>
                <w:szCs w:val="14"/>
                <w:color w:val="auto"/>
              </w:rPr>
              <w:t>10.43+</w:t>
            </w:r>
          </w:p>
        </w:tc>
        <w:tc>
          <w:tcPr>
            <w:tcW w:w="32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rPr>
              <w:t>Tam One-Time Bonus Letter, dated March 23, 2026</w:t>
            </w:r>
          </w:p>
        </w:tc>
        <w:tc>
          <w:tcPr>
            <w:tcW w:w="220" w:type="dxa"/>
            <w:vAlign w:val="bottom"/>
            <w:tcBorders>
              <w:top w:val="single" w:sz="8" w:color="0000FF"/>
            </w:tcBorders>
            <w:gridSpan w:val="2"/>
          </w:tcPr>
          <w:p>
            <w:pPr>
              <w:spacing w:after="0"/>
              <w:rPr>
                <w:sz w:val="15"/>
                <w:szCs w:val="15"/>
                <w:color w:val="auto"/>
              </w:rPr>
            </w:pPr>
          </w:p>
        </w:tc>
        <w:tc>
          <w:tcPr>
            <w:tcW w:w="19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80" w:type="dxa"/>
            <w:vAlign w:val="bottom"/>
          </w:tcPr>
          <w:p>
            <w:pPr>
              <w:jc w:val="right"/>
              <w:ind w:right="489"/>
              <w:spacing w:after="0"/>
              <w:rPr>
                <w:sz w:val="20"/>
                <w:szCs w:val="20"/>
                <w:color w:val="auto"/>
              </w:rPr>
            </w:pPr>
            <w:r>
              <w:rPr>
                <w:rFonts w:ascii="Arial" w:cs="Arial" w:eastAsia="Arial" w:hAnsi="Arial"/>
                <w:sz w:val="14"/>
                <w:szCs w:val="14"/>
                <w:color w:val="auto"/>
              </w:rPr>
              <w:t>*</w:t>
            </w:r>
          </w:p>
        </w:tc>
      </w:tr>
      <w:tr>
        <w:trPr>
          <w:trHeight w:val="745"/>
        </w:trPr>
        <w:tc>
          <w:tcPr>
            <w:tcW w:w="860" w:type="dxa"/>
            <w:vAlign w:val="bottom"/>
          </w:tcPr>
          <w:p>
            <w:pPr>
              <w:spacing w:after="0"/>
              <w:rPr>
                <w:sz w:val="24"/>
                <w:szCs w:val="24"/>
                <w:color w:val="auto"/>
              </w:rPr>
            </w:pPr>
          </w:p>
        </w:tc>
        <w:tc>
          <w:tcPr>
            <w:tcW w:w="5340" w:type="dxa"/>
            <w:vAlign w:val="bottom"/>
            <w:gridSpan w:val="6"/>
          </w:tcPr>
          <w:p>
            <w:pPr>
              <w:ind w:left="4660"/>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85"/>
        </w:trPr>
        <w:tc>
          <w:tcPr>
            <w:tcW w:w="86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type w:val="continuous"/>
        </w:sectPr>
      </w:pPr>
    </w:p>
    <w:bookmarkStart w:id="147" w:name="page148"/>
    <w:bookmarkEnd w:id="147"/>
    <w:tbl>
      <w:tblPr>
        <w:tblLayout w:type="fixed"/>
        <w:tblInd w:w="2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10.44</w:t>
            </w:r>
          </w:p>
        </w:tc>
        <w:tc>
          <w:tcPr>
            <w:tcW w:w="5020" w:type="dxa"/>
            <w:vAlign w:val="bottom"/>
            <w:tcBorders>
              <w:bottom w:val="single" w:sz="8" w:color="0000FF"/>
            </w:tcBorders>
            <w:gridSpan w:val="10"/>
          </w:tcPr>
          <w:p>
            <w:pPr>
              <w:spacing w:after="0"/>
              <w:rPr>
                <w:rFonts w:ascii="Arial" w:cs="Arial" w:eastAsia="Arial" w:hAnsi="Arial"/>
                <w:sz w:val="14"/>
                <w:szCs w:val="14"/>
                <w:color w:val="0000FF"/>
              </w:rPr>
            </w:pPr>
            <w:hyperlink r:id="rId253">
              <w:r>
                <w:rPr>
                  <w:rFonts w:ascii="Arial" w:cs="Arial" w:eastAsia="Arial" w:hAnsi="Arial"/>
                  <w:sz w:val="14"/>
                  <w:szCs w:val="14"/>
                  <w:color w:val="0000FF"/>
                </w:rPr>
                <w:t>Second Amendment to Amended and Restated Credit Agreement, dated April 1,</w:t>
              </w:r>
            </w:hyperlink>
          </w:p>
        </w:tc>
        <w:tc>
          <w:tcPr>
            <w:tcW w:w="440" w:type="dxa"/>
            <w:vAlign w:val="bottom"/>
            <w:gridSpan w:val="3"/>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8-K</w:t>
            </w:r>
          </w:p>
        </w:tc>
        <w:tc>
          <w:tcPr>
            <w:tcW w:w="138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10.1</w:t>
            </w:r>
          </w:p>
        </w:tc>
        <w:tc>
          <w:tcPr>
            <w:tcW w:w="1540" w:type="dxa"/>
            <w:vAlign w:val="bottom"/>
          </w:tcPr>
          <w:p>
            <w:pPr>
              <w:jc w:val="right"/>
              <w:ind w:right="649"/>
              <w:spacing w:after="0"/>
              <w:rPr>
                <w:sz w:val="20"/>
                <w:szCs w:val="20"/>
                <w:color w:val="auto"/>
              </w:rPr>
            </w:pPr>
            <w:r>
              <w:rPr>
                <w:rFonts w:ascii="Arial" w:cs="Arial" w:eastAsia="Arial" w:hAnsi="Arial"/>
                <w:sz w:val="14"/>
                <w:szCs w:val="14"/>
                <w:color w:val="auto"/>
              </w:rPr>
              <w:t>4/6/2026</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5460" w:type="dxa"/>
            <w:vAlign w:val="bottom"/>
            <w:gridSpan w:val="13"/>
          </w:tcPr>
          <w:p>
            <w:pPr>
              <w:spacing w:after="0" w:line="139" w:lineRule="exact"/>
              <w:rPr>
                <w:rFonts w:ascii="Arial" w:cs="Arial" w:eastAsia="Arial" w:hAnsi="Arial"/>
                <w:sz w:val="14"/>
                <w:szCs w:val="14"/>
                <w:color w:val="0000FF"/>
              </w:rPr>
            </w:pPr>
            <w:hyperlink r:id="rId253">
              <w:r>
                <w:rPr>
                  <w:rFonts w:ascii="Arial" w:cs="Arial" w:eastAsia="Arial" w:hAnsi="Arial"/>
                  <w:sz w:val="14"/>
                  <w:szCs w:val="14"/>
                  <w:color w:val="0000FF"/>
                </w:rPr>
                <w:t>2026, by and among the Company, CHS (US) Management LLC, as the administrative</w:t>
              </w:r>
            </w:hyperlink>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rPr>
            </w:pPr>
            <w:hyperlink r:id="rId253">
              <w:r>
                <w:rPr>
                  <w:rFonts w:ascii="Arial" w:cs="Arial" w:eastAsia="Arial" w:hAnsi="Arial"/>
                  <w:sz w:val="14"/>
                  <w:szCs w:val="14"/>
                  <w:color w:val="0000FF"/>
                </w:rPr>
                <w:t>agent, and the lenders party thereto</w:t>
              </w:r>
            </w:hyperlink>
          </w:p>
        </w:tc>
        <w:tc>
          <w:tcPr>
            <w:tcW w:w="316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19.1</w:t>
            </w:r>
          </w:p>
        </w:tc>
        <w:tc>
          <w:tcPr>
            <w:tcW w:w="1360" w:type="dxa"/>
            <w:vAlign w:val="bottom"/>
            <w:tcBorders>
              <w:bottom w:val="single" w:sz="8" w:color="0000FF"/>
            </w:tcBorders>
            <w:gridSpan w:val="3"/>
          </w:tcPr>
          <w:p>
            <w:pPr>
              <w:spacing w:after="0"/>
              <w:rPr>
                <w:rFonts w:ascii="Arial" w:cs="Arial" w:eastAsia="Arial" w:hAnsi="Arial"/>
                <w:sz w:val="14"/>
                <w:szCs w:val="14"/>
                <w:color w:val="0000FF"/>
                <w:w w:val="99"/>
              </w:rPr>
            </w:pPr>
            <w:hyperlink r:id="rId254">
              <w:r>
                <w:rPr>
                  <w:rFonts w:ascii="Arial" w:cs="Arial" w:eastAsia="Arial" w:hAnsi="Arial"/>
                  <w:sz w:val="14"/>
                  <w:szCs w:val="14"/>
                  <w:color w:val="0000FF"/>
                  <w:w w:val="99"/>
                </w:rPr>
                <w:t>Insider Trading Policy</w:t>
              </w:r>
            </w:hyperlink>
          </w:p>
        </w:tc>
        <w:tc>
          <w:tcPr>
            <w:tcW w:w="4100" w:type="dxa"/>
            <w:vAlign w:val="bottom"/>
            <w:gridSpan w:val="10"/>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10-K</w:t>
            </w:r>
          </w:p>
        </w:tc>
        <w:tc>
          <w:tcPr>
            <w:tcW w:w="1380" w:type="dxa"/>
            <w:vAlign w:val="bottom"/>
          </w:tcPr>
          <w:p>
            <w:pPr>
              <w:jc w:val="right"/>
              <w:ind w:right="409"/>
              <w:spacing w:after="0"/>
              <w:rPr>
                <w:sz w:val="20"/>
                <w:szCs w:val="20"/>
                <w:color w:val="auto"/>
              </w:rPr>
            </w:pPr>
            <w:r>
              <w:rPr>
                <w:rFonts w:ascii="Arial" w:cs="Arial" w:eastAsia="Arial" w:hAnsi="Arial"/>
                <w:sz w:val="14"/>
                <w:szCs w:val="14"/>
                <w:color w:val="auto"/>
              </w:rPr>
              <w:t>001-40958</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19.1</w:t>
            </w:r>
          </w:p>
        </w:tc>
        <w:tc>
          <w:tcPr>
            <w:tcW w:w="1540" w:type="dxa"/>
            <w:vAlign w:val="bottom"/>
          </w:tcPr>
          <w:p>
            <w:pPr>
              <w:jc w:val="right"/>
              <w:ind w:right="649"/>
              <w:spacing w:after="0"/>
              <w:rPr>
                <w:sz w:val="20"/>
                <w:szCs w:val="20"/>
                <w:color w:val="auto"/>
              </w:rPr>
            </w:pPr>
            <w:r>
              <w:rPr>
                <w:rFonts w:ascii="Arial" w:cs="Arial" w:eastAsia="Arial" w:hAnsi="Arial"/>
                <w:sz w:val="14"/>
                <w:szCs w:val="14"/>
                <w:color w:val="auto"/>
              </w:rPr>
              <w:t>4/15/2025</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21.1</w:t>
            </w:r>
          </w:p>
        </w:tc>
        <w:tc>
          <w:tcPr>
            <w:tcW w:w="5460" w:type="dxa"/>
            <w:vAlign w:val="bottom"/>
            <w:gridSpan w:val="13"/>
          </w:tcPr>
          <w:p>
            <w:pPr>
              <w:spacing w:after="0"/>
              <w:rPr>
                <w:sz w:val="20"/>
                <w:szCs w:val="20"/>
                <w:color w:val="auto"/>
              </w:rPr>
            </w:pPr>
            <w:r>
              <w:rPr>
                <w:rFonts w:ascii="Arial" w:cs="Arial" w:eastAsia="Arial" w:hAnsi="Arial"/>
                <w:sz w:val="14"/>
                <w:szCs w:val="14"/>
                <w:color w:val="0000FF"/>
              </w:rPr>
              <w:t>List of subsidiaries</w:t>
            </w:r>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5460" w:type="dxa"/>
            <w:vAlign w:val="bottom"/>
            <w:gridSpan w:val="13"/>
          </w:tcPr>
          <w:p>
            <w:pPr>
              <w:spacing w:after="0"/>
              <w:rPr>
                <w:sz w:val="20"/>
                <w:szCs w:val="20"/>
                <w:color w:val="auto"/>
              </w:rPr>
            </w:pPr>
            <w:r>
              <w:rPr>
                <w:rFonts w:ascii="Arial" w:cs="Arial" w:eastAsia="Arial" w:hAnsi="Arial"/>
                <w:sz w:val="14"/>
                <w:szCs w:val="14"/>
                <w:color w:val="0000FF"/>
              </w:rPr>
              <w:t>Consent of PricewaterhouseCoopers, LLP, Independent Registered Public Accounting</w:t>
            </w:r>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92"/>
              </w:rPr>
              <w:t>Firm</w:t>
            </w:r>
          </w:p>
        </w:tc>
        <w:tc>
          <w:tcPr>
            <w:tcW w:w="5100" w:type="dxa"/>
            <w:vAlign w:val="bottom"/>
            <w:tcBorders>
              <w:top w:val="single" w:sz="8" w:color="0000FF"/>
            </w:tcBorders>
            <w:gridSpan w:val="10"/>
          </w:tcPr>
          <w:p>
            <w:pPr>
              <w:spacing w:after="0"/>
              <w:rPr>
                <w:sz w:val="12"/>
                <w:szCs w:val="12"/>
                <w:color w:val="auto"/>
              </w:rPr>
            </w:pPr>
          </w:p>
        </w:tc>
        <w:tc>
          <w:tcPr>
            <w:tcW w:w="8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31.1</w:t>
            </w:r>
          </w:p>
        </w:tc>
        <w:tc>
          <w:tcPr>
            <w:tcW w:w="476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70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4"/>
                <w:szCs w:val="14"/>
                <w:color w:val="auto"/>
              </w:rPr>
              <w:t>31.2</w:t>
            </w:r>
          </w:p>
        </w:tc>
        <w:tc>
          <w:tcPr>
            <w:tcW w:w="472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740" w:type="dxa"/>
            <w:vAlign w:val="bottom"/>
            <w:gridSpan w:val="5"/>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4"/>
                <w:szCs w:val="14"/>
                <w:color w:val="auto"/>
              </w:rPr>
              <w:t>32.1</w:t>
            </w:r>
          </w:p>
        </w:tc>
        <w:tc>
          <w:tcPr>
            <w:tcW w:w="46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Certification of Chief Executive Officer pursuant to 18 U.S.C. Section 1350</w:t>
            </w:r>
          </w:p>
        </w:tc>
        <w:tc>
          <w:tcPr>
            <w:tcW w:w="820" w:type="dxa"/>
            <w:vAlign w:val="bottom"/>
            <w:gridSpan w:val="6"/>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4"/>
                <w:szCs w:val="14"/>
                <w:color w:val="auto"/>
              </w:rPr>
              <w:t>32.2</w:t>
            </w:r>
          </w:p>
        </w:tc>
        <w:tc>
          <w:tcPr>
            <w:tcW w:w="46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860" w:type="dxa"/>
            <w:vAlign w:val="bottom"/>
            <w:gridSpan w:val="7"/>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4"/>
                <w:szCs w:val="14"/>
                <w:color w:val="auto"/>
              </w:rPr>
              <w:t>97.1</w:t>
            </w:r>
          </w:p>
        </w:tc>
        <w:tc>
          <w:tcPr>
            <w:tcW w:w="5460" w:type="dxa"/>
            <w:vAlign w:val="bottom"/>
            <w:gridSpan w:val="13"/>
          </w:tcPr>
          <w:p>
            <w:pPr>
              <w:spacing w:after="0"/>
              <w:rPr>
                <w:rFonts w:ascii="Arial" w:cs="Arial" w:eastAsia="Arial" w:hAnsi="Arial"/>
                <w:sz w:val="14"/>
                <w:szCs w:val="14"/>
                <w:color w:val="0000FF"/>
              </w:rPr>
            </w:pPr>
            <w:hyperlink r:id="rId255">
              <w:r>
                <w:rPr>
                  <w:rFonts w:ascii="Arial" w:cs="Arial" w:eastAsia="Arial" w:hAnsi="Arial"/>
                  <w:sz w:val="14"/>
                  <w:szCs w:val="14"/>
                  <w:color w:val="0000FF"/>
                </w:rPr>
                <w:t>Policy Relating to Recovery of Erroneously Awarded Compensation</w:t>
              </w:r>
            </w:hyperlink>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0" w:type="dxa"/>
            <w:vAlign w:val="bottom"/>
          </w:tcPr>
          <w:p>
            <w:pPr>
              <w:spacing w:after="0"/>
              <w:rPr>
                <w:sz w:val="20"/>
                <w:szCs w:val="20"/>
                <w:color w:val="auto"/>
              </w:rPr>
            </w:pPr>
            <w:r>
              <w:rPr>
                <w:rFonts w:ascii="Arial" w:cs="Arial" w:eastAsia="Arial" w:hAnsi="Arial"/>
                <w:sz w:val="14"/>
                <w:szCs w:val="14"/>
                <w:color w:val="auto"/>
              </w:rPr>
              <w:t>101.INS</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5460" w:type="dxa"/>
            <w:vAlign w:val="bottom"/>
            <w:gridSpan w:val="13"/>
          </w:tcPr>
          <w:p>
            <w:pPr>
              <w:spacing w:after="0" w:line="159"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546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Document</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5460" w:type="dxa"/>
            <w:vAlign w:val="bottom"/>
            <w:gridSpan w:val="13"/>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4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5460" w:type="dxa"/>
            <w:vAlign w:val="bottom"/>
            <w:gridSpan w:val="13"/>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40" w:type="dxa"/>
            <w:vAlign w:val="bottom"/>
            <w:vMerge w:val="continue"/>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3" w:lineRule="exact"/>
        <w:rPr>
          <w:sz w:val="20"/>
          <w:szCs w:val="20"/>
          <w:color w:val="auto"/>
        </w:rPr>
      </w:pPr>
    </w:p>
    <w:p>
      <w:pPr>
        <w:ind w:firstLine="5"/>
        <w:spacing w:after="0" w:line="253" w:lineRule="auto"/>
        <w:tabs>
          <w:tab w:leader="none" w:pos="118" w:val="left"/>
        </w:tabs>
        <w:numPr>
          <w:ilvl w:val="0"/>
          <w:numId w:val="73"/>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because the omitted information (i) is not material and (ii) is treated as confidential by the Company.</w:t>
      </w:r>
    </w:p>
    <w:p>
      <w:pPr>
        <w:ind w:right="80"/>
        <w:spacing w:after="0" w:line="253" w:lineRule="auto"/>
        <w:rPr>
          <w:rFonts w:ascii="Arial" w:cs="Arial" w:eastAsia="Arial" w:hAnsi="Arial"/>
          <w:sz w:val="14"/>
          <w:szCs w:val="14"/>
          <w:color w:val="auto"/>
        </w:rPr>
      </w:pPr>
      <w:r>
        <w:rPr>
          <w:rFonts w:ascii="Arial" w:cs="Arial" w:eastAsia="Arial" w:hAnsi="Arial"/>
          <w:sz w:val="14"/>
          <w:szCs w:val="14"/>
          <w:color w:val="auto"/>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269" w:lineRule="auto"/>
        <w:rPr>
          <w:rFonts w:ascii="Arial" w:cs="Arial" w:eastAsia="Arial" w:hAnsi="Arial"/>
          <w:sz w:val="14"/>
          <w:szCs w:val="14"/>
          <w:color w:val="auto"/>
        </w:rPr>
      </w:pPr>
      <w:r>
        <w:rPr>
          <w:rFonts w:ascii="Arial" w:cs="Arial" w:eastAsia="Arial" w:hAnsi="Arial"/>
          <w:sz w:val="14"/>
          <w:szCs w:val="14"/>
          <w:color w:val="auto"/>
        </w:rPr>
        <w:t># 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785" w:right="519" w:bottom="1440" w:gutter="0" w:footer="0" w:header="0"/>
        </w:sectPr>
      </w:pPr>
    </w:p>
    <w:bookmarkStart w:id="148" w:name="page149"/>
    <w:bookmarkEnd w:id="148"/>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right="400" w:firstLine="382"/>
        <w:spacing w:after="0" w:line="290" w:lineRule="auto"/>
        <w:rPr>
          <w:sz w:val="20"/>
          <w:szCs w:val="20"/>
          <w:color w:val="auto"/>
        </w:rPr>
      </w:pPr>
      <w:r>
        <w:rPr>
          <w:rFonts w:ascii="Arial" w:cs="Arial" w:eastAsia="Arial" w:hAnsi="Arial"/>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7660" w:type="dxa"/>
            <w:vAlign w:val="bottom"/>
            <w:gridSpan w:val="2"/>
          </w:tcPr>
          <w:p>
            <w:pPr>
              <w:ind w:left="2340"/>
              <w:spacing w:after="0"/>
              <w:rPr>
                <w:sz w:val="20"/>
                <w:szCs w:val="20"/>
                <w:color w:val="auto"/>
              </w:rPr>
            </w:pPr>
            <w:r>
              <w:rPr>
                <w:rFonts w:ascii="Arial" w:cs="Arial" w:eastAsia="Arial" w:hAnsi="Arial"/>
                <w:sz w:val="14"/>
                <w:szCs w:val="14"/>
                <w:b w:val="1"/>
                <w:bCs w:val="1"/>
                <w:color w:val="auto"/>
              </w:rPr>
              <w:t>RENT THE RUNWAY, INC.</w:t>
            </w:r>
          </w:p>
        </w:tc>
      </w:tr>
      <w:tr>
        <w:trPr>
          <w:trHeight w:val="374"/>
        </w:trPr>
        <w:tc>
          <w:tcPr>
            <w:tcW w:w="3600" w:type="dxa"/>
            <w:vAlign w:val="bottom"/>
          </w:tcPr>
          <w:p>
            <w:pPr>
              <w:spacing w:after="0"/>
              <w:rPr>
                <w:sz w:val="20"/>
                <w:szCs w:val="20"/>
                <w:color w:val="auto"/>
              </w:rPr>
            </w:pPr>
            <w:r>
              <w:rPr>
                <w:rFonts w:ascii="Arial" w:cs="Arial" w:eastAsia="Arial" w:hAnsi="Arial"/>
                <w:sz w:val="14"/>
                <w:szCs w:val="14"/>
                <w:color w:val="auto"/>
              </w:rPr>
              <w:t>Date: April 14, 2026</w:t>
            </w:r>
          </w:p>
        </w:tc>
        <w:tc>
          <w:tcPr>
            <w:tcW w:w="7660" w:type="dxa"/>
            <w:vAlign w:val="bottom"/>
            <w:gridSpan w:val="2"/>
          </w:tcPr>
          <w:p>
            <w:pPr>
              <w:ind w:left="2340"/>
              <w:spacing w:after="0"/>
              <w:rPr>
                <w:sz w:val="20"/>
                <w:szCs w:val="20"/>
                <w:color w:val="auto"/>
              </w:rPr>
            </w:pPr>
            <w:r>
              <w:rPr>
                <w:rFonts w:ascii="Arial" w:cs="Arial" w:eastAsia="Arial" w:hAnsi="Arial"/>
                <w:sz w:val="14"/>
                <w:szCs w:val="14"/>
                <w:color w:val="auto"/>
              </w:rPr>
              <w:t>By:    /s/ Jennifer Y. Hyman</w:t>
            </w:r>
          </w:p>
        </w:tc>
      </w:tr>
      <w:tr>
        <w:trPr>
          <w:trHeight w:val="186"/>
        </w:trPr>
        <w:tc>
          <w:tcPr>
            <w:tcW w:w="3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Jennifer Y. Hyman</w:t>
            </w:r>
          </w:p>
        </w:tc>
      </w:tr>
      <w:tr>
        <w:trPr>
          <w:trHeight w:val="198"/>
        </w:trPr>
        <w:tc>
          <w:tcPr>
            <w:tcW w:w="3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Co-Founder, Chief Executive Officer and President</w:t>
            </w:r>
          </w:p>
        </w:tc>
      </w:tr>
    </w:tbl>
    <w:p>
      <w:pPr>
        <w:spacing w:after="0" w:line="164" w:lineRule="exact"/>
        <w:rPr>
          <w:sz w:val="20"/>
          <w:szCs w:val="20"/>
          <w:color w:val="auto"/>
        </w:rPr>
      </w:pPr>
    </w:p>
    <w:p>
      <w:pPr>
        <w:ind w:right="480"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016" w:right="319" w:bottom="1440" w:gutter="0" w:footer="0" w:header="0"/>
        </w:sectPr>
      </w:pPr>
    </w:p>
    <w:p>
      <w:pPr>
        <w:spacing w:after="0" w:line="67"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10185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3"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21018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Jennifer Y. Hyman</w:t>
      </w:r>
    </w:p>
    <w:p>
      <w:pPr>
        <w:spacing w:after="0" w:line="83"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10185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Siddharth Thacker</w:t>
      </w:r>
    </w:p>
    <w:p>
      <w:pPr>
        <w:spacing w:after="0" w:line="9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/s/ Dhiren Fonseca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Dhiren Fonseca</w:t>
      </w:r>
    </w:p>
    <w:p>
      <w:pPr>
        <w:spacing w:after="0" w:line="9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Teri Bariquit</w:t>
      </w:r>
    </w:p>
    <w:p>
      <w:pPr>
        <w:spacing w:after="0" w:line="9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Peter Comisar</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Damian Giangiacomo</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10185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Daniel Rosensweig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20040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3200400" cy="698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Co-Founder, Chief Executive Officer, President and Director </w:t>
      </w:r>
      <w:r>
        <w:rPr>
          <w:rFonts w:ascii="Arial" w:cs="Arial" w:eastAsia="Arial" w:hAnsi="Arial"/>
          <w:sz w:val="14"/>
          <w:szCs w:val="14"/>
          <w:i w:val="1"/>
          <w:iCs w:val="1"/>
          <w:color w:val="auto"/>
        </w:rPr>
        <w:t>(Principal</w:t>
      </w:r>
    </w:p>
    <w:p>
      <w:pPr>
        <w:spacing w:after="0"/>
        <w:rPr>
          <w:sz w:val="20"/>
          <w:szCs w:val="20"/>
          <w:color w:val="auto"/>
        </w:rPr>
      </w:pPr>
      <w:r>
        <w:rPr>
          <w:rFonts w:ascii="Arial" w:cs="Arial" w:eastAsia="Arial" w:hAnsi="Arial"/>
          <w:sz w:val="14"/>
          <w:szCs w:val="14"/>
          <w:i w:val="1"/>
          <w:iCs w:val="1"/>
          <w:color w:val="auto"/>
        </w:rPr>
        <w:t>Executive Officer)</w:t>
      </w:r>
    </w:p>
    <w:p>
      <w:pPr>
        <w:spacing w:after="0" w:line="143" w:lineRule="exact"/>
        <w:rPr>
          <w:sz w:val="20"/>
          <w:szCs w:val="20"/>
          <w:color w:val="auto"/>
        </w:rPr>
      </w:pPr>
    </w:p>
    <w:p>
      <w:pPr>
        <w:ind w:right="400"/>
        <w:spacing w:after="0" w:line="242" w:lineRule="auto"/>
        <w:rPr>
          <w:sz w:val="20"/>
          <w:szCs w:val="20"/>
          <w:color w:val="auto"/>
        </w:rPr>
      </w:pPr>
      <w:r>
        <w:rPr>
          <w:rFonts w:ascii="Arial" w:cs="Arial" w:eastAsia="Arial" w:hAnsi="Arial"/>
          <w:sz w:val="14"/>
          <w:szCs w:val="14"/>
          <w:color w:val="auto"/>
        </w:rPr>
        <w:t xml:space="preserve">Chief Financial Officer </w:t>
      </w:r>
      <w:r>
        <w:rPr>
          <w:rFonts w:ascii="Arial" w:cs="Arial" w:eastAsia="Arial" w:hAnsi="Arial"/>
          <w:sz w:val="14"/>
          <w:szCs w:val="14"/>
          <w:i w:val="1"/>
          <w:iCs w:val="1"/>
          <w:color w:val="auto"/>
        </w:rPr>
        <w:t>(Principal Financial Officer and Principal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Officer)</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Executive Chairman and Director</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14605</wp:posOffset>
            </wp:positionV>
            <wp:extent cx="142176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127"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April 14, 2026</w:t>
      </w:r>
    </w:p>
    <w:p>
      <w:pPr>
        <w:spacing w:after="0" w:line="306" w:lineRule="exact"/>
        <w:rPr>
          <w:sz w:val="20"/>
          <w:szCs w:val="20"/>
          <w:color w:val="auto"/>
        </w:rPr>
      </w:pPr>
    </w:p>
    <w:p>
      <w:pPr>
        <w:sectPr>
          <w:pgSz w:w="11900" w:h="16838" w:orient="portrait"/>
          <w:cols w:equalWidth="0" w:num="3">
            <w:col w:w="2700" w:space="720"/>
            <w:col w:w="5060" w:space="720"/>
            <w:col w:w="2080"/>
          </w:cols>
          <w:pgMar w:left="300" w:top="1016" w:right="31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016" w:right="319" w:bottom="1440" w:gutter="0" w:footer="0" w:header="0"/>
          <w:type w:val="continuous"/>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6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7" w:name="page248"/>
    <w:bookmarkEnd w:id="247"/>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8220" w:type="dxa"/>
            <w:vAlign w:val="bottom"/>
            <w:gridSpan w:val="2"/>
          </w:tcPr>
          <w:p>
            <w:pPr>
              <w:ind w:left="1100"/>
              <w:spacing w:after="0"/>
              <w:rPr>
                <w:sz w:val="20"/>
                <w:szCs w:val="20"/>
                <w:color w:val="auto"/>
              </w:rPr>
            </w:pPr>
            <w:r>
              <w:rPr>
                <w:rFonts w:ascii="Arial" w:cs="Arial" w:eastAsia="Arial" w:hAnsi="Arial"/>
                <w:sz w:val="14"/>
                <w:szCs w:val="14"/>
                <w:b w:val="1"/>
                <w:bCs w:val="1"/>
                <w:color w:val="auto"/>
              </w:rPr>
              <w:t>List of Subsidiaries of Rent the Runway, Inc.</w:t>
            </w:r>
          </w:p>
        </w:tc>
      </w:tr>
      <w:tr>
        <w:trPr>
          <w:trHeight w:val="3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860" w:type="dxa"/>
            <w:vAlign w:val="bottom"/>
          </w:tcPr>
          <w:p>
            <w:pPr>
              <w:spacing w:after="0"/>
              <w:rPr>
                <w:sz w:val="24"/>
                <w:szCs w:val="24"/>
                <w:color w:val="auto"/>
              </w:rPr>
            </w:pPr>
          </w:p>
        </w:tc>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177"/>
        </w:trPr>
        <w:tc>
          <w:tcPr>
            <w:tcW w:w="3060" w:type="dxa"/>
            <w:vAlign w:val="bottom"/>
          </w:tcPr>
          <w:p>
            <w:pPr>
              <w:ind w:left="20"/>
              <w:spacing w:after="0"/>
              <w:rPr>
                <w:sz w:val="20"/>
                <w:szCs w:val="20"/>
                <w:color w:val="auto"/>
              </w:rPr>
            </w:pPr>
            <w:r>
              <w:rPr>
                <w:rFonts w:ascii="Arial" w:cs="Arial" w:eastAsia="Arial" w:hAnsi="Arial"/>
                <w:sz w:val="14"/>
                <w:szCs w:val="14"/>
                <w:color w:val="auto"/>
              </w:rPr>
              <w:t>Rent the Runway Limited</w:t>
            </w:r>
          </w:p>
        </w:tc>
        <w:tc>
          <w:tcPr>
            <w:tcW w:w="1860" w:type="dxa"/>
            <w:vAlign w:val="bottom"/>
          </w:tcPr>
          <w:p>
            <w:pPr>
              <w:spacing w:after="0"/>
              <w:rPr>
                <w:sz w:val="15"/>
                <w:szCs w:val="15"/>
                <w:color w:val="auto"/>
              </w:rPr>
            </w:pPr>
          </w:p>
        </w:tc>
        <w:tc>
          <w:tcPr>
            <w:tcW w:w="6360" w:type="dxa"/>
            <w:vAlign w:val="bottom"/>
          </w:tcPr>
          <w:p>
            <w:pPr>
              <w:ind w:left="20"/>
              <w:spacing w:after="0"/>
              <w:rPr>
                <w:sz w:val="20"/>
                <w:szCs w:val="20"/>
                <w:color w:val="auto"/>
              </w:rPr>
            </w:pPr>
            <w:r>
              <w:rPr>
                <w:rFonts w:ascii="Arial" w:cs="Arial" w:eastAsia="Arial" w:hAnsi="Arial"/>
                <w:sz w:val="14"/>
                <w:szCs w:val="14"/>
                <w:color w:val="auto"/>
              </w:rPr>
              <w:t>Ireland</w:t>
            </w:r>
          </w:p>
        </w:tc>
      </w:tr>
    </w:tbl>
    <w:p>
      <w:pPr>
        <w:sectPr>
          <w:pgSz w:w="11900" w:h="16838" w:orient="portrait"/>
          <w:cols w:equalWidth="0" w:num="1">
            <w:col w:w="11280"/>
          </w:cols>
          <w:pgMar w:left="300" w:top="125" w:right="319" w:bottom="1440" w:gutter="0" w:footer="0" w:header="0"/>
        </w:sectPr>
      </w:pPr>
    </w:p>
    <w:bookmarkStart w:id="248" w:name="page249"/>
    <w:bookmarkEnd w:id="248"/>
    <w:p>
      <w:pPr>
        <w:spacing w:after="0" w:line="45" w:lineRule="exact"/>
        <w:rPr>
          <w:sz w:val="20"/>
          <w:szCs w:val="20"/>
          <w:color w:val="auto"/>
        </w:rPr>
      </w:pPr>
    </w:p>
    <w:p>
      <w:pPr>
        <w:jc w:val="center"/>
        <w:ind w:right="-99"/>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18" w:lineRule="exact"/>
        <w:rPr>
          <w:sz w:val="20"/>
          <w:szCs w:val="20"/>
          <w:color w:val="auto"/>
        </w:rPr>
      </w:pPr>
    </w:p>
    <w:p>
      <w:pPr>
        <w:spacing w:after="0"/>
        <w:rPr>
          <w:sz w:val="20"/>
          <w:szCs w:val="20"/>
          <w:color w:val="auto"/>
        </w:rPr>
      </w:pPr>
      <w:r>
        <w:rPr>
          <w:rFonts w:ascii="Georgia" w:cs="Georgia" w:eastAsia="Georgia" w:hAnsi="Georgia"/>
          <w:sz w:val="14"/>
          <w:szCs w:val="14"/>
          <w:color w:val="auto"/>
        </w:rPr>
        <w:t>We hereby consent to the incorporation by reference in the Registration Statements on Form S-3 (No. 333-279757), Form S-1 (No. 333-291603) and Form S-8 (Nos. 333-293836, 333-292152, 333-291155, 333-286549, 333-260564, 333-264295, 333-271241, and 333-278623) of Rent the Runway, Inc. of our report dated April 14, 2026 relating to the financial statements, which appears in this Form 10-K.</w:t>
      </w:r>
    </w:p>
    <w:p>
      <w:pPr>
        <w:spacing w:after="0" w:line="149"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224" w:lineRule="auto"/>
        <w:rPr>
          <w:sz w:val="20"/>
          <w:szCs w:val="20"/>
          <w:color w:val="auto"/>
        </w:rPr>
      </w:pPr>
      <w:r>
        <w:rPr>
          <w:rFonts w:ascii="Georgia" w:cs="Georgia" w:eastAsia="Georgia" w:hAnsi="Georgia"/>
          <w:sz w:val="14"/>
          <w:szCs w:val="14"/>
          <w:color w:val="auto"/>
        </w:rPr>
        <w:t>New York, New York</w:t>
      </w:r>
    </w:p>
    <w:p>
      <w:pPr>
        <w:spacing w:after="0"/>
        <w:rPr>
          <w:sz w:val="20"/>
          <w:szCs w:val="20"/>
          <w:color w:val="auto"/>
        </w:rPr>
      </w:pPr>
      <w:r>
        <w:rPr>
          <w:rFonts w:ascii="Georgia" w:cs="Georgia" w:eastAsia="Georgia" w:hAnsi="Georgia"/>
          <w:sz w:val="14"/>
          <w:szCs w:val="14"/>
          <w:color w:val="auto"/>
        </w:rPr>
        <w:t>April 14, 2026</w:t>
      </w:r>
    </w:p>
    <w:p>
      <w:pPr>
        <w:sectPr>
          <w:pgSz w:w="11900" w:h="16838" w:orient="portrait"/>
          <w:cols w:equalWidth="0" w:num="1">
            <w:col w:w="11200"/>
          </w:cols>
          <w:pgMar w:left="300" w:top="1440" w:right="399" w:bottom="1440" w:gutter="0" w:footer="0" w:header="0"/>
        </w:sectPr>
      </w:pPr>
    </w:p>
    <w:bookmarkStart w:id="249" w:name="page250"/>
    <w:bookmarkEnd w:id="24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7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7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April 14,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7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7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7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7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7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7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6"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April 14,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Annual Report on Form 10-K of Rent the Runway, Inc. for the period ended January 31, 2026, fully complies with the requirements of Section 13(a) or 15(d) of the Securities Exchange Act of 1934, as amended,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April 14,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80"/>
          </w:cols>
          <w:pgMar w:left="300" w:top="126"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Annual Report on Form 10-K of Rent the Runway, Inc. for the period ended January 31, 2026, fully complies with the requirements of Section 13(a) or 15(d) of the Securities Exchange Act of 1934, as amended, and that the information contained in such Annual Report on Form 10-K fairly presents, in all material respects, the financial condition and results of operations of Rent the Runway, Inc.</w:t>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4240" w:val="left"/>
          <w:tab w:leader="none" w:pos="7060" w:val="left"/>
        </w:tabs>
        <w:rPr>
          <w:sz w:val="20"/>
          <w:szCs w:val="20"/>
          <w:color w:val="auto"/>
        </w:rPr>
      </w:pPr>
      <w:r>
        <w:rPr>
          <w:rFonts w:ascii="Arial" w:cs="Arial" w:eastAsia="Arial" w:hAnsi="Arial"/>
          <w:sz w:val="14"/>
          <w:szCs w:val="14"/>
          <w:color w:val="auto"/>
        </w:rPr>
        <w:t>Date: April 14,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lvl w:ilvl="1">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2"/>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3"/>
      <w:numFmt w:val="bullet"/>
      <w:start w:val="1"/>
    </w:lvl>
  </w:abstractNum>
  <w:abstractNum w:abstractNumId="46">
    <w:nsid w:val="10233C99"/>
    <w:multiLevelType w:val="hybridMultilevel"/>
    <w:lvl w:ilvl="0">
      <w:lvlJc w:val="left"/>
      <w:lvlText w:val="4"/>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endash "/>
      <w:numFmt w:val="bullet"/>
      <w:start w:val="1"/>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1."/>
      <w:numFmt w:val="decimal"/>
      <w:start w:val="4"/>
    </w:lvl>
  </w:abstractNum>
  <w:abstractNum w:abstractNumId="55">
    <w:nsid w:val="25A70BF7"/>
    <w:multiLevelType w:val="hybridMultilevel"/>
    <w:lvl w:ilvl="0">
      <w:lvlJc w:val="left"/>
      <w:lvlText w:val="&amp;"/>
      <w:numFmt w:val="bullet"/>
      <w:start w:val="1"/>
    </w:lvl>
  </w:abstractNum>
  <w:abstractNum w:abstractNumId="56">
    <w:nsid w:val="1DBABF00"/>
    <w:multiLevelType w:val="hybridMultilevel"/>
    <w:lvl w:ilvl="0">
      <w:lvlJc w:val="left"/>
      <w:lvlText w:val="%1."/>
      <w:numFmt w:val="decimal"/>
      <w:start w:val="5"/>
    </w:lvl>
  </w:abstractNum>
  <w:abstractNum w:abstractNumId="57">
    <w:nsid w:val="4AD084E9"/>
    <w:multiLevelType w:val="hybridMultilevel"/>
    <w:lvl w:ilvl="0">
      <w:lvlJc w:val="left"/>
      <w:lvlText w:val="%1."/>
      <w:numFmt w:val="decimal"/>
      <w:start w:val="6"/>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7"/>
    </w:lvl>
  </w:abstractNum>
  <w:abstractNum w:abstractNumId="60">
    <w:nsid w:val="5DB70AE5"/>
    <w:multiLevelType w:val="hybridMultilevel"/>
    <w:lvl w:ilvl="0">
      <w:lvlJc w:val="left"/>
      <w:lvlText w:val="%1."/>
      <w:numFmt w:val="decimal"/>
      <w:start w:val="8"/>
    </w:lvl>
  </w:abstractNum>
  <w:abstractNum w:abstractNumId="61">
    <w:nsid w:val="100F8FCA"/>
    <w:multiLevelType w:val="hybridMultilevel"/>
    <w:lvl w:ilvl="0">
      <w:lvlJc w:val="left"/>
      <w:lvlText w:val="%1."/>
      <w:numFmt w:val="decimal"/>
      <w:start w:val="9"/>
    </w:lvl>
  </w:abstractNum>
  <w:abstractNum w:abstractNumId="62">
    <w:nsid w:val="6590700B"/>
    <w:multiLevelType w:val="hybridMultilevel"/>
    <w:lvl w:ilvl="0">
      <w:lvlJc w:val="left"/>
      <w:lvlText w:val="(%1)"/>
      <w:numFmt w:val="lowerRoman"/>
      <w:start w:val="1"/>
    </w:lvl>
  </w:abstractNum>
  <w:abstractNum w:abstractNumId="63">
    <w:nsid w:val="15014ACB"/>
    <w:multiLevelType w:val="hybridMultilevel"/>
    <w:lvl w:ilvl="0">
      <w:lvlJc w:val="left"/>
      <w:lvlText w:val="%1."/>
      <w:numFmt w:val="decimal"/>
      <w:start w:val="10"/>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1"/>
    </w:lvl>
  </w:abstractNum>
  <w:abstractNum w:abstractNumId="66">
    <w:nsid w:val="799D0247"/>
    <w:multiLevelType w:val="hybridMultilevel"/>
    <w:lvl w:ilvl="0">
      <w:lvlJc w:val="left"/>
      <w:lvlText w:val="%1."/>
      <w:numFmt w:val="decimal"/>
      <w:start w:val="12"/>
    </w:lvl>
  </w:abstractNum>
  <w:abstractNum w:abstractNumId="67">
    <w:nsid w:val="6B94764"/>
    <w:multiLevelType w:val="hybridMultilevel"/>
    <w:lvl w:ilvl="0">
      <w:lvlJc w:val="left"/>
      <w:lvlText w:val="%1."/>
      <w:numFmt w:val="decimal"/>
      <w:start w:val="13"/>
    </w:lvl>
  </w:abstractNum>
  <w:abstractNum w:abstractNumId="68">
    <w:nsid w:val="42C296BD"/>
    <w:multiLevelType w:val="hybridMultilevel"/>
    <w:lvl w:ilvl="0">
      <w:lvlJc w:val="left"/>
      <w:lvlText w:val="%1."/>
      <w:numFmt w:val="decimal"/>
      <w:start w:val="14"/>
    </w:lvl>
  </w:abstractNum>
  <w:abstractNum w:abstractNumId="69">
    <w:nsid w:val="168E121F"/>
    <w:multiLevelType w:val="hybridMultilevel"/>
    <w:lvl w:ilvl="0">
      <w:lvlJc w:val="left"/>
      <w:lvlText w:val="%1."/>
      <w:numFmt w:val="decimal"/>
      <w:start w:val="15"/>
    </w:lvl>
  </w:abstractNum>
  <w:abstractNum w:abstractNumId="70">
    <w:nsid w:val="1EBA5D23"/>
    <w:multiLevelType w:val="hybridMultilevel"/>
    <w:lvl w:ilvl="0">
      <w:lvlJc w:val="left"/>
      <w:lvlText w:val="%1."/>
      <w:numFmt w:val="decimal"/>
      <w:start w:val="16"/>
    </w:lvl>
  </w:abstractNum>
  <w:abstractNum w:abstractNumId="71">
    <w:nsid w:val="661E3F1E"/>
    <w:multiLevelType w:val="hybridMultilevel"/>
    <w:lvl w:ilvl="0">
      <w:lvlJc w:val="left"/>
      <w:lvlText w:val="%1."/>
      <w:numFmt w:val="decimal"/>
      <w:start w:val="18"/>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45"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212" Type="http://schemas.openxmlformats.org/officeDocument/2006/relationships/hyperlink" Target="https://www.sec.gov/Archives/edgar/data/1468327/000119312521313321/d211519dex31.htm" TargetMode="External"/><Relationship Id="rId213" Type="http://schemas.openxmlformats.org/officeDocument/2006/relationships/hyperlink" Target="https://www.sec.gov/Archives/edgar/data/1468327/000146832724000100/exhibit31certificateofam.htm" TargetMode="External"/><Relationship Id="rId214" Type="http://schemas.openxmlformats.org/officeDocument/2006/relationships/hyperlink" Target="https://www.sec.gov/Archives/edgar/data/1468327/000095010325013776/dp236389_ex0301.htm" TargetMode="External"/><Relationship Id="rId215" Type="http://schemas.openxmlformats.org/officeDocument/2006/relationships/hyperlink" Target="https://www.sec.gov/Archives/edgar/data/0001468327/000119312521291103/d194411dex41.htm" TargetMode="External"/><Relationship Id="rId216" Type="http://schemas.openxmlformats.org/officeDocument/2006/relationships/hyperlink" Target="https://www.sec.gov/Archives/edgar/data/0001468327/000119312521291103/d194411dex42.htm" TargetMode="External"/><Relationship Id="rId217" Type="http://schemas.openxmlformats.org/officeDocument/2006/relationships/hyperlink" Target="https://www.sec.gov/Archives/edgar/data/1468327/000146832722000047/exhibit43descriptionofcapi.htm" TargetMode="External"/><Relationship Id="rId218" Type="http://schemas.openxmlformats.org/officeDocument/2006/relationships/hyperlink" Target="https://www.sec.gov/Archives/edgar/data/0001468327/000119312521301156/d194411dex102.htm" TargetMode="External"/><Relationship Id="rId219" Type="http://schemas.openxmlformats.org/officeDocument/2006/relationships/hyperlink" Target="https://www.sec.gov/Archives/edgar/data/0001468327/000119312521301156/d194411dex105.htm" TargetMode="External"/><Relationship Id="rId220" Type="http://schemas.openxmlformats.org/officeDocument/2006/relationships/hyperlink" Target="https://www.sec.gov/Archives/edgar/data/1468327/000119312521304928/d194411dex109.htm" TargetMode="External"/><Relationship Id="rId221" Type="http://schemas.openxmlformats.org/officeDocument/2006/relationships/hyperlink" Target="https://www.sec.gov/Archives/edgar/data/1468327/000146832725000213/rtr-secondamendedandrestat.htm" TargetMode="External"/><Relationship Id="rId222" Type="http://schemas.openxmlformats.org/officeDocument/2006/relationships/hyperlink" Target="https://www.sec.gov/Archives/edgar/data/1468327/000095010326001566/dp240987_ex1001.htm" TargetMode="External"/><Relationship Id="rId223" Type="http://schemas.openxmlformats.org/officeDocument/2006/relationships/hyperlink" Target="https://www.sec.gov/Archives/edgar/data/1468327/000119312521301156/d194411dex101.htm" TargetMode="External"/><Relationship Id="rId226" Type="http://schemas.openxmlformats.org/officeDocument/2006/relationships/hyperlink" Target="https://www.sec.gov/Archives/edgar/data/0001468327/000119312521304928/d194411dex1014.htm" TargetMode="External"/><Relationship Id="rId227" Type="http://schemas.openxmlformats.org/officeDocument/2006/relationships/hyperlink" Target="https://www.sec.gov/Archives/edgar/data/1468327/000146832725000097/a20150112sarahtamofferle.htm" TargetMode="External"/><Relationship Id="rId228" Type="http://schemas.openxmlformats.org/officeDocument/2006/relationships/hyperlink" Target="https://www.sec.gov/Archives/edgar/data/1468327/000119312521301156/d194411dex1015.htm" TargetMode="External"/><Relationship Id="rId229" Type="http://schemas.openxmlformats.org/officeDocument/2006/relationships/hyperlink" Target="https://www.sec.gov/Archives/edgar/data/1468327/000146832722000073/exhibit101jhemploymentagre.htm" TargetMode="External"/><Relationship Id="rId230" Type="http://schemas.openxmlformats.org/officeDocument/2006/relationships/hyperlink" Target="https://www.sec.gov/Archives/edgar/data/1468327/000146832725000056/jhymansalaryamendment202.htm" TargetMode="External"/><Relationship Id="rId231" Type="http://schemas.openxmlformats.org/officeDocument/2006/relationships/hyperlink" Target="https://www.sec.gov/Archives/edgar/data/1468327/000114036125036554/ny20055620x2_ex10-31.htm" TargetMode="External"/><Relationship Id="rId232" Type="http://schemas.openxmlformats.org/officeDocument/2006/relationships/hyperlink" Target="https://www.sec.gov/Archives/edgar/data/0001468327/000119312521313321/d211519dex101.htm" TargetMode="External"/><Relationship Id="rId233" Type="http://schemas.openxmlformats.org/officeDocument/2006/relationships/hyperlink" Target="https://www.sec.gov/Archives/edgar/data/0001468327/000119312521291103/d194411dex1021.htm" TargetMode="External"/><Relationship Id="rId234" Type="http://schemas.openxmlformats.org/officeDocument/2006/relationships/hyperlink" Target="https://www.sec.gov/Archives/edgar/data/1468327/000119312521291103/d194411dex1023.htm" TargetMode="External"/><Relationship Id="rId235" Type="http://schemas.openxmlformats.org/officeDocument/2006/relationships/hyperlink" Target="https://www.sec.gov/Archives/edgar/data/1468327/000119312521291103/d194411dex1024.htm" TargetMode="External"/><Relationship Id="rId236" Type="http://schemas.openxmlformats.org/officeDocument/2006/relationships/hyperlink" Target="https://www.sec.gov/Archives/edgar/data/1468327/000146832722000047/exhibit102710jaylease2ndam.htm" TargetMode="External"/><Relationship Id="rId237" Type="http://schemas.openxmlformats.org/officeDocument/2006/relationships/hyperlink" Target="https://www.sec.gov/Archives/edgar/data/1468327/000146832723000341/formofexecretentionbonus.htm" TargetMode="External"/><Relationship Id="rId238" Type="http://schemas.openxmlformats.org/officeDocument/2006/relationships/hyperlink" Target="https://www.sec.gov/Archives/edgar/data/1468327/000146832723000047/rtr-offerletteramendment.htm" TargetMode="External"/><Relationship Id="rId239" Type="http://schemas.openxmlformats.org/officeDocument/2006/relationships/hyperlink" Target="https://www.sec.gov/Archives/edgar/data/1468327/000146832724000114/thirdleasemodewr1.htm" TargetMode="External"/><Relationship Id="rId240" Type="http://schemas.openxmlformats.org/officeDocument/2006/relationships/hyperlink" Target="https://www.sec.gov/Archives/edgar/data/1468327/000146832724000114/severanceplanjan2024.htm" TargetMode="External"/><Relationship Id="rId241" Type="http://schemas.openxmlformats.org/officeDocument/2006/relationships/hyperlink" Target="https://www.sec.gov/Archives/edgar/data/1468327/000146832724000160/rtr-transactionbonusplan.htm" TargetMode="External"/><Relationship Id="rId242" Type="http://schemas.openxmlformats.org/officeDocument/2006/relationships/hyperlink" Target="https://www.sec.gov/Archives/edgar/data/1468327/000146832725000176/exhibit101.htm" TargetMode="External"/><Relationship Id="rId243" Type="http://schemas.openxmlformats.org/officeDocument/2006/relationships/hyperlink" Target="https://www.sec.gov/Archives/edgar/data/1468327/000095010325010546/dp233293_ex1005.htm" TargetMode="External"/><Relationship Id="rId244" Type="http://schemas.openxmlformats.org/officeDocument/2006/relationships/hyperlink" Target="https://www.sec.gov/Archives/edgar/data/1468327/000095010325010546/dp233293_ex1001.htm" TargetMode="External"/><Relationship Id="rId246" Type="http://schemas.openxmlformats.org/officeDocument/2006/relationships/hyperlink" Target="https://www.sec.gov/Archives/edgar/data/1468327/000095010325010546/dp233293_ex1002.htm" TargetMode="External"/><Relationship Id="rId247" Type="http://schemas.openxmlformats.org/officeDocument/2006/relationships/hyperlink" Target="https://www.sec.gov/Archives/edgar/data/1468327/000095010325010546/dp233293_ex1003.htm" TargetMode="External"/><Relationship Id="rId248" Type="http://schemas.openxmlformats.org/officeDocument/2006/relationships/hyperlink" Target="https://www.sec.gov/Archives/edgar/data/1468327/000146832725000237/a16-rtrxexecutivechairle.htm" TargetMode="External"/><Relationship Id="rId249" Type="http://schemas.openxmlformats.org/officeDocument/2006/relationships/hyperlink" Target="https://www.sec.gov/Archives/edgar/data/1468327/000095010325013776/dp236389_ex1001.htm" TargetMode="External"/><Relationship Id="rId250" Type="http://schemas.openxmlformats.org/officeDocument/2006/relationships/hyperlink" Target="https://www.sec.gov/Archives/edgar/data/1468327/000146832726000005/exhibit991restrictedstocku.htm" TargetMode="External"/><Relationship Id="rId253" Type="http://schemas.openxmlformats.org/officeDocument/2006/relationships/hyperlink" Target="https://www.sec.gov/Archives/edgar/data/1468327/000146832726000014/exhibit101secondamendmen.htm" TargetMode="External"/><Relationship Id="rId254" Type="http://schemas.openxmlformats.org/officeDocument/2006/relationships/hyperlink" Target="https://www.sec.gov/Archives/edgar/data/1468327/000146832725000056/rtrinsidertradingpolicy.htm" TargetMode="External"/><Relationship Id="rId255" Type="http://schemas.openxmlformats.org/officeDocument/2006/relationships/hyperlink" Target="https://www.sec.gov/ix?doc=/Archives/edgar/data/0001468327/000146832724000114/wdq-202401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2026-04-14T07:28:21Z</dcterms:created>
  <dcterms:modified xsi:type="dcterms:W3CDTF">2026-04-14T07:28:21Z</dcterms:modified>
</cp:coreProperties>
</file>