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3580" w:right="1480" w:hanging="3548"/>
        <w:spacing w:after="0" w:line="423" w:lineRule="auto"/>
        <w:tabs>
          <w:tab w:leader="none" w:pos="551"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2024</w:t>
      </w:r>
    </w:p>
    <w:p>
      <w:pPr>
        <w:jc w:val="center"/>
        <w:spacing w:after="0"/>
        <w:rPr>
          <w:sz w:val="20"/>
          <w:szCs w:val="20"/>
          <w:color w:val="auto"/>
        </w:rPr>
      </w:pPr>
      <w:r>
        <w:rPr>
          <w:rFonts w:ascii="Arial" w:cs="Arial" w:eastAsia="Arial" w:hAnsi="Arial"/>
          <w:sz w:val="14"/>
          <w:szCs w:val="14"/>
          <w:b w:val="1"/>
          <w:bCs w:val="1"/>
          <w:color w:val="auto"/>
        </w:rPr>
        <w:t>OR</w:t>
      </w:r>
    </w:p>
    <w:p>
      <w:pPr>
        <w:spacing w:after="0" w:line="329" w:lineRule="exact"/>
        <w:rPr>
          <w:sz w:val="24"/>
          <w:szCs w:val="24"/>
          <w:color w:val="auto"/>
        </w:rPr>
      </w:pPr>
    </w:p>
    <w:p>
      <w:pPr>
        <w:ind w:left="3440" w:right="1500" w:hanging="3408"/>
        <w:spacing w:after="0" w:line="417"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98"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243" w:right="319" w:bottom="1440" w:gutter="0" w:footer="0" w:header="0"/>
        </w:sectPr>
      </w:pPr>
    </w:p>
    <w:p>
      <w:pPr>
        <w:spacing w:after="0" w:line="27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31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4"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incorporation or organization)</w:t>
      </w:r>
    </w:p>
    <w:p>
      <w:pPr>
        <w:spacing w:after="0" w:line="11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9"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86360</wp:posOffset>
            </wp:positionV>
            <wp:extent cx="354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3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103505</wp:posOffset>
            </wp:positionV>
            <wp:extent cx="354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040" w:space="720"/>
            <w:col w:w="3500"/>
          </w:cols>
          <w:pgMar w:left="320" w:top="1243" w:right="319" w:bottom="1440" w:gutter="0" w:footer="0" w:header="0"/>
          <w:type w:val="continuous"/>
        </w:sectPr>
      </w:pP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Global Market</w:t>
            </w:r>
          </w:p>
        </w:tc>
      </w:tr>
    </w:tbl>
    <w:p>
      <w:pPr>
        <w:spacing w:after="0" w:line="251"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243" w:right="31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3" w:right="319" w:bottom="1440" w:gutter="0" w:footer="0" w:header="0"/>
          <w:type w:val="continuous"/>
        </w:sectPr>
      </w:pPr>
    </w:p>
    <w:bookmarkStart w:id="1" w:name="page2"/>
    <w:bookmarkEnd w:id="1"/>
    <w:p>
      <w:pPr>
        <w:ind w:right="26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line="242" w:lineRule="exact"/>
        <w:tabs>
          <w:tab w:leader="none" w:pos="2580" w:val="left"/>
          <w:tab w:leader="none" w:pos="332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6"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9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7"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06" w:right="339" w:bottom="1440" w:gutter="0" w:footer="0" w:header="0"/>
          <w:type w:val="continuous"/>
        </w:sectPr>
      </w:pPr>
    </w:p>
    <w:p>
      <w:pPr>
        <w:spacing w:after="0" w:line="343"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registrant had outstanding 3,726,752 shares of Class A common stock and 155,463 shares of Class B common stock as of December 4, 2024. The foregoing reflects the reverse stock split of the registrant’s Class A common stock and Class B common stock that became effective on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tcPr>
          <w:p>
            <w:pPr>
              <w:spacing w:after="0"/>
              <w:rPr>
                <w:sz w:val="16"/>
                <w:szCs w:val="16"/>
                <w:color w:val="auto"/>
              </w:rPr>
            </w:pP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tcBorders>
              <w:top w:val="single" w:sz="8" w:color="CCEEFF"/>
            </w:tcBorders>
            <w:gridSpan w:val="2"/>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8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tcBorders>
              <w:top w:val="single" w:sz="8" w:color="CCEEFF"/>
            </w:tcBorders>
            <w:gridSpan w:val="2"/>
          </w:tcPr>
          <w:p>
            <w:pPr>
              <w:spacing w:after="0"/>
              <w:rPr>
                <w:sz w:val="16"/>
                <w:szCs w:val="16"/>
                <w:color w:val="auto"/>
              </w:rPr>
            </w:pPr>
          </w:p>
        </w:tc>
        <w:tc>
          <w:tcPr>
            <w:tcW w:w="48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454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5.</w:t>
            </w:r>
          </w:p>
        </w:tc>
        <w:tc>
          <w:tcPr>
            <w:tcW w:w="460" w:type="dxa"/>
            <w:vAlign w:val="bottom"/>
            <w:tcBorders>
              <w:top w:val="single" w:sz="8" w:color="CCEEFF"/>
            </w:tcBorders>
            <w:gridSpan w:val="2"/>
          </w:tcPr>
          <w:p>
            <w:pPr>
              <w:spacing w:after="0"/>
              <w:rPr>
                <w:sz w:val="16"/>
                <w:szCs w:val="16"/>
                <w:color w:val="auto"/>
              </w:rPr>
            </w:pPr>
          </w:p>
        </w:tc>
        <w:tc>
          <w:tcPr>
            <w:tcW w:w="19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Other Information</w:t>
            </w:r>
          </w:p>
        </w:tc>
        <w:tc>
          <w:tcPr>
            <w:tcW w:w="74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7"/>
              </w:rPr>
              <w:t>Signatures</w:t>
            </w:r>
          </w:p>
        </w:tc>
        <w:tc>
          <w:tcPr>
            <w:tcW w:w="8520" w:type="dxa"/>
            <w:vAlign w:val="bottom"/>
            <w:gridSpan w:val="11"/>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ind w:left="660" w:right="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drive future growth or manage our growth effectively, our brand, Company culture, and financial performance may suffer.</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consumer discretionary spending and have been, and may in the future be, adversely affected by economic downturns and other macroeconomic conditions or trends.</w:t>
      </w:r>
    </w:p>
    <w:p>
      <w:pPr>
        <w:spacing w:after="0" w:line="4"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fluctuate based on our level of investment and success in paid marketing initiatives.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acquire 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8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restructuring of our operations, which could adversely affect our financial condition, results of operations, cash flows, or business reputation.</w:t>
      </w:r>
    </w:p>
    <w:p>
      <w:pPr>
        <w:spacing w:after="0" w:line="1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4"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76"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experience and expertise of our Co-Founder and Chief Executive Officer, senior management team, key technical and strategic employees and hourly personnel.</w:t>
      </w:r>
    </w:p>
    <w:p>
      <w:pPr>
        <w:spacing w:after="0" w:line="17"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obtain, maintain, protect and enforce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and manufacturing partners from whom our products are sourced or co-manufactured.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 w:name="page5"/>
    <w:bookmarkEnd w:id="4"/>
    <w:p>
      <w:pPr>
        <w:ind w:left="660" w:right="1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7"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2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8"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33"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had a material adverse impact on our business. Other future pandemics or public health crises may have a similar adverse impact on our business.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depth and availability initiatives, sustainability initiatives, business plans, promotional and marketing strategy, impacts from our January 2024 restructuring plan and other cost-savings initiatives, anticipated future expenditures, product acquisition expectations, compliance with our debt covenants, market growth and our objectives for future operations.</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October 31, 2024.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14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Balance Sheets - Unaudited as of October 31, 2024 and Audited as of January 31, 2024</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140" w:type="dxa"/>
            <w:vAlign w:val="bottom"/>
            <w:gridSpan w:val="23"/>
            <w:vMerge w:val="continue"/>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Operations - Unaudited for the three and nine months ended October 31, 2024 and</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4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2023</w:t>
            </w:r>
          </w:p>
        </w:tc>
        <w:tc>
          <w:tcPr>
            <w:tcW w:w="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14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Changes in Stockholders’ Equity (Deficit) - Unaudited for the three and nine months</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5"/>
        </w:trPr>
        <w:tc>
          <w:tcPr>
            <w:tcW w:w="274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ended October 31, 2024 and 2023</w:t>
            </w: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54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Condensed Consolidated Statements of Cash Flows - Unaudited for the nine months ended October 31, 2024 and 2023</w:t>
            </w:r>
          </w:p>
        </w:tc>
        <w:tc>
          <w:tcPr>
            <w:tcW w:w="600" w:type="dxa"/>
            <w:vAlign w:val="bottom"/>
            <w:gridSpan w:val="3"/>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10140" w:type="dxa"/>
            <w:vAlign w:val="bottom"/>
            <w:gridSpan w:val="23"/>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ind w:left="120"/>
              <w:spacing w:after="0" w:line="195" w:lineRule="exact"/>
              <w:rPr>
                <w:sz w:val="20"/>
                <w:szCs w:val="20"/>
                <w:color w:val="auto"/>
              </w:rPr>
            </w:pPr>
            <w:r>
              <w:rPr>
                <w:rFonts w:ascii="Arial" w:cs="Arial" w:eastAsia="Arial" w:hAnsi="Arial"/>
                <w:sz w:val="18"/>
                <w:szCs w:val="18"/>
                <w:color w:val="0000FF"/>
                <w:w w:val="92"/>
              </w:rPr>
              <w:t>1.</w:t>
            </w:r>
          </w:p>
        </w:tc>
        <w:tc>
          <w:tcPr>
            <w:tcW w:w="9860" w:type="dxa"/>
            <w:vAlign w:val="bottom"/>
            <w:gridSpan w:val="21"/>
          </w:tcPr>
          <w:p>
            <w:pPr>
              <w:ind w:left="40"/>
              <w:spacing w:after="0" w:line="195" w:lineRule="exact"/>
              <w:rPr>
                <w:sz w:val="20"/>
                <w:szCs w:val="20"/>
                <w:color w:val="auto"/>
              </w:rPr>
            </w:pPr>
            <w:r>
              <w:rPr>
                <w:rFonts w:ascii="Arial" w:cs="Arial" w:eastAsia="Arial" w:hAnsi="Arial"/>
                <w:sz w:val="18"/>
                <w:szCs w:val="18"/>
                <w:color w:val="0000FF"/>
              </w:rPr>
              <w:t>Business</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Liquidity</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Restructuring and Related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Leases - Lessee Accounting</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Rental Product, Net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8.</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60" w:type="dxa"/>
            <w:vAlign w:val="bottom"/>
            <w:gridSpan w:val="21"/>
          </w:tcPr>
          <w:p>
            <w:pPr>
              <w:ind w:left="40"/>
              <w:spacing w:after="0"/>
              <w:rPr>
                <w:sz w:val="20"/>
                <w:szCs w:val="20"/>
                <w:color w:val="auto"/>
              </w:rPr>
            </w:pPr>
            <w:r>
              <w:rPr>
                <w:rFonts w:ascii="Arial" w:cs="Arial" w:eastAsia="Arial" w:hAnsi="Arial"/>
                <w:sz w:val="18"/>
                <w:szCs w:val="18"/>
                <w:color w:val="0000FF"/>
              </w:rPr>
              <w:t>Accrued Expenses and Other 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10.</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8"/>
              </w:rPr>
              <w:t>11. Stockholders’ Equity</w:t>
            </w:r>
          </w:p>
        </w:tc>
        <w:tc>
          <w:tcPr>
            <w:tcW w:w="420" w:type="dxa"/>
            <w:vAlign w:val="bottom"/>
            <w:tcBorders>
              <w:top w:val="single" w:sz="8" w:color="0000FF"/>
            </w:tcBorders>
          </w:tcPr>
          <w:p>
            <w:pPr>
              <w:spacing w:after="0"/>
              <w:rPr>
                <w:sz w:val="18"/>
                <w:szCs w:val="18"/>
                <w:color w:val="auto"/>
              </w:rPr>
            </w:pPr>
          </w:p>
        </w:tc>
        <w:tc>
          <w:tcPr>
            <w:tcW w:w="7680" w:type="dxa"/>
            <w:vAlign w:val="bottom"/>
            <w:gridSpan w:val="13"/>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12.</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Share-based Compensation Plans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13.</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Net Loss per Share Attributable to Common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14.</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3"/>
          </w:tcPr>
          <w:p>
            <w:pPr>
              <w:ind w:left="120"/>
              <w:spacing w:after="0"/>
              <w:rPr>
                <w:sz w:val="20"/>
                <w:szCs w:val="20"/>
                <w:color w:val="auto"/>
              </w:rPr>
            </w:pPr>
            <w:r>
              <w:rPr>
                <w:rFonts w:ascii="Arial" w:cs="Arial" w:eastAsia="Arial" w:hAnsi="Arial"/>
                <w:sz w:val="18"/>
                <w:szCs w:val="18"/>
                <w:color w:val="0000FF"/>
              </w:rPr>
              <w:t>15.</w:t>
            </w:r>
          </w:p>
        </w:tc>
        <w:tc>
          <w:tcPr>
            <w:tcW w:w="9740" w:type="dxa"/>
            <w:vAlign w:val="bottom"/>
            <w:gridSpan w:val="20"/>
          </w:tcPr>
          <w:p>
            <w:pPr>
              <w:ind w:left="20"/>
              <w:spacing w:after="0"/>
              <w:rPr>
                <w:sz w:val="20"/>
                <w:szCs w:val="20"/>
                <w:color w:val="auto"/>
              </w:rPr>
            </w:pPr>
            <w:r>
              <w:rPr>
                <w:rFonts w:ascii="Arial" w:cs="Arial" w:eastAsia="Arial" w:hAnsi="Arial"/>
                <w:sz w:val="18"/>
                <w:szCs w:val="18"/>
                <w:color w:val="0000FF"/>
              </w:rPr>
              <w:t>Subsequent Events</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2"/>
        </w:trPr>
        <w:tc>
          <w:tcPr>
            <w:tcW w:w="83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9"/>
        </w:trPr>
        <w:tc>
          <w:tcPr>
            <w:tcW w:w="83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2"/>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October 31, 2024 and January 31, 2024;</w:t>
            </w:r>
          </w:p>
        </w:tc>
        <w:tc>
          <w:tcPr>
            <w:tcW w:w="200" w:type="dxa"/>
            <w:vAlign w:val="bottom"/>
          </w:tcPr>
          <w:p>
            <w:pPr>
              <w:spacing w:after="0"/>
              <w:rPr>
                <w:sz w:val="13"/>
                <w:szCs w:val="13"/>
                <w:color w:val="auto"/>
              </w:rPr>
            </w:pPr>
          </w:p>
        </w:tc>
        <w:tc>
          <w:tcPr>
            <w:tcW w:w="13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320" w:type="dxa"/>
            <w:vAlign w:val="bottom"/>
          </w:tcPr>
          <w:p>
            <w:pPr>
              <w:ind w:left="520"/>
              <w:spacing w:after="0"/>
              <w:rPr>
                <w:sz w:val="20"/>
                <w:szCs w:val="20"/>
                <w:color w:val="auto"/>
              </w:rPr>
            </w:pPr>
            <w:r>
              <w:rPr>
                <w:rFonts w:ascii="Arial" w:cs="Arial" w:eastAsia="Arial" w:hAnsi="Arial"/>
                <w:sz w:val="14"/>
                <w:szCs w:val="14"/>
                <w:color w:val="auto"/>
              </w:rPr>
              <w:t>3,684,878 and 3,390,587 shares issued and outstanding as of October 31, 2024 and January 31, 2024, respectively</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520" w:right="480" w:hanging="161"/>
        <w:spacing w:after="0" w:line="242" w:lineRule="auto"/>
        <w:rPr>
          <w:sz w:val="20"/>
          <w:szCs w:val="20"/>
          <w:color w:val="auto"/>
        </w:rPr>
      </w:pPr>
      <w:r>
        <w:rPr>
          <w:rFonts w:ascii="Arial" w:cs="Arial" w:eastAsia="Arial" w:hAnsi="Arial"/>
          <w:sz w:val="14"/>
          <w:szCs w:val="14"/>
          <w:color w:val="auto"/>
        </w:rPr>
        <w:t>Class B common stock, $0.001 par value; 50,000,000 shares authorized as of October 31, 2024 and January 31, 2024; 155,398 and 154,928 shares issued and outstanding as of October 31, 2024 and January 31, 2024, respectively</w:t>
      </w:r>
    </w:p>
    <w:p>
      <w:pPr>
        <w:spacing w:after="0" w:line="11" w:lineRule="exact"/>
        <w:rPr>
          <w:sz w:val="20"/>
          <w:szCs w:val="20"/>
          <w:color w:val="auto"/>
        </w:rPr>
      </w:pPr>
    </w:p>
    <w:p>
      <w:pPr>
        <w:ind w:left="520" w:right="380" w:hanging="161"/>
        <w:spacing w:after="0" w:line="244" w:lineRule="auto"/>
        <w:rPr>
          <w:sz w:val="20"/>
          <w:szCs w:val="20"/>
          <w:color w:val="auto"/>
        </w:rPr>
      </w:pPr>
      <w:r>
        <w:rPr>
          <w:rFonts w:ascii="Arial" w:cs="Arial" w:eastAsia="Arial" w:hAnsi="Arial"/>
          <w:sz w:val="14"/>
          <w:szCs w:val="14"/>
          <w:color w:val="auto"/>
        </w:rPr>
        <w:t>Preferred stock, $0.001 par value; 10,000,000 shares authorized as of October 31, 2024 and January 31, 2024; 0 shares issued and outstanding as of October 31, 2024 and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Additional paid-in capital</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ind w:left="400"/>
        <w:spacing w:after="0"/>
        <w:tabs>
          <w:tab w:leader="none" w:pos="1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66"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4"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color w:val="auto"/>
        </w:rPr>
        <w:t>938.4</w:t>
      </w:r>
      <w:r>
        <w:rPr>
          <w:sz w:val="20"/>
          <w:szCs w:val="20"/>
          <w:color w:val="auto"/>
        </w:rPr>
        <w:tab/>
      </w:r>
      <w:r>
        <w:rPr>
          <w:rFonts w:ascii="Arial" w:cs="Arial" w:eastAsia="Arial" w:hAnsi="Arial"/>
          <w:sz w:val="14"/>
          <w:szCs w:val="14"/>
          <w:color w:val="auto"/>
        </w:rPr>
        <w:t>930.8</w:t>
      </w:r>
    </w:p>
    <w:p>
      <w:pPr>
        <w:spacing w:after="0" w:line="69"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(1,109.6)</w:t>
      </w:r>
      <w:r>
        <w:rPr>
          <w:sz w:val="20"/>
          <w:szCs w:val="20"/>
          <w:color w:val="auto"/>
        </w:rPr>
        <w:tab/>
      </w:r>
      <w:r>
        <w:rPr>
          <w:rFonts w:ascii="Arial" w:cs="Arial" w:eastAsia="Arial" w:hAnsi="Arial"/>
          <w:sz w:val="14"/>
          <w:szCs w:val="14"/>
          <w:color w:val="auto"/>
        </w:rPr>
        <w:t>(1,053.1)</w:t>
      </w:r>
    </w:p>
    <w:p>
      <w:pPr>
        <w:spacing w:after="0" w:line="42" w:lineRule="exact"/>
        <w:rPr>
          <w:sz w:val="20"/>
          <w:szCs w:val="20"/>
          <w:color w:val="auto"/>
        </w:rPr>
      </w:pPr>
    </w:p>
    <w:p>
      <w:pPr>
        <w:sectPr>
          <w:pgSz w:w="11900" w:h="16838" w:orient="portrait"/>
          <w:cols w:equalWidth="0" w:num="2">
            <w:col w:w="8400" w:space="720"/>
            <w:col w:w="2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r>
      <w:tr>
        <w:trPr>
          <w:trHeight w:val="223"/>
        </w:trPr>
        <w:tc>
          <w:tcPr>
            <w:tcW w:w="83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278.5</w:t>
            </w: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160" w:type="dxa"/>
            <w:vAlign w:val="bottom"/>
          </w:tcPr>
          <w:p>
            <w:pPr>
              <w:spacing w:after="0"/>
              <w:rPr>
                <w:sz w:val="18"/>
                <w:szCs w:val="18"/>
                <w:color w:val="auto"/>
              </w:rPr>
            </w:pPr>
          </w:p>
        </w:tc>
        <w:tc>
          <w:tcPr>
            <w:tcW w:w="244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4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44"/>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4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51"/>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5"/>
        </w:trPr>
        <w:tc>
          <w:tcPr>
            <w:tcW w:w="584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51"/>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35"/>
        </w:trPr>
        <w:tc>
          <w:tcPr>
            <w:tcW w:w="584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51"/>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2"/>
        </w:trPr>
        <w:tc>
          <w:tcPr>
            <w:tcW w:w="584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22"/>
        </w:trPr>
        <w:tc>
          <w:tcPr>
            <w:tcW w:w="5840" w:type="dxa"/>
            <w:vAlign w:val="bottom"/>
          </w:tcPr>
          <w:p>
            <w:pPr>
              <w:ind w:left="100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4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 (expense), net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42"/>
        </w:trPr>
        <w:tc>
          <w:tcPr>
            <w:tcW w:w="58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income / (expense), net</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6"/>
                <w:szCs w:val="16"/>
                <w:color w:val="auto"/>
              </w:rPr>
              <w:t>Income tax benefit / (expense)</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1"/>
        </w:trPr>
        <w:tc>
          <w:tcPr>
            <w:tcW w:w="584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Net loss per share attributable to common stockholders, basic and diluted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Weighted-average shares used in computing net loss per share attributable to</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3,823,542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3,464,848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3,736,161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3,380,439</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common stockholders, basic and diluted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80" w:firstLine="8"/>
        <w:spacing w:after="0" w:line="305" w:lineRule="auto"/>
        <w:tabs>
          <w:tab w:leader="none" w:pos="154" w:val="left"/>
        </w:tabs>
        <w:numPr>
          <w:ilvl w:val="0"/>
          <w:numId w:val="5"/>
        </w:numPr>
        <w:rPr>
          <w:rFonts w:ascii="Arial" w:cs="Arial" w:eastAsia="Arial" w:hAnsi="Arial"/>
          <w:sz w:val="9"/>
          <w:szCs w:val="9"/>
          <w:color w:val="auto"/>
        </w:rPr>
      </w:pPr>
      <w:r>
        <w:rPr>
          <w:rFonts w:ascii="Arial" w:cs="Arial" w:eastAsia="Arial" w:hAnsi="Arial"/>
          <w:sz w:val="14"/>
          <w:szCs w:val="14"/>
          <w:color w:val="auto"/>
        </w:rPr>
        <w:t>Amounts have been adjusted to reflect the 1-for-20 reverse stock split that became effective on April 2, 2024. See Note 2, “Summary of Significant Accounting Policies” and Note 11, “Stockholders’ Equity” for additional details.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7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line="108" w:lineRule="exact"/>
              <w:rPr>
                <w:sz w:val="20"/>
                <w:szCs w:val="20"/>
                <w:color w:val="auto"/>
              </w:rPr>
            </w:pPr>
            <w:r>
              <w:rPr>
                <w:rFonts w:ascii="Arial" w:cs="Arial" w:eastAsia="Arial" w:hAnsi="Arial"/>
                <w:sz w:val="11"/>
                <w:szCs w:val="11"/>
                <w:b w:val="1"/>
                <w:bCs w:val="1"/>
                <w:color w:val="auto"/>
                <w:w w:val="98"/>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99"/>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20" w:type="dxa"/>
            <w:vAlign w:val="bottom"/>
          </w:tcPr>
          <w:p>
            <w:pPr>
              <w:spacing w:after="0"/>
              <w:rPr>
                <w:sz w:val="2"/>
                <w:szCs w:val="2"/>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July 31, 2024</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3,760,860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79,416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2024</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3,840,276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July 31, 2023</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3,422,354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59,853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3,482,207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80" w:firstLine="8"/>
        <w:spacing w:after="0" w:line="273"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Amounts have been adjusted to reflect the 1-for-20 reverse stock split that became effective on April 2, 2024. See Note 2, “Summary of Significant Accounting Policies” and Note 11, “Stockholders’ Equity” for additional details.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8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20" w:type="dxa"/>
            <w:vAlign w:val="bottom"/>
          </w:tcPr>
          <w:p>
            <w:pPr>
              <w:spacing w:after="0" w:line="20" w:lineRule="exact"/>
              <w:rPr>
                <w:sz w:val="1"/>
                <w:szCs w:val="1"/>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0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31, 2024</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3,545,515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294,761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2024</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3,840,276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231,069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(88.4)</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October 31, 2023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3,482,207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180" w:firstLine="8"/>
        <w:spacing w:after="0" w:line="273" w:lineRule="auto"/>
        <w:tabs>
          <w:tab w:leader="none" w:pos="15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Amounts have been adjusted to reflect the 1-for-20 reverse stock split that became effective on April 2, 2024. See Note 2, “Summary of Significant Accounting Policies” and Note 11, “Stockholders’ Equity” for additional details.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6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Nine Months Ended</w:t>
      </w:r>
    </w:p>
    <w:p>
      <w:pPr>
        <w:jc w:val="center"/>
        <w:ind w:left="8240"/>
        <w:spacing w:after="0"/>
        <w:rPr>
          <w:sz w:val="20"/>
          <w:szCs w:val="20"/>
          <w:color w:val="auto"/>
        </w:rPr>
      </w:pPr>
      <w:r>
        <w:rPr>
          <w:rFonts w:ascii="Arial" w:cs="Arial" w:eastAsia="Arial" w:hAnsi="Arial"/>
          <w:sz w:val="16"/>
          <w:szCs w:val="16"/>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10795</wp:posOffset>
            </wp:positionV>
            <wp:extent cx="1894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Rental product depreciation and write-offs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rental product sold</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Other depreciation and amortization</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write-off of fixed and intangible assets and lease termination</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rental product sold</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liquidation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Accrual of paid-in-kind interest</w:t>
            </w:r>
          </w:p>
        </w:tc>
        <w:tc>
          <w:tcPr>
            <w:tcW w:w="9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right-of-use assets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Deferred revenue and customer credit liabilities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6"/>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liabilities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0"/>
        </w:trPr>
        <w:tc>
          <w:tcPr>
            <w:tcW w:w="8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Proceeds from liquidation of rental product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fixed and intangible assets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8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196"/>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payments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82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Nine Months Ended</w:t>
      </w:r>
    </w:p>
    <w:p>
      <w:pPr>
        <w:spacing w:after="0" w:line="21"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October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 payments,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5"/>
        </w:trPr>
        <w:tc>
          <w:tcPr>
            <w:tcW w:w="826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826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 right-of-use asset amortization</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2"/>
        </w:trPr>
        <w:tc>
          <w:tcPr>
            <w:tcW w:w="8260" w:type="dxa"/>
            <w:vAlign w:val="bottom"/>
          </w:tcPr>
          <w:p>
            <w:pPr>
              <w:ind w:left="460"/>
              <w:spacing w:after="0"/>
              <w:rPr>
                <w:sz w:val="20"/>
                <w:szCs w:val="20"/>
                <w:color w:val="auto"/>
              </w:rPr>
            </w:pPr>
            <w:r>
              <w:rPr>
                <w:rFonts w:ascii="Arial" w:cs="Arial" w:eastAsia="Arial" w:hAnsi="Arial"/>
                <w:sz w:val="16"/>
                <w:szCs w:val="16"/>
                <w:color w:val="auto"/>
              </w:rPr>
              <w:t>Adjustments to ROU assets or lease liabilities due to modification or other reassessment events to operating</w:t>
            </w:r>
          </w:p>
        </w:tc>
        <w:tc>
          <w:tcPr>
            <w:tcW w:w="320" w:type="dxa"/>
            <w:vAlign w:val="bottom"/>
          </w:tcPr>
          <w:p>
            <w:pPr>
              <w:spacing w:after="0"/>
              <w:rPr>
                <w:sz w:val="17"/>
                <w:szCs w:val="17"/>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20"/>
        </w:trPr>
        <w:tc>
          <w:tcPr>
            <w:tcW w:w="8260" w:type="dxa"/>
            <w:vAlign w:val="bottom"/>
            <w:vMerge w:val="restart"/>
          </w:tcPr>
          <w:p>
            <w:pPr>
              <w:ind w:left="680"/>
              <w:spacing w:after="0"/>
              <w:rPr>
                <w:sz w:val="20"/>
                <w:szCs w:val="20"/>
                <w:color w:val="auto"/>
              </w:rPr>
            </w:pPr>
            <w:r>
              <w:rPr>
                <w:rFonts w:ascii="Arial" w:cs="Arial" w:eastAsia="Arial" w:hAnsi="Arial"/>
                <w:sz w:val="16"/>
                <w:szCs w:val="16"/>
                <w:color w:val="auto"/>
              </w:rPr>
              <w:t>and finance leases</w:t>
            </w:r>
          </w:p>
        </w:tc>
        <w:tc>
          <w:tcPr>
            <w:tcW w:w="3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2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8"/>
        </w:trPr>
        <w:tc>
          <w:tcPr>
            <w:tcW w:w="8260" w:type="dxa"/>
            <w:vAlign w:val="bottom"/>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5"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empower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74" w:lineRule="exact"/>
        <w:rPr>
          <w:rFonts w:ascii="Arial" w:cs="Arial" w:eastAsia="Arial" w:hAnsi="Arial"/>
          <w:sz w:val="18"/>
          <w:szCs w:val="18"/>
          <w:b w:val="1"/>
          <w:bCs w:val="1"/>
          <w:color w:val="auto"/>
        </w:rPr>
      </w:pPr>
    </w:p>
    <w:p>
      <w:pPr>
        <w:ind w:left="500" w:right="4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52" w:lineRule="exact"/>
        <w:rPr>
          <w:rFonts w:ascii="Arial" w:cs="Arial" w:eastAsia="Arial" w:hAnsi="Arial"/>
          <w:sz w:val="18"/>
          <w:szCs w:val="18"/>
          <w:b w:val="1"/>
          <w:bCs w:val="1"/>
          <w:color w:val="auto"/>
        </w:rPr>
      </w:pPr>
    </w:p>
    <w:p>
      <w:pPr>
        <w:ind w:left="500" w:right="6960" w:hanging="492"/>
        <w:spacing w:after="0" w:line="375" w:lineRule="auto"/>
        <w:tabs>
          <w:tab w:leader="none" w:pos="4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As further discussed in the Reverse Stock Split section below, all per share amounts and common shares amounts have been adjusted on a retroactive basis to reflect the Reverse Stock Split (as defined below).</w:t>
      </w:r>
    </w:p>
    <w:p>
      <w:pPr>
        <w:spacing w:after="0" w:line="71" w:lineRule="exact"/>
        <w:rPr>
          <w:rFonts w:ascii="Arial" w:cs="Arial" w:eastAsia="Arial" w:hAnsi="Arial"/>
          <w:sz w:val="18"/>
          <w:szCs w:val="18"/>
          <w:b w:val="1"/>
          <w:bCs w:val="1"/>
          <w:color w:val="auto"/>
        </w:rPr>
      </w:pPr>
    </w:p>
    <w:p>
      <w:pPr>
        <w:ind w:left="50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62"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and nine months ended October 31, 2024 are not necessarily indicative of the operating results expected for the year ending January 31, 2025 or any future period. The condensed consolidated balance sheet as of January 31, 2024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2024, which can be found in the Company’s Annual Report on Form 10-K filed with the SEC on April 11,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Reverse Stock Split</w:t>
      </w:r>
    </w:p>
    <w:p>
      <w:pPr>
        <w:spacing w:after="0" w:line="117"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spacing w:after="0" w:line="63"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11 - Stockholders’ Equity for additional information.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Fiscal Year</w:t>
      </w:r>
    </w:p>
    <w:p>
      <w:pPr>
        <w:spacing w:after="0" w:line="117" w:lineRule="exact"/>
        <w:rPr>
          <w:sz w:val="20"/>
          <w:szCs w:val="20"/>
          <w:color w:val="auto"/>
        </w:rPr>
      </w:pPr>
    </w:p>
    <w:p>
      <w:pPr>
        <w:ind w:left="500" w:right="380"/>
        <w:spacing w:after="0" w:line="287" w:lineRule="auto"/>
        <w:rPr>
          <w:sz w:val="20"/>
          <w:szCs w:val="20"/>
          <w:color w:val="auto"/>
        </w:rPr>
      </w:pPr>
      <w:r>
        <w:rPr>
          <w:rFonts w:ascii="Arial" w:cs="Arial" w:eastAsia="Arial" w:hAnsi="Arial"/>
          <w:sz w:val="18"/>
          <w:szCs w:val="18"/>
          <w:color w:val="auto"/>
        </w:rPr>
        <w:t>The Company’s fiscal year ends on January 31 of the next calendar year. For example, references to “fiscal year 2024” refer to the fiscal year ending January 31, 2025 and references to “fiscal year 2023” refer to the fiscal year ended January 31, 2024.</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74" w:lineRule="exact"/>
        <w:rPr>
          <w:sz w:val="20"/>
          <w:szCs w:val="20"/>
          <w:color w:val="auto"/>
        </w:rPr>
      </w:pPr>
    </w:p>
    <w:p>
      <w:pPr>
        <w:jc w:val="both"/>
        <w:ind w:left="500" w:right="20"/>
        <w:spacing w:after="0" w:line="262" w:lineRule="auto"/>
        <w:rPr>
          <w:sz w:val="20"/>
          <w:szCs w:val="20"/>
          <w:color w:val="auto"/>
        </w:rPr>
      </w:pPr>
      <w:r>
        <w:rPr>
          <w:rFonts w:ascii="Arial" w:cs="Arial" w:eastAsia="Arial" w:hAnsi="Arial"/>
          <w:sz w:val="18"/>
          <w:szCs w:val="18"/>
          <w:color w:val="auto"/>
        </w:rPr>
        <w:t>As of October 31, 2024,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4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right="200"/>
        <w:spacing w:after="0" w:line="287" w:lineRule="auto"/>
        <w:rPr>
          <w:sz w:val="20"/>
          <w:szCs w:val="20"/>
          <w:color w:val="auto"/>
        </w:rPr>
      </w:pPr>
      <w:r>
        <w:rPr>
          <w:rFonts w:ascii="Arial" w:cs="Arial" w:eastAsia="Arial" w:hAnsi="Arial"/>
          <w:sz w:val="18"/>
          <w:szCs w:val="18"/>
          <w:color w:val="auto"/>
        </w:rPr>
        <w:t>No single customer accounted for more than 5% of the Company’s revenue during the three or nine months ended October 31, 2024 and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17" w:lineRule="exact"/>
        <w:rPr>
          <w:sz w:val="20"/>
          <w:szCs w:val="20"/>
          <w:color w:val="auto"/>
        </w:rPr>
      </w:pPr>
    </w:p>
    <w:p>
      <w:pPr>
        <w:ind w:left="500" w:right="600"/>
        <w:spacing w:after="0" w:line="287" w:lineRule="auto"/>
        <w:rPr>
          <w:sz w:val="20"/>
          <w:szCs w:val="20"/>
          <w:color w:val="auto"/>
        </w:rPr>
      </w:pPr>
      <w:r>
        <w:rPr>
          <w:rFonts w:ascii="Arial" w:cs="Arial" w:eastAsia="Arial" w:hAnsi="Arial"/>
          <w:sz w:val="18"/>
          <w:szCs w:val="18"/>
          <w:color w:val="auto"/>
        </w:rPr>
        <w:t>Prepaid expenses and other current assets consist primarily of accounts receivable, net, interest receivable, prepaid insurance, prepaid technology expenses and prepaid taxes.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45"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0"/>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180" w:lineRule="exact"/>
        <w:rPr>
          <w:sz w:val="20"/>
          <w:szCs w:val="20"/>
          <w:color w:val="auto"/>
        </w:rPr>
      </w:pPr>
    </w:p>
    <w:p>
      <w:pPr>
        <w:ind w:left="500" w:right="44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4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October 31, 2024 and January 31, 2024 was $3.5 million and $3.0 million, respectively. The accelerated depreciation related to rental product held for sale was $1.8 million and $1.5 million for the three months ended October 31, 2024 and 2023, respectively, and $4.2 million and $3.5 million for the nine months ended October 31, 2024 and 2023, respectively. The accelerated depreciation is presented on the condensed consolidated statements of operations within Rental product depreciation and revenue share.</w:t>
      </w:r>
    </w:p>
    <w:p>
      <w:pPr>
        <w:spacing w:after="0" w:line="74"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68"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$20.1 million and $ 16.2 million for the nine months ended October 31, 2024 and 2023, respectively. Proceeds from the liquidation of rental product were $3.4 million and $3.7 million for the nine months ended October 31, 2024 and 2023, respectively.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13% and 11% of total revenue for the three months ended October 31, 2024 and 2023, respectively, and 13% and 10% of total revenue for the nine months ended October 31, 2024 and 2023, respectively.</w:t>
      </w:r>
    </w:p>
    <w:p>
      <w:pPr>
        <w:spacing w:after="0" w:line="71"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6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October 31, 2024 and 2023, $0.4 million and $0.5 million of credits included in the customer credit liability as of July 31, 2024 and 2023, respectively, were redeemed. During the nine months ended October 31, 2024 and 2023, $1.0 million and $1.3 million of credits included in the customer credit liability as of January 31, 2024 and 2023, respectively,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 The Company did not issue any new gift cards during the three and nine months ended October 31, 2024 and 2023.</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ind w:left="500" w:right="10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71"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October 31, 2024 and January 31, 2024.</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October 31, 2024 and January 31, 2024.</w:t>
      </w:r>
    </w:p>
    <w:p>
      <w:pPr>
        <w:spacing w:after="0" w:line="74" w:lineRule="exact"/>
        <w:rPr>
          <w:sz w:val="20"/>
          <w:szCs w:val="20"/>
          <w:color w:val="auto"/>
        </w:rPr>
      </w:pPr>
    </w:p>
    <w:p>
      <w:pPr>
        <w:ind w:left="500" w:right="320"/>
        <w:spacing w:after="0" w:line="287" w:lineRule="auto"/>
        <w:rPr>
          <w:sz w:val="20"/>
          <w:szCs w:val="20"/>
          <w:color w:val="auto"/>
        </w:rPr>
      </w:pPr>
      <w:r>
        <w:rPr>
          <w:rFonts w:ascii="Arial" w:cs="Arial" w:eastAsia="Arial" w:hAnsi="Arial"/>
          <w:sz w:val="18"/>
          <w:szCs w:val="18"/>
          <w:color w:val="auto"/>
        </w:rPr>
        <w:t>From time to time, other revenue may include revenue generated from pilots and other growth initiatives which may cause quarterly fluctuations in the Other revenue line.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Nasdaq. Upon grant of awards, the Company also estimates an amount of forfeitures that will occur prior to vesting. There were no stock options granted during the three and nine months ended October 31, 2024 and 2023.</w:t>
      </w:r>
    </w:p>
    <w:p>
      <w:pPr>
        <w:spacing w:after="0" w:line="18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has granted two types of restricted stock units (“RSUs”). Prior to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12 - Share-based Compensation Plans for a description of the accounting for share-based 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Income and Expense</w:t>
      </w:r>
    </w:p>
    <w:p>
      <w:pPr>
        <w:spacing w:after="0" w:line="117" w:lineRule="exact"/>
        <w:rPr>
          <w:sz w:val="20"/>
          <w:szCs w:val="20"/>
          <w:color w:val="auto"/>
        </w:rPr>
      </w:pPr>
    </w:p>
    <w:p>
      <w:pPr>
        <w:jc w:val="both"/>
        <w:ind w:left="500" w:right="140"/>
        <w:spacing w:after="0" w:line="262" w:lineRule="auto"/>
        <w:rPr>
          <w:sz w:val="20"/>
          <w:szCs w:val="20"/>
          <w:color w:val="auto"/>
        </w:rPr>
      </w:pPr>
      <w:r>
        <w:rPr>
          <w:rFonts w:ascii="Arial" w:cs="Arial" w:eastAsia="Arial" w:hAnsi="Arial"/>
          <w:sz w:val="18"/>
          <w:szCs w:val="18"/>
          <w:color w:val="auto"/>
        </w:rPr>
        <w:t>Interest income and expense consist primarily of interest on the Temasek debt facility, debt discount amortization, and financing lease interest expense offset by interest income earned. The Company recognized interest and debt discount amortization expense of $6.9 million and $11.3 million during the three months ended October 31, 2024 and 2023, respectively, and $20.1 million and $32.4 million during the nine months ended October 31, 2024 and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Interim Impairment Evaluation</w:t>
      </w:r>
    </w:p>
    <w:p>
      <w:pPr>
        <w:spacing w:after="0" w:line="117"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During the year ended January 31, 2024, the Company concluded a triggering event had occurred during the third quarter of fiscal year 2023 due to a decline in the Company’s stock price. The Company performed a quantitative assessment and concluded the undiscounted cash flows expected to be generated by the use and eventual disposition of the Company’s long-lived assets exceeded their carrying values. Therefore, no impairment was recognized for the three months ended October 31, 2023 and year ended January 31, 2024. The Company has concluded there were no triggering events as of October 31, 2024.</w:t>
      </w:r>
    </w:p>
    <w:p>
      <w:pPr>
        <w:spacing w:after="0" w:line="179" w:lineRule="exact"/>
        <w:rPr>
          <w:sz w:val="20"/>
          <w:szCs w:val="20"/>
          <w:color w:val="auto"/>
        </w:rPr>
      </w:pPr>
    </w:p>
    <w:p>
      <w:pPr>
        <w:ind w:left="500" w:right="4600"/>
        <w:spacing w:after="0" w:line="375" w:lineRule="auto"/>
        <w:rPr>
          <w:sz w:val="20"/>
          <w:szCs w:val="20"/>
          <w:color w:val="auto"/>
        </w:rPr>
      </w:pPr>
      <w:r>
        <w:rPr>
          <w:rFonts w:ascii="Arial" w:cs="Arial" w:eastAsia="Arial" w:hAnsi="Arial"/>
          <w:sz w:val="18"/>
          <w:szCs w:val="18"/>
          <w:b w:val="1"/>
          <w:bCs w:val="1"/>
          <w:color w:val="auto"/>
        </w:rPr>
        <w:t xml:space="preserve">Recently Issued and Adopted Accounting Pronouncements </w:t>
      </w:r>
      <w:r>
        <w:rPr>
          <w:rFonts w:ascii="Arial" w:cs="Arial" w:eastAsia="Arial" w:hAnsi="Arial"/>
          <w:sz w:val="18"/>
          <w:szCs w:val="18"/>
          <w:i w:val="1"/>
          <w:iCs w:val="1"/>
          <w:u w:val="single" w:color="auto"/>
          <w:color w:val="auto"/>
        </w:rPr>
        <w:t xml:space="preserve">Recently Adopted Accounting Pronouncements </w:t>
      </w:r>
      <w:r>
        <w:rPr>
          <w:rFonts w:ascii="Arial" w:cs="Arial" w:eastAsia="Arial" w:hAnsi="Arial"/>
          <w:sz w:val="18"/>
          <w:szCs w:val="18"/>
          <w:i w:val="1"/>
          <w:iCs w:val="1"/>
          <w:color w:val="auto"/>
        </w:rPr>
        <w:t>Debt - Debt with Conversion and Other Options and Derivatives and Hedging</w:t>
      </w:r>
    </w:p>
    <w:p>
      <w:pPr>
        <w:spacing w:after="0" w:line="2"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Company adopted this standard on February 1, 2024, and the adoption of this standard did not have a material impact on the condensed consolidated financial statements.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Statement - Reporting Comprehensive Income - Expense Disaggregation Disclosures</w:t>
      </w:r>
    </w:p>
    <w:p>
      <w:pPr>
        <w:spacing w:after="0" w:line="115"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w:t>
      </w:r>
      <w:r>
        <w:rPr>
          <w:rFonts w:ascii="Arial" w:cs="Arial" w:eastAsia="Arial" w:hAnsi="Arial"/>
          <w:sz w:val="18"/>
          <w:szCs w:val="18"/>
          <w:color w:val="auto"/>
        </w:rPr>
        <w:t>. The amendments require disclosure of additional information about specific expense categories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the financial statements. This standard is effective for annual reporting periods beginning after December 15, 2026, and interim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to improve reportable segment disclosure requirements primarily through enhanced disclosures about significant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This standard is effective for fiscal years beginning after December 15, 2023, and interim periods in fiscal years beginning after December 15, 2024. The ASU must be applied retrospectively for all periods presented in the financial statements. Early adoption is permitted. The Company is currently evaluating the impact that the adoption of this standard will have on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1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net losses from operations since inception and has historically relied upon debt and equity financing to fund its operations. The Company has experienced year-over-year revenue growth and a reduction in net losses during the three and nine months ended October 31, 2024 and in fiscal year 2023 and is making progress towards achieving a break-even position after consideration of cash flows from operations plus cash flows generated (used) in investing during the year ending January 31, 2025 as a result of the restructuring actions described below and the Company’s plans to reduce rental product spend in fiscal year 2024 due to rental product depth adjustments in fiscal year 2023 and other investments to align with the overall growth of the business and to comply with the Company’s debt covenants that were amended in December 2023. To the extent the Company is impacted by macroeconomic trends, or other factors, including, but not limited to, lower demand for our business, the Company plans to further reduce fixed and variable costs accordingly and has established plans to preserve existing cash liquidity, which includes additional reductions to labor, operating expenses, and/or capital expenditures.</w:t>
      </w:r>
    </w:p>
    <w:p>
      <w:pPr>
        <w:spacing w:after="0" w:line="7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 history of successfully implementing restructuring plans. The September 2022 restructuring plan generated annual operating expense savings of approximately $27 million (relative to the second quarter of fiscal year 2022 run rate). In January 2024, the Company announced an additional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Actual savings may differ from these estimates. Refer to Note 4, Restructuring and Related Charges, for discussion of the restructuring plans.</w:t>
      </w:r>
    </w:p>
    <w:p>
      <w:pPr>
        <w:spacing w:after="0" w:line="74"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December 1, 2023, the Company entered into a Tenth Amendment to Credit Agreement with Double Helix Pte Ltd. as administrative agent for Temasek Holdings (the “Credit Facility Amendment”) to the 2022 Amended Temasek Facility (as amended by the 2023 Amendment, the “2023 Amended Temasek Facility”). The 2023 Amended Temasek Facility, among other things, modifies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under the 2023 Amended Temasek Facility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w:t>
      </w:r>
    </w:p>
    <w:p>
      <w:pPr>
        <w:spacing w:after="0" w:line="77"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October 31, 2024 and January 31, 2024, the Company held cash and cash equivalents of $74.1 million and $84.0 million, respectively, and long-term debt of $326.7 million and $306.7 million, respectively, with a maturity date of October 2026. In the event that the Company fails to comply with the covenants specified in the 2023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satisfy the $30 million minimum liquidity maintenance covenant and comply with the maximum expenditure covenants under the 2023 Amended Temasek Facility for at least the next twelve months from the date these financial statements are issued.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7740" w:hanging="492"/>
        <w:spacing w:after="0" w:line="389" w:lineRule="auto"/>
        <w:tabs>
          <w:tab w:leader="none" w:pos="48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and Related Charges </w:t>
      </w:r>
      <w:r>
        <w:rPr>
          <w:rFonts w:ascii="Arial" w:cs="Arial" w:eastAsia="Arial" w:hAnsi="Arial"/>
          <w:sz w:val="17"/>
          <w:szCs w:val="17"/>
          <w:b w:val="1"/>
          <w:bCs w:val="1"/>
          <w:i w:val="1"/>
          <w:iCs w:val="1"/>
          <w:color w:val="auto"/>
        </w:rPr>
        <w:t>January 2024 Restructuring Plan</w:t>
      </w:r>
    </w:p>
    <w:p>
      <w:pPr>
        <w:ind w:left="500" w:right="6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68" w:lineRule="exact"/>
        <w:rPr>
          <w:rFonts w:ascii="Arial" w:cs="Arial" w:eastAsia="Arial" w:hAnsi="Arial"/>
          <w:sz w:val="17"/>
          <w:szCs w:val="17"/>
          <w:b w:val="1"/>
          <w:bCs w:val="1"/>
          <w:color w:val="auto"/>
        </w:rPr>
      </w:pPr>
    </w:p>
    <w:p>
      <w:pPr>
        <w:ind w:left="50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Restructuring charges for severance and related costs of $0.2 million were recognized during the nine months ended October 31, 2024 and are reflected in Restructuring charges on the Company’s Condensed Consolidated Statements of Operations. No restructuring charges were recognized during the three months ended October 31, 2024. Restructuring charges for severance and related costs of $2.0 million were recognized during the year ended January 31, 2024 and were reflected in Restructuring charges on the Company’s Consolidated Statements of Operations. Cumulative charges related to severance and related costs incurred to date in connection with the January 2024 restructuring plan were $2.2 million.</w:t>
      </w:r>
    </w:p>
    <w:p>
      <w:pPr>
        <w:spacing w:after="0" w:line="74" w:lineRule="exact"/>
        <w:rPr>
          <w:rFonts w:ascii="Arial" w:cs="Arial" w:eastAsia="Arial" w:hAnsi="Arial"/>
          <w:sz w:val="17"/>
          <w:szCs w:val="17"/>
          <w:b w:val="1"/>
          <w:bCs w:val="1"/>
          <w:color w:val="auto"/>
        </w:rPr>
      </w:pPr>
    </w:p>
    <w:p>
      <w:pPr>
        <w:ind w:left="500" w:right="6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Accrued restructuring charges were $0.2 million and $0.7 million as of October 31, 2024 and January 31, 2024, respectively. The Company may incur additional restructuring charges in the future. The restructuring plan was substantially completed by the end of the second quarter of fiscal year 2024 and is expected to be fully completed by the end of the first quarter of fiscal year 2025.</w:t>
      </w:r>
    </w:p>
    <w:p>
      <w:pPr>
        <w:spacing w:after="0" w:line="62" w:lineRule="exact"/>
        <w:rPr>
          <w:rFonts w:ascii="Arial" w:cs="Arial" w:eastAsia="Arial" w:hAnsi="Arial"/>
          <w:sz w:val="17"/>
          <w:szCs w:val="17"/>
          <w:b w:val="1"/>
          <w:bCs w:val="1"/>
          <w:color w:val="auto"/>
        </w:rPr>
      </w:pPr>
    </w:p>
    <w:p>
      <w:pPr>
        <w:ind w:left="500" w:right="12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 Company recorded asset impairment charges of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w:t>
      </w:r>
    </w:p>
    <w:p>
      <w:pPr>
        <w:spacing w:after="0" w:line="278" w:lineRule="exact"/>
        <w:rPr>
          <w:rFonts w:ascii="Arial" w:cs="Arial" w:eastAsia="Arial" w:hAnsi="Arial"/>
          <w:sz w:val="17"/>
          <w:szCs w:val="17"/>
          <w:b w:val="1"/>
          <w:bCs w:val="1"/>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52" w:lineRule="exact"/>
        <w:rPr>
          <w:rFonts w:ascii="Arial" w:cs="Arial" w:eastAsia="Arial" w:hAnsi="Arial"/>
          <w:sz w:val="18"/>
          <w:szCs w:val="18"/>
          <w:b w:val="1"/>
          <w:bCs w:val="1"/>
          <w:color w:val="auto"/>
        </w:rPr>
      </w:pPr>
    </w:p>
    <w:p>
      <w:pPr>
        <w:ind w:left="50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During the year ended January 31, 2024, the Company amended the operating lease for its fulfillment center at 100 Metro Way in Secaucus, NJ, the terms of which extended the lease for an additional five years to August 31, 2029. The lease modification resulted in an adjustment of $9.9 million to lease liabilities and right-of-use assets. The Company did not exercise its renewal option with respect to its lease for 55 Metro Way in Secaucus, NJ, which expired in accordance with its terms on August 31, 2024.</w:t>
      </w:r>
    </w:p>
    <w:p>
      <w:pPr>
        <w:spacing w:after="0" w:line="176" w:lineRule="exact"/>
        <w:rPr>
          <w:rFonts w:ascii="Arial" w:cs="Arial" w:eastAsia="Arial" w:hAnsi="Arial"/>
          <w:sz w:val="18"/>
          <w:szCs w:val="18"/>
          <w:b w:val="1"/>
          <w:bCs w:val="1"/>
          <w:color w:val="auto"/>
        </w:rPr>
      </w:pPr>
    </w:p>
    <w:p>
      <w:pPr>
        <w:ind w:left="500" w:right="3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October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2024</w:t>
            </w:r>
          </w:p>
        </w:tc>
        <w:tc>
          <w:tcPr>
            <w:tcW w:w="3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3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2026</w:t>
            </w: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2027</w:t>
            </w:r>
          </w:p>
        </w:tc>
        <w:tc>
          <w:tcPr>
            <w:tcW w:w="3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2028</w:t>
            </w: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3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Lease liabilities as of October 31, 2024</w:t>
            </w:r>
          </w:p>
        </w:tc>
        <w:tc>
          <w:tcPr>
            <w:tcW w:w="3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280" w:type="dxa"/>
            <w:vAlign w:val="bottom"/>
            <w:vMerge w:val="restart"/>
          </w:tcPr>
          <w:p>
            <w:pPr>
              <w:jc w:val="right"/>
              <w:ind w:right="221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net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80"/>
        <w:spacing w:after="0" w:line="268"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$ 16.5 million and $15.5 million for the three months ended October 31, 2024 and 2023, respectively, and $47.6 million and $40.4 million for the nine months ended October 31, 2024 and 2023, respectively.</w:t>
      </w:r>
    </w:p>
    <w:p>
      <w:pPr>
        <w:spacing w:after="0" w:line="279" w:lineRule="exact"/>
        <w:rPr>
          <w:sz w:val="20"/>
          <w:szCs w:val="20"/>
          <w:color w:val="auto"/>
        </w:rPr>
      </w:pPr>
    </w:p>
    <w:p>
      <w:pPr>
        <w:ind w:left="500" w:right="9360" w:hanging="492"/>
        <w:spacing w:after="0" w:line="375" w:lineRule="auto"/>
        <w:tabs>
          <w:tab w:leader="none" w:pos="48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long-term debt outstanding as of October 31, 2024 and January 31, 2024:</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468"/>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(Less): unamortized debt premium (discount)</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70"/>
        </w:trPr>
        <w:tc>
          <w:tcPr>
            <w:tcW w:w="718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noncurrent 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2"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84" w:lineRule="exact"/>
        <w:rPr>
          <w:sz w:val="20"/>
          <w:szCs w:val="20"/>
          <w:color w:val="auto"/>
        </w:rPr>
      </w:pPr>
    </w:p>
    <w:p>
      <w:pPr>
        <w:ind w:left="500"/>
        <w:spacing w:after="0" w:line="252" w:lineRule="auto"/>
        <w:rPr>
          <w:sz w:val="20"/>
          <w:szCs w:val="20"/>
          <w:color w:val="auto"/>
        </w:rPr>
      </w:pPr>
      <w:r>
        <w:rPr>
          <w:rFonts w:ascii="Arial" w:cs="Arial" w:eastAsia="Arial" w:hAnsi="Arial"/>
          <w:sz w:val="17"/>
          <w:szCs w:val="17"/>
          <w:color w:val="auto"/>
        </w:rPr>
        <w:t>In December 2023, the Company entered into an amendment to the 2022 Amended Temasek Facility (the “2023 Temasek Facility Amendment”). The 2022 Amended Temasek Facility as further amended by the 2023 Temasek Facility Amendment is referred to as the “2023 Amended Temasek Facility”. 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under the 2023 Amended Temasek Facility from $50 million to $30 million; and (iii) additional covenants requiring the Company to comply with mutually</w:t>
      </w:r>
    </w:p>
    <w:p>
      <w:pPr>
        <w:spacing w:after="0" w:line="2" w:lineRule="exact"/>
        <w:rPr>
          <w:sz w:val="20"/>
          <w:szCs w:val="20"/>
          <w:color w:val="auto"/>
        </w:rPr>
      </w:pPr>
    </w:p>
    <w:p>
      <w:pPr>
        <w:ind w:left="500" w:right="260"/>
        <w:spacing w:after="0"/>
        <w:rPr>
          <w:sz w:val="20"/>
          <w:szCs w:val="20"/>
          <w:color w:val="auto"/>
        </w:rPr>
      </w:pPr>
      <w:r>
        <w:rPr>
          <w:rFonts w:ascii="Arial" w:cs="Arial" w:eastAsia="Arial" w:hAnsi="Arial"/>
          <w:sz w:val="17"/>
          <w:szCs w:val="17"/>
          <w:color w:val="auto"/>
        </w:rPr>
        <w:t>agreed upon quarterly and annual spend levels for rental product capital expenditures, fixed operating expenditures and marketing expenditures during fiscal year 2024 of $51 million, $100 million (excluding $10 million of specified permitted expenditures), and $30</w:t>
      </w:r>
    </w:p>
    <w:p>
      <w:pPr>
        <w:spacing w:after="0" w:line="1" w:lineRule="exact"/>
        <w:rPr>
          <w:sz w:val="20"/>
          <w:szCs w:val="20"/>
          <w:color w:val="auto"/>
        </w:rPr>
      </w:pPr>
    </w:p>
    <w:p>
      <w:pPr>
        <w:ind w:left="500" w:right="120"/>
        <w:spacing w:after="0" w:line="238" w:lineRule="auto"/>
        <w:rPr>
          <w:sz w:val="20"/>
          <w:szCs w:val="20"/>
          <w:color w:val="auto"/>
        </w:rPr>
      </w:pPr>
      <w:r>
        <w:rPr>
          <w:rFonts w:ascii="Arial" w:cs="Arial" w:eastAsia="Arial" w:hAnsi="Arial"/>
          <w:sz w:val="18"/>
          <w:szCs w:val="18"/>
          <w:color w:val="auto"/>
        </w:rPr>
        <w:t>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or premium using the effective interest method over the remaining term of the facility including the six full fiscal quarters during which payment-in-kind and cash interest were eliminated.</w:t>
      </w:r>
    </w:p>
    <w:p>
      <w:pPr>
        <w:spacing w:after="0" w:line="22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82" w:lineRule="exact"/>
        <w:rPr>
          <w:sz w:val="20"/>
          <w:szCs w:val="20"/>
          <w:color w:val="auto"/>
        </w:rPr>
      </w:pPr>
    </w:p>
    <w:p>
      <w:pPr>
        <w:jc w:val="both"/>
        <w:ind w:left="500" w:right="100"/>
        <w:spacing w:after="0" w:line="291" w:lineRule="auto"/>
        <w:rPr>
          <w:sz w:val="20"/>
          <w:szCs w:val="20"/>
          <w:color w:val="auto"/>
        </w:rPr>
      </w:pPr>
      <w:r>
        <w:rPr>
          <w:rFonts w:ascii="Arial" w:cs="Arial" w:eastAsia="Arial" w:hAnsi="Arial"/>
          <w:sz w:val="17"/>
          <w:szCs w:val="17"/>
          <w:color w:val="auto"/>
        </w:rPr>
        <w:t>The Company determined that all of the embedded features of the Temasek Facility, 2021 Amended Temasek Facility, 2022 Amended Temasek Facility, and 2023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covenants as of October 31, 2024 and through the date of this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rFonts w:ascii="Arial" w:cs="Arial" w:eastAsia="Arial" w:hAnsi="Arial"/>
          <w:sz w:val="18"/>
          <w:szCs w:val="18"/>
          <w:b w:val="1"/>
          <w:bCs w:val="1"/>
          <w:color w:val="auto"/>
        </w:rPr>
      </w:pPr>
    </w:p>
    <w:p>
      <w:pPr>
        <w:ind w:left="5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117"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October 31, 2024 and January 31, 2024 was $1.4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77"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52"/>
        </w:trPr>
        <w:tc>
          <w:tcPr>
            <w:tcW w:w="7160" w:type="dxa"/>
            <w:vAlign w:val="bottom"/>
          </w:tcPr>
          <w:p>
            <w:pPr>
              <w:ind w:left="20"/>
              <w:spacing w:after="0"/>
              <w:rPr>
                <w:sz w:val="20"/>
                <w:szCs w:val="20"/>
                <w:color w:val="auto"/>
              </w:rPr>
            </w:pPr>
            <w:r>
              <w:rPr>
                <w:rFonts w:ascii="Arial" w:cs="Arial" w:eastAsia="Arial" w:hAnsi="Arial"/>
                <w:sz w:val="18"/>
                <w:szCs w:val="18"/>
                <w:color w:val="auto"/>
              </w:rPr>
              <w:t>Accrued operating and general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share payable</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financing</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borrowing rate for the short-term financing obligation was 8.80% as of January 31, 2024.</w:t>
      </w:r>
    </w:p>
    <w:p>
      <w:pPr>
        <w:spacing w:after="0" w:line="225"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50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October 31, 2024 and January 31, 2024,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62" w:lineRule="exact"/>
        <w:rPr>
          <w:rFonts w:ascii="Arial" w:cs="Arial" w:eastAsia="Arial" w:hAnsi="Arial"/>
          <w:sz w:val="18"/>
          <w:szCs w:val="18"/>
          <w:b w:val="1"/>
          <w:bCs w:val="1"/>
          <w:color w:val="auto"/>
        </w:rPr>
      </w:pPr>
    </w:p>
    <w:p>
      <w:pPr>
        <w:ind w:left="50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long-term debt is reported at carrying value on the Company’s Condensed Consolidated Balance Sheets. Refer to Note 7 — Long-Term Debt. The Company estimates the fair value of its long-term debt using a discounted cash flow approach based on the Company’s implied credit spread using the higher end of the distribution for option adjusted spreads for similar financial instruments with similar credit ratings, and, as such, long-term debt is classified as Level 3 within the fair value hierarchy. As of October 31, 2024, the estimated fair value of the Company’s long-term debt was $307.5 million.</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right="8940" w:hanging="492"/>
        <w:spacing w:after="0" w:line="397" w:lineRule="auto"/>
        <w:tabs>
          <w:tab w:leader="none" w:pos="484"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Reverse Stock Split</w:t>
      </w:r>
    </w:p>
    <w:p>
      <w:pPr>
        <w:spacing w:after="0" w:line="1"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per share of Class A common stock and Class B common stock remained at $0.001. The Company filed an Amendment to the Twelfth Amended and Restated Certificate of Incorporation with the Secretary of State of the State of Delaware on April 2, 2024 to implement the Reverse Stock Split. All per share amounts and common shares amounts have been adjusted on a retroactive basis to reflect the Reverse Stock Split for all periods. In addition, Class A common stock and Class B common stock decreased by $0.1 million and additional paid-in capital increased by $0.1 million, respectively, in the Condensed Consolidated Statements of Changes in Stockholders’ Equity (Deficit) as of October 31, 2023 and January 31, 2023.</w:t>
      </w:r>
    </w:p>
    <w:p>
      <w:pPr>
        <w:spacing w:after="0" w:line="79" w:lineRule="exact"/>
        <w:rPr>
          <w:rFonts w:ascii="Arial" w:cs="Arial" w:eastAsia="Arial" w:hAnsi="Arial"/>
          <w:sz w:val="17"/>
          <w:szCs w:val="17"/>
          <w:b w:val="1"/>
          <w:bCs w:val="1"/>
          <w:color w:val="auto"/>
        </w:rPr>
      </w:pPr>
    </w:p>
    <w:p>
      <w:pPr>
        <w:ind w:left="500" w:right="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7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Common Stock</w:t>
      </w:r>
    </w:p>
    <w:p>
      <w:pPr>
        <w:spacing w:after="0" w:line="115"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7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15" w:lineRule="exact"/>
        <w:rPr>
          <w:rFonts w:ascii="Arial" w:cs="Arial" w:eastAsia="Arial" w:hAnsi="Arial"/>
          <w:sz w:val="17"/>
          <w:szCs w:val="17"/>
          <w:b w:val="1"/>
          <w:bCs w:val="1"/>
          <w:color w:val="auto"/>
        </w:rPr>
      </w:pPr>
    </w:p>
    <w:p>
      <w:pPr>
        <w:ind w:left="500" w:right="24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October 31,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As of October 31, 2024 and January 31, 2024, the Company had the following outstanding warrants, adjusted on a retroactive basis to reflect the Reverse Stock Split as discussed above:</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Date</w:t>
            </w: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Class of</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2800" w:type="dxa"/>
            <w:vAlign w:val="bottom"/>
          </w:tcPr>
          <w:p>
            <w:pPr>
              <w:ind w:left="72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Issued</w:t>
            </w:r>
          </w:p>
        </w:tc>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 Warrant)</w:t>
            </w:r>
          </w:p>
        </w:tc>
        <w:tc>
          <w:tcPr>
            <w:tcW w:w="22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rPr>
              <w:t>at Issuance</w:t>
            </w:r>
          </w:p>
        </w:tc>
      </w:tr>
      <w:tr>
        <w:trPr>
          <w:trHeight w:val="265"/>
        </w:trPr>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Nov-16</w:t>
            </w:r>
          </w:p>
        </w:tc>
        <w:tc>
          <w:tcPr>
            <w:tcW w:w="134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Sep-17</w:t>
            </w:r>
          </w:p>
        </w:tc>
        <w:tc>
          <w:tcPr>
            <w:tcW w:w="134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Apr-18</w:t>
            </w: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Jun-16</w:t>
            </w:r>
          </w:p>
        </w:tc>
        <w:tc>
          <w:tcPr>
            <w:tcW w:w="13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80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Oct-21</w:t>
            </w:r>
          </w:p>
        </w:tc>
        <w:tc>
          <w:tcPr>
            <w:tcW w:w="1340" w:type="dxa"/>
            <w:vAlign w:val="bottom"/>
          </w:tcPr>
          <w:p>
            <w:pPr>
              <w:jc w:val="right"/>
              <w:spacing w:after="0"/>
              <w:rPr>
                <w:sz w:val="20"/>
                <w:szCs w:val="20"/>
                <w:color w:val="auto"/>
              </w:rPr>
            </w:pPr>
            <w:r>
              <w:rPr>
                <w:rFonts w:ascii="Arial" w:cs="Arial" w:eastAsia="Arial" w:hAnsi="Arial"/>
                <w:sz w:val="18"/>
                <w:szCs w:val="18"/>
                <w:color w:val="auto"/>
              </w:rPr>
              <w:t>19,717</w:t>
            </w:r>
          </w:p>
        </w:tc>
        <w:tc>
          <w:tcPr>
            <w:tcW w:w="100" w:type="dxa"/>
            <w:vAlign w:val="bottom"/>
          </w:tcPr>
          <w:p>
            <w:pPr>
              <w:spacing w:after="0"/>
              <w:rPr>
                <w:sz w:val="21"/>
                <w:szCs w:val="21"/>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1"/>
        </w:trPr>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131,574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500"/>
        <w:spacing w:after="0" w:line="268" w:lineRule="auto"/>
        <w:rPr>
          <w:sz w:val="20"/>
          <w:szCs w:val="20"/>
          <w:color w:val="auto"/>
        </w:rPr>
      </w:pPr>
      <w:r>
        <w:rPr>
          <w:rFonts w:ascii="Arial" w:cs="Arial" w:eastAsia="Arial" w:hAnsi="Arial"/>
          <w:sz w:val="18"/>
          <w:szCs w:val="18"/>
          <w:color w:val="auto"/>
        </w:rPr>
        <w:t>As of October 31, 2024 and January 31, 2024, all outstanding warrants were equity-classified and recorded as additional paid-in capital. Equity-classified contracts are not subsequently remeasured unless reclassification is required from equity to liability classification.</w:t>
      </w:r>
    </w:p>
    <w:p>
      <w:pPr>
        <w:spacing w:after="0" w:line="63" w:lineRule="exact"/>
        <w:rPr>
          <w:sz w:val="20"/>
          <w:szCs w:val="20"/>
          <w:color w:val="auto"/>
        </w:rPr>
      </w:pPr>
    </w:p>
    <w:p>
      <w:pPr>
        <w:jc w:val="both"/>
        <w:ind w:left="500" w:right="100"/>
        <w:spacing w:after="0" w:line="268"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7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3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115"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Amended and Restated 2021 Incentive Award Plan</w:t>
      </w:r>
    </w:p>
    <w:p>
      <w:pPr>
        <w:spacing w:after="0" w:line="11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nine months ended October 31, 2024 and years ended January 31, 2024 and 2023 have a shorter vesting period of one to two years. As of October 31, 2024, there were 219,942 shares of Class A common stock available for issuance under the 2021 Plan. There will not be any further equity grants of Class B common stock.</w:t>
      </w:r>
    </w:p>
    <w:p>
      <w:pPr>
        <w:spacing w:after="0" w:line="77"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nine months ended October 31, 2024 or year ended January 31,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500" w:right="520"/>
        <w:spacing w:after="0" w:line="287" w:lineRule="auto"/>
        <w:rPr>
          <w:sz w:val="20"/>
          <w:szCs w:val="20"/>
          <w:color w:val="auto"/>
        </w:rPr>
      </w:pPr>
      <w:r>
        <w:rPr>
          <w:rFonts w:ascii="Arial" w:cs="Arial" w:eastAsia="Arial" w:hAnsi="Arial"/>
          <w:sz w:val="18"/>
          <w:szCs w:val="18"/>
          <w:color w:val="auto"/>
        </w:rPr>
        <w:t>Stock option activity during the period indicated is as follows, adjusted on a retroactive basis to reflect the Reverse Stock Split as discussed in Note 11, Stockholders’ Equity:</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5"/>
                <w:szCs w:val="15"/>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200" w:type="dxa"/>
            <w:vAlign w:val="bottom"/>
          </w:tcPr>
          <w:p>
            <w:pPr>
              <w:spacing w:after="0"/>
              <w:rPr>
                <w:sz w:val="15"/>
                <w:szCs w:val="15"/>
                <w:color w:val="auto"/>
              </w:rPr>
            </w:pPr>
          </w:p>
        </w:tc>
        <w:tc>
          <w:tcPr>
            <w:tcW w:w="134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5"/>
                <w:szCs w:val="15"/>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r>
      <w:tr>
        <w:trPr>
          <w:trHeight w:val="211"/>
        </w:trPr>
        <w:tc>
          <w:tcPr>
            <w:tcW w:w="42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2024</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42,613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42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October 31, 2024</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34,334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8"/>
                <w:szCs w:val="18"/>
                <w:color w:val="auto"/>
              </w:rPr>
              <w:t>Exercisable as of October 31, 2024</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33,419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ind w:left="500" w:right="100"/>
        <w:spacing w:after="0" w:line="287" w:lineRule="auto"/>
        <w:rPr>
          <w:sz w:val="20"/>
          <w:szCs w:val="20"/>
          <w:color w:val="auto"/>
        </w:rPr>
      </w:pPr>
      <w:r>
        <w:rPr>
          <w:rFonts w:ascii="Arial" w:cs="Arial" w:eastAsia="Arial" w:hAnsi="Arial"/>
          <w:sz w:val="18"/>
          <w:szCs w:val="18"/>
          <w:color w:val="auto"/>
        </w:rPr>
        <w:t>As of October 31, 2024, there was $0.1 million of unrecognized compensation cost related to stock options granted that is expected to be recognized over a weighted average period of 0.87 years.</w:t>
      </w:r>
    </w:p>
    <w:p>
      <w:pPr>
        <w:spacing w:after="0" w:line="166" w:lineRule="exact"/>
        <w:rPr>
          <w:sz w:val="20"/>
          <w:szCs w:val="20"/>
          <w:color w:val="auto"/>
        </w:rPr>
      </w:pPr>
    </w:p>
    <w:p>
      <w:pPr>
        <w:ind w:left="500" w:right="160"/>
        <w:spacing w:after="0" w:line="259" w:lineRule="auto"/>
        <w:rPr>
          <w:sz w:val="20"/>
          <w:szCs w:val="20"/>
          <w:color w:val="auto"/>
        </w:rPr>
      </w:pPr>
      <w:r>
        <w:rPr>
          <w:rFonts w:ascii="Arial" w:cs="Arial" w:eastAsia="Arial" w:hAnsi="Arial"/>
          <w:sz w:val="17"/>
          <w:szCs w:val="17"/>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w:t>
      </w:r>
    </w:p>
    <w:p>
      <w:pPr>
        <w:spacing w:after="0" w:line="1" w:lineRule="exact"/>
        <w:rPr>
          <w:sz w:val="20"/>
          <w:szCs w:val="20"/>
          <w:color w:val="auto"/>
        </w:rPr>
      </w:pPr>
    </w:p>
    <w:p>
      <w:pPr>
        <w:ind w:left="500" w:right="540"/>
        <w:spacing w:after="0"/>
        <w:rPr>
          <w:sz w:val="20"/>
          <w:szCs w:val="20"/>
          <w:color w:val="auto"/>
        </w:rPr>
      </w:pPr>
      <w:r>
        <w:rPr>
          <w:rFonts w:ascii="Arial" w:cs="Arial" w:eastAsia="Arial" w:hAnsi="Arial"/>
          <w:sz w:val="17"/>
          <w:szCs w:val="17"/>
          <w:color w:val="auto"/>
        </w:rPr>
        <w:t>receive Class A common stock. Stock options relating to 331,370 shares of Class A and Class B common stock were forfeited in exchange for 132,546 RSUs which generally vest over two years. The Company will recognize $0.8 million of incremental stock</w:t>
      </w:r>
    </w:p>
    <w:p>
      <w:pPr>
        <w:spacing w:after="0" w:line="1" w:lineRule="exact"/>
        <w:rPr>
          <w:sz w:val="20"/>
          <w:szCs w:val="20"/>
          <w:color w:val="auto"/>
        </w:rPr>
      </w:pPr>
    </w:p>
    <w:p>
      <w:pPr>
        <w:ind w:left="500" w:right="220"/>
        <w:spacing w:after="0" w:line="250" w:lineRule="auto"/>
        <w:rPr>
          <w:sz w:val="20"/>
          <w:szCs w:val="20"/>
          <w:color w:val="auto"/>
        </w:rPr>
      </w:pPr>
      <w:r>
        <w:rPr>
          <w:rFonts w:ascii="Arial" w:cs="Arial" w:eastAsia="Arial" w:hAnsi="Arial"/>
          <w:sz w:val="18"/>
          <w:szCs w:val="18"/>
          <w:color w:val="auto"/>
        </w:rPr>
        <w:t>compensation expense from the RSUs granted as a result of the option exchange which will be recognized over the two year vesting period.</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RSUs activity during the period indicated is as follows, adjusted on a retroactive basis to reflect the Reverse Stock Split as discussed in</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 11, Stockholders’ Equity:</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351,084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Vested/Released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(71,762)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October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As of October 31, 2024, there was $6.0 million of unrecognized compensation cost related to RSUs granted that is expected to be recognized over a weighted average period of 1.2 years. Of the total unrecognized compensation cost, $1.0 million related to RSUs granted as a result of the option exchange.</w:t>
      </w:r>
    </w:p>
    <w:p>
      <w:pPr>
        <w:spacing w:after="0" w:line="171" w:lineRule="exact"/>
        <w:rPr>
          <w:sz w:val="20"/>
          <w:szCs w:val="20"/>
          <w:color w:val="auto"/>
        </w:rPr>
      </w:pPr>
    </w:p>
    <w:p>
      <w:pPr>
        <w:ind w:left="500" w:right="340"/>
        <w:spacing w:after="0" w:line="287" w:lineRule="auto"/>
        <w:rPr>
          <w:sz w:val="20"/>
          <w:szCs w:val="20"/>
          <w:color w:val="auto"/>
        </w:rPr>
      </w:pPr>
      <w:r>
        <w:rPr>
          <w:rFonts w:ascii="Arial" w:cs="Arial" w:eastAsia="Arial" w:hAnsi="Arial"/>
          <w:sz w:val="18"/>
          <w:szCs w:val="18"/>
          <w:color w:val="auto"/>
        </w:rPr>
        <w:t>As of October 31, 2024 and January 31, 2024, there were zero and 43,518 vested and unreleased shares, respectively, included in unvested and outstanding shares in the table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56" w:lineRule="exact"/>
        <w:rPr>
          <w:sz w:val="20"/>
          <w:szCs w:val="20"/>
          <w:color w:val="auto"/>
        </w:rPr>
      </w:pPr>
    </w:p>
    <w:p>
      <w:pPr>
        <w:ind w:left="500" w:right="660"/>
        <w:spacing w:after="0" w:line="287" w:lineRule="auto"/>
        <w:rPr>
          <w:sz w:val="20"/>
          <w:szCs w:val="20"/>
          <w:color w:val="auto"/>
        </w:rPr>
      </w:pPr>
      <w:r>
        <w:rPr>
          <w:rFonts w:ascii="Arial" w:cs="Arial" w:eastAsia="Arial" w:hAnsi="Arial"/>
          <w:sz w:val="18"/>
          <w:szCs w:val="18"/>
          <w:color w:val="auto"/>
        </w:rPr>
        <w:t>The classification of share-based compensation for the three and nine months ended October 31, 2024 and 2023, respectively, presented within each line item of the Condensed Consolidated Statements of Operations is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120" w:type="dxa"/>
            <w:vAlign w:val="bottom"/>
            <w:tcBorders>
              <w:bottom w:val="single" w:sz="8" w:color="CCEEFF"/>
            </w:tcBorders>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Nine Months Ended October 31,</w:t>
            </w:r>
          </w:p>
        </w:tc>
      </w:tr>
      <w:tr>
        <w:trPr>
          <w:trHeight w:val="201"/>
        </w:trPr>
        <w:tc>
          <w:tcPr>
            <w:tcW w:w="4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2023</w:t>
            </w:r>
          </w:p>
        </w:tc>
      </w:tr>
      <w:tr>
        <w:trPr>
          <w:trHeight w:val="265"/>
        </w:trPr>
        <w:tc>
          <w:tcPr>
            <w:tcW w:w="41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0.9</w:t>
            </w:r>
          </w:p>
        </w:tc>
        <w:tc>
          <w:tcPr>
            <w:tcW w:w="80" w:type="dxa"/>
            <w:vAlign w:val="bottom"/>
          </w:tcPr>
          <w:p>
            <w:pPr>
              <w:spacing w:after="0"/>
              <w:rPr>
                <w:sz w:val="23"/>
                <w:szCs w:val="23"/>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w:t>
            </w: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88"/>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recognized $2.4 million of incremental share-based compensation expense in General and administrative expenses during the nine months ended October 31, 2023 due to equity award modifications related to the transition of the Chief Financial Officer role. There was no expense recognized during the three months ended October 31, 2023.</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recognized $0.4 million and $1.2 million of share-based compensation expense during the three and nine months ended</w:t>
      </w:r>
    </w:p>
    <w:p>
      <w:pPr>
        <w:spacing w:after="0" w:line="14" w:lineRule="exact"/>
        <w:rPr>
          <w:sz w:val="20"/>
          <w:szCs w:val="20"/>
          <w:color w:val="auto"/>
        </w:rPr>
      </w:pPr>
    </w:p>
    <w:p>
      <w:pPr>
        <w:ind w:left="500" w:right="440"/>
        <w:spacing w:after="0"/>
        <w:rPr>
          <w:sz w:val="20"/>
          <w:szCs w:val="20"/>
          <w:color w:val="auto"/>
        </w:rPr>
      </w:pPr>
      <w:r>
        <w:rPr>
          <w:rFonts w:ascii="Arial" w:cs="Arial" w:eastAsia="Arial" w:hAnsi="Arial"/>
          <w:sz w:val="17"/>
          <w:szCs w:val="17"/>
          <w:color w:val="auto"/>
        </w:rPr>
        <w:t>October 31, 2024, respectively, and $0.4 million and $0.5 million of share-based compensation expense during the three and nine months ended October 31, 2023, respectively, including incremental share-based compensation expense as a result of the option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exchange discussed above.</w:t>
      </w:r>
    </w:p>
    <w:p>
      <w:pPr>
        <w:spacing w:after="0" w:line="315"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4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68" w:lineRule="exact"/>
        <w:rPr>
          <w:rFonts w:ascii="Arial" w:cs="Arial" w:eastAsia="Arial" w:hAnsi="Arial"/>
          <w:sz w:val="18"/>
          <w:szCs w:val="18"/>
          <w:b w:val="1"/>
          <w:bCs w:val="1"/>
          <w:color w:val="auto"/>
        </w:rPr>
      </w:pPr>
    </w:p>
    <w:p>
      <w:pPr>
        <w:ind w:left="50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adjusted on a retroactive basis to reflect the Reverse Stock Split as discussed in Note 11, Stockholders’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14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500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5000" w:type="dxa"/>
            <w:vAlign w:val="bottom"/>
          </w:tcPr>
          <w:p>
            <w:pPr>
              <w:ind w:left="440"/>
              <w:spacing w:after="0"/>
              <w:rPr>
                <w:sz w:val="20"/>
                <w:szCs w:val="20"/>
                <w:color w:val="auto"/>
              </w:rPr>
            </w:pPr>
            <w:r>
              <w:rPr>
                <w:rFonts w:ascii="Arial" w:cs="Arial" w:eastAsia="Arial" w:hAnsi="Arial"/>
                <w:sz w:val="18"/>
                <w:szCs w:val="18"/>
                <w:color w:val="auto"/>
                <w:w w:val="99"/>
              </w:rPr>
              <w:t>Weighted-average shares used in computing net loss per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0" w:type="dxa"/>
            <w:vAlign w:val="bottom"/>
          </w:tcPr>
          <w:p>
            <w:pPr>
              <w:ind w:left="660"/>
              <w:spacing w:after="0"/>
              <w:rPr>
                <w:sz w:val="20"/>
                <w:szCs w:val="20"/>
                <w:color w:val="auto"/>
              </w:rPr>
            </w:pPr>
            <w:r>
              <w:rPr>
                <w:rFonts w:ascii="Arial" w:cs="Arial" w:eastAsia="Arial" w:hAnsi="Arial"/>
                <w:sz w:val="18"/>
                <w:szCs w:val="18"/>
                <w:color w:val="auto"/>
              </w:rPr>
              <w:t>share attributable to common stockholders, basic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5000" w:type="dxa"/>
            <w:vAlign w:val="bottom"/>
          </w:tcPr>
          <w:p>
            <w:pPr>
              <w:ind w:left="6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3,823,542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3,464,848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3,736,161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3,380,439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5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per share attributable to common stockholders, basic</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00" w:type="dxa"/>
            <w:vAlign w:val="bottom"/>
          </w:tcPr>
          <w:p>
            <w:pPr>
              <w:spacing w:after="0"/>
              <w:rPr>
                <w:sz w:val="22"/>
                <w:szCs w:val="22"/>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300" w:type="dxa"/>
            <w:vAlign w:val="bottom"/>
            <w:gridSpan w:val="2"/>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both"/>
        <w:ind w:left="500" w:right="220"/>
        <w:spacing w:after="0" w:line="268" w:lineRule="auto"/>
        <w:rPr>
          <w:sz w:val="20"/>
          <w:szCs w:val="20"/>
          <w:color w:val="auto"/>
        </w:rPr>
      </w:pPr>
      <w:r>
        <w:rPr>
          <w:rFonts w:ascii="Arial" w:cs="Arial" w:eastAsia="Arial" w:hAnsi="Arial"/>
          <w:sz w:val="18"/>
          <w:szCs w:val="18"/>
          <w:color w:val="auto"/>
        </w:rPr>
        <w:t>The following potentially dilutive outstanding securities based on amounts outstanding at each period end, adjusted on a retroactive basis to reflect the Reverse Stock Split as discussed in Note 11, Stockholders’ Equity, were excluded from the computation of diluted loss per share attributable to common stockholders because including them would have been anti-dilutive:</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33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 October 31,</w:t>
            </w:r>
          </w:p>
        </w:tc>
      </w:tr>
      <w:tr>
        <w:trPr>
          <w:trHeight w:val="223"/>
        </w:trPr>
        <w:tc>
          <w:tcPr>
            <w:tcW w:w="68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44,788</w:t>
            </w: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r>
      <w:tr>
        <w:trPr>
          <w:trHeight w:val="23"/>
        </w:trPr>
        <w:tc>
          <w:tcPr>
            <w:tcW w:w="6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389,526</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479,546</w:t>
            </w:r>
          </w:p>
        </w:tc>
      </w:tr>
      <w:tr>
        <w:trPr>
          <w:trHeight w:val="263"/>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555,434</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655,908</w:t>
            </w:r>
          </w:p>
        </w:tc>
      </w:tr>
      <w:tr>
        <w:trPr>
          <w:trHeight w:val="20"/>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50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October 31, 2024 and January 31, 2024 of $9.0 million and $10.0 million, respectively, primarily to satisfy security deposit requirements on its leases. The restricted cash balances also consisted of letters of credit for rental product purchases and credit card transactions.</w:t>
      </w:r>
    </w:p>
    <w:p>
      <w:pPr>
        <w:spacing w:after="0" w:line="19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15"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the Court issued an order adjourning defendants’ deadline to file an answer to the amended complaint sine die.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80"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Defendants intend to vigorously defend themselves against these claims and believe that they have meritorious defenses to the claims asserted in the complaint.</w:t>
      </w:r>
    </w:p>
    <w:p>
      <w:pPr>
        <w:spacing w:after="0" w:line="291"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7" w:lineRule="exact"/>
        <w:rPr>
          <w:rFonts w:ascii="Arial" w:cs="Arial" w:eastAsia="Arial" w:hAnsi="Arial"/>
          <w:sz w:val="18"/>
          <w:szCs w:val="18"/>
          <w:b w:val="1"/>
          <w:bCs w:val="1"/>
          <w:color w:val="auto"/>
        </w:rPr>
      </w:pPr>
    </w:p>
    <w:p>
      <w:pPr>
        <w:ind w:left="500" w:right="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November 2024, the Company entered into a sublease agreement for the ninth floor of its corporate headquarters in Brooklyn, New York for the remainder of the lease term through November 2032. The sublease commenced in December 2024 and does not relieve the Company of its primary lease obligations. The Company will not record any additional material assets for the sublease and the net amount received from the sublease will be recorded in general and administrative expenses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2024 and the related Management’s Discussion and Analysis of Financial Condition and Results of Operations in our Annual Report on Form 10-K for the fiscal year ended January 31, 2024 (the “2023 Annual Report on Form 10-K”).</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174,511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October 31, 2024. We had 132,518 active subscribers as of October 31, 2024. The majority of our revenue is highly recurring and is generated by our subscribers. For the nine months ended October 31, 2024 and 2023, respectively, 88% and 88% of our total revenue (including Reserve and Resale revenue) was generated by subscribers while they were active or paused.</w:t>
      </w:r>
    </w:p>
    <w:p>
      <w:pPr>
        <w:spacing w:after="0" w:line="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1" w:lineRule="exact"/>
        <w:rPr>
          <w:sz w:val="20"/>
          <w:szCs w:val="20"/>
          <w:color w:val="auto"/>
        </w:rPr>
      </w:pPr>
    </w:p>
    <w:p>
      <w:pPr>
        <w:ind w:right="260" w:firstLine="8"/>
        <w:spacing w:after="0" w:line="195" w:lineRule="auto"/>
        <w:tabs>
          <w:tab w:leader="none" w:pos="138" w:val="left"/>
        </w:tabs>
        <w:numPr>
          <w:ilvl w:val="0"/>
          <w:numId w:val="20"/>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period.</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Restructuring Plan</w:t>
      </w:r>
      <w:r>
        <w:rPr>
          <w:rFonts w:ascii="Arial" w:cs="Arial" w:eastAsia="Arial" w:hAnsi="Arial"/>
          <w:sz w:val="18"/>
          <w:szCs w:val="18"/>
          <w:color w:val="auto"/>
        </w:rPr>
        <w:t>.</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Restructuring charges for severance and related costs of $0.2 million were recognized during the nine months ended October 31, 2024 and are reflected in Restructuring charges on our Condensed Consolidated Statements of Operations. No restructuring charges were recognized during the three months ended October 31, 2024. Restructuring charges for severance and related costs of $2.0 million were recognized during the year ended January 31, 2024 and were reflected in Restructuring charges on our Consolidated Statements of Operations. We may incur additional restructuring charges in the future.</w:t>
      </w:r>
    </w:p>
    <w:p>
      <w:pPr>
        <w:spacing w:after="0" w:line="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recorded asset impairment charges of $ 1.1 million during the quarter and year ended January 31, 2024 related to the discontinuation of a software implementation project in connection with the January 2024 restructuring plan. The charge was reflected in Loss on asset impairment related to restructuring on our Consolidated Statements of Operations.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January 2024 restructuring plan is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The restructuring plan was substantially completed by the end of the second quarter of fiscal year 2024 and is expected to be fully completed by the end of the first quarter of fiscal year 2025.</w:t>
      </w:r>
    </w:p>
    <w:p>
      <w:pPr>
        <w:spacing w:after="0" w:line="6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See Note 4, “Restructuring and Related Charges” in the Notes to the Condensed Consolidated Financial Statements for more details on these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2024, our stockholders approved, and our Board of Directors selected a 1-for-20 reverse stock split of our outstanding shares of Class A common stock and Class B common stock (the “Reverse Stock Split”). The Reverse Stock Split became effective on April 2, 2024 and began trading on a post-split basis on April 3, 2024. Accordingly, all share and per share amounts for all periods presented in the accompanying financial statements and notes thereto have been retroactively adjusted, where applicable, to reflect the Reverse Stock Split. Shares of Class A common stock and Class B common stock underlying outstanding warrants, stock options, and restricted stock units were proportionately decreased and the respective per share value and exercise prices, if applicable, were proportionately adjusted.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Key Fiscal Third Quarter and Recent Business Highlights:</w:t>
      </w:r>
    </w:p>
    <w:p>
      <w:pPr>
        <w:spacing w:after="0" w:line="250" w:lineRule="exact"/>
        <w:rPr>
          <w:sz w:val="20"/>
          <w:szCs w:val="20"/>
          <w:color w:val="auto"/>
        </w:rPr>
      </w:pPr>
    </w:p>
    <w:p>
      <w:pPr>
        <w:ind w:left="500" w:right="80" w:hanging="330"/>
        <w:spacing w:after="0" w:line="257" w:lineRule="auto"/>
        <w:tabs>
          <w:tab w:leader="none" w:pos="49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Improved consumption of cash flows from operations plus cash flows generated (used) in investing of $9 million for the nine months ending October 31, 2024</w:t>
      </w:r>
      <w:r>
        <w:rPr>
          <w:rFonts w:ascii="Arial" w:cs="Arial" w:eastAsia="Arial" w:hAnsi="Arial"/>
          <w:sz w:val="18"/>
          <w:szCs w:val="18"/>
          <w:color w:val="auto"/>
        </w:rPr>
        <w:t>, which is $38 million lower than the nine months ending October 31, 2023 and $61 million lower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nine months ending October 31, 2022.</w:t>
      </w:r>
    </w:p>
    <w:p>
      <w:pPr>
        <w:spacing w:after="0" w:line="1" w:lineRule="exact"/>
        <w:rPr>
          <w:rFonts w:ascii="Arial" w:cs="Arial" w:eastAsia="Arial" w:hAnsi="Arial"/>
          <w:sz w:val="18"/>
          <w:szCs w:val="18"/>
          <w:b w:val="1"/>
          <w:bCs w:val="1"/>
          <w:i w:val="1"/>
          <w:iCs w:val="1"/>
          <w:color w:val="auto"/>
        </w:rPr>
      </w:pPr>
    </w:p>
    <w:p>
      <w:pPr>
        <w:ind w:left="500" w:right="120" w:hanging="330"/>
        <w:spacing w:after="0" w:line="250" w:lineRule="auto"/>
        <w:tabs>
          <w:tab w:leader="none" w:pos="4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Fastest Year over Year Growth in Reserve orders since the first quarter of fiscal year 2022, </w:t>
      </w:r>
      <w:r>
        <w:rPr>
          <w:rFonts w:ascii="Arial" w:cs="Arial" w:eastAsia="Arial" w:hAnsi="Arial"/>
          <w:sz w:val="18"/>
          <w:szCs w:val="18"/>
          <w:color w:val="auto"/>
        </w:rPr>
        <w:t>which we believe is a result of focus</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operational improvements that resulted in increased availability of our highest demanded styles.</w:t>
      </w:r>
    </w:p>
    <w:p>
      <w:pPr>
        <w:ind w:left="500" w:right="280" w:hanging="330"/>
        <w:spacing w:after="0" w:line="250"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Launched New 1-Shipment Subscription Plan </w:t>
      </w:r>
      <w:r>
        <w:rPr>
          <w:rFonts w:ascii="Arial" w:cs="Arial" w:eastAsia="Arial" w:hAnsi="Arial"/>
          <w:sz w:val="18"/>
          <w:szCs w:val="18"/>
          <w:color w:val="auto"/>
        </w:rPr>
        <w:t>offering customers access to the full RTR Subscription closet of marquee designer</w:t>
      </w:r>
      <w:r>
        <w:rPr>
          <w:rFonts w:ascii="Arial" w:cs="Arial" w:eastAsia="Arial" w:hAnsi="Arial"/>
          <w:sz w:val="18"/>
          <w:szCs w:val="18"/>
          <w:b w:val="1"/>
          <w:bCs w:val="1"/>
          <w:color w:val="auto"/>
        </w:rPr>
        <w:t xml:space="preserve"> </w:t>
      </w:r>
      <w:r>
        <w:rPr>
          <w:rFonts w:ascii="Arial" w:cs="Arial" w:eastAsia="Arial" w:hAnsi="Arial"/>
          <w:sz w:val="18"/>
          <w:szCs w:val="18"/>
          <w:color w:val="auto"/>
        </w:rPr>
        <w:t>brands for $119 per month.</w:t>
      </w:r>
    </w:p>
    <w:p>
      <w:pPr>
        <w:ind w:left="500" w:right="160" w:hanging="330"/>
        <w:spacing w:after="0" w:line="250"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Significantly improved SEO </w:t>
      </w:r>
      <w:r>
        <w:rPr>
          <w:rFonts w:ascii="Arial" w:cs="Arial" w:eastAsia="Arial" w:hAnsi="Arial"/>
          <w:sz w:val="18"/>
          <w:szCs w:val="18"/>
          <w:color w:val="auto"/>
        </w:rPr>
        <w:t>resulting in new year-to-date highs in our keyword rankings, which resulted in a sequential quarter over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increase in non-branded traffic.</w:t>
      </w:r>
    </w:p>
    <w:p>
      <w:pPr>
        <w:ind w:left="500" w:right="280" w:hanging="330"/>
        <w:spacing w:after="0" w:line="250"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Launched “</w:t>
      </w:r>
      <w:r>
        <w:rPr>
          <w:rFonts w:ascii="Arial" w:cs="Arial" w:eastAsia="Arial" w:hAnsi="Arial"/>
          <w:sz w:val="18"/>
          <w:szCs w:val="18"/>
          <w:b w:val="1"/>
          <w:bCs w:val="1"/>
          <w:i w:val="1"/>
          <w:iCs w:val="1"/>
          <w:color w:val="auto"/>
        </w:rPr>
        <w:t>Own Nothing, Have Everything</w:t>
      </w:r>
      <w:r>
        <w:rPr>
          <w:rFonts w:ascii="Arial" w:cs="Arial" w:eastAsia="Arial" w:hAnsi="Arial"/>
          <w:sz w:val="18"/>
          <w:szCs w:val="18"/>
          <w:b w:val="1"/>
          <w:bCs w:val="1"/>
          <w:color w:val="auto"/>
        </w:rPr>
        <w:t xml:space="preserve">” brand campaign </w:t>
      </w:r>
      <w:r>
        <w:rPr>
          <w:rFonts w:ascii="Arial" w:cs="Arial" w:eastAsia="Arial" w:hAnsi="Arial"/>
          <w:sz w:val="18"/>
          <w:szCs w:val="18"/>
          <w:color w:val="auto"/>
        </w:rPr>
        <w:t>in conjunction with RTR’s 15 year anniversary in November,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features the authentic stories of real customers.</w:t>
      </w:r>
    </w:p>
    <w:p>
      <w:pPr>
        <w:ind w:left="480" w:hanging="310"/>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Hired Chief Product Officer to transform product strategy </w:t>
      </w:r>
      <w:r>
        <w:rPr>
          <w:rFonts w:ascii="Arial" w:cs="Arial" w:eastAsia="Arial" w:hAnsi="Arial"/>
          <w:sz w:val="18"/>
          <w:szCs w:val="18"/>
          <w:color w:val="auto"/>
        </w:rPr>
        <w:t>and execute on a customer centric product vision to drive growth.</w:t>
      </w:r>
    </w:p>
    <w:p>
      <w:pPr>
        <w:spacing w:after="0" w:line="9" w:lineRule="exact"/>
        <w:rPr>
          <w:rFonts w:ascii="Arial" w:cs="Arial" w:eastAsia="Arial" w:hAnsi="Arial"/>
          <w:sz w:val="18"/>
          <w:szCs w:val="18"/>
          <w:color w:val="auto"/>
        </w:rPr>
      </w:pPr>
    </w:p>
    <w:p>
      <w:pPr>
        <w:ind w:left="500" w:right="40" w:hanging="330"/>
        <w:spacing w:after="0" w:line="258"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Launched Two Season Partnership with Dallas Cowboy Cheerleaders</w:t>
      </w:r>
      <w:r>
        <w:rPr>
          <w:rFonts w:ascii="Arial" w:cs="Arial" w:eastAsia="Arial" w:hAnsi="Arial"/>
          <w:sz w:val="18"/>
          <w:szCs w:val="18"/>
          <w:color w:val="auto"/>
        </w:rPr>
        <w:t>, aimed at showcasing the diverse and multifaceted lives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cheerleaders, demonstrating the key role that RTR plays in helping women look and feel their best, and driving brand awareness in key markets.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31, 2024 and 2023, respectively:</w:t>
      </w:r>
    </w:p>
    <w:p>
      <w:pPr>
        <w:spacing w:after="0" w:line="234"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was $75.9 million and $72.5 million, respectively, representing 4.7% growth year-over-year;</w:t>
      </w:r>
    </w:p>
    <w:p>
      <w:pPr>
        <w:spacing w:after="0" w:line="114" w:lineRule="exact"/>
        <w:rPr>
          <w:rFonts w:ascii="Arial" w:cs="Arial" w:eastAsia="Arial" w:hAnsi="Arial"/>
          <w:sz w:val="18"/>
          <w:szCs w:val="18"/>
          <w:color w:val="auto"/>
        </w:rPr>
      </w:pPr>
    </w:p>
    <w:p>
      <w:pPr>
        <w:ind w:left="740" w:right="300" w:hanging="246"/>
        <w:spacing w:after="0" w:line="232"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132,518 and 131,725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growth of 1% year-over-year;</w:t>
      </w:r>
    </w:p>
    <w:p>
      <w:pPr>
        <w:spacing w:after="0" w:line="84"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130,796 and 134,646 Average Active Subscribers</w:t>
      </w:r>
      <w:r>
        <w:rPr>
          <w:rFonts w:ascii="Arial" w:cs="Arial" w:eastAsia="Arial" w:hAnsi="Arial"/>
          <w:sz w:val="23"/>
          <w:szCs w:val="23"/>
          <w:color w:val="auto"/>
          <w:vertAlign w:val="superscript"/>
        </w:rPr>
        <w:t>3</w:t>
      </w:r>
      <w:r>
        <w:rPr>
          <w:rFonts w:ascii="Arial" w:cs="Arial" w:eastAsia="Arial" w:hAnsi="Arial"/>
          <w:sz w:val="18"/>
          <w:szCs w:val="18"/>
          <w:color w:val="auto"/>
        </w:rPr>
        <w:t>, respectively, representing a change of (3)% year-over-year;</w:t>
      </w:r>
    </w:p>
    <w:p>
      <w:pPr>
        <w:spacing w:after="0" w:line="61"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174,511 and 175,901 ending Total Subscribers (including paused subscribers), respectively, representing a change of (1)% year-over-year;</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was $26.3 million and $25.2 million, respectively, representing a gross margin of 34.7% and 34.8%, respectively;</w:t>
      </w:r>
    </w:p>
    <w:p>
      <w:pPr>
        <w:spacing w:after="0" w:line="117" w:lineRule="exact"/>
        <w:rPr>
          <w:rFonts w:ascii="Arial" w:cs="Arial" w:eastAsia="Arial" w:hAnsi="Arial"/>
          <w:sz w:val="18"/>
          <w:szCs w:val="18"/>
          <w:color w:val="auto"/>
        </w:rPr>
      </w:pPr>
    </w:p>
    <w:p>
      <w:pPr>
        <w:ind w:left="740" w:right="42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Loss was $(18.9) million and $(31.5) million, respectively. Net Loss as a percentage of revenue was (24.9)% and (43.4)%, respectively; and</w:t>
      </w:r>
    </w:p>
    <w:p>
      <w:pPr>
        <w:spacing w:after="0" w:line="44" w:lineRule="exact"/>
        <w:rPr>
          <w:rFonts w:ascii="Arial" w:cs="Arial" w:eastAsia="Arial" w:hAnsi="Arial"/>
          <w:sz w:val="18"/>
          <w:szCs w:val="18"/>
          <w:color w:val="auto"/>
        </w:rPr>
      </w:pPr>
    </w:p>
    <w:p>
      <w:pPr>
        <w:ind w:left="740" w:right="32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was $9.3 million and $3.5 million, respectively, representing an Adjusted EBITDA Margin of 12.3% and 4.8%,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achieved the following operating and financial results for the nine months ended October 31, 2024 and 2023, respectively:</w:t>
      </w:r>
    </w:p>
    <w:p>
      <w:pPr>
        <w:spacing w:after="0" w:line="252"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was $229.8 million and $222.4 million, respectively, representing 3.3% growth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Profit was $87.1 million and $89.8 million, respectively, representing a gross margin of 37.9% and 40.4%, respectively;</w:t>
      </w:r>
    </w:p>
    <w:p>
      <w:pPr>
        <w:spacing w:after="0" w:line="117" w:lineRule="exact"/>
        <w:rPr>
          <w:rFonts w:ascii="Arial" w:cs="Arial" w:eastAsia="Arial" w:hAnsi="Arial"/>
          <w:sz w:val="18"/>
          <w:szCs w:val="18"/>
          <w:color w:val="auto"/>
        </w:rPr>
      </w:pPr>
    </w:p>
    <w:p>
      <w:pPr>
        <w:ind w:left="740" w:right="420" w:hanging="246"/>
        <w:spacing w:after="0" w:line="318" w:lineRule="auto"/>
        <w:tabs>
          <w:tab w:leader="none" w:pos="7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Loss was $(56.5) million and $(88.4) million, respectively. Net Loss as a percentage of revenue was (24.6)% and (39.7)%, respectively, and included $0.2 million of restructuring and related charges for the nine months ended October 31, 2024;</w:t>
      </w:r>
    </w:p>
    <w:p>
      <w:pPr>
        <w:spacing w:after="0" w:line="21" w:lineRule="exact"/>
        <w:rPr>
          <w:rFonts w:ascii="Arial" w:cs="Arial" w:eastAsia="Arial" w:hAnsi="Arial"/>
          <w:sz w:val="17"/>
          <w:szCs w:val="17"/>
          <w:color w:val="auto"/>
        </w:rPr>
      </w:pPr>
    </w:p>
    <w:p>
      <w:pPr>
        <w:ind w:left="740" w:right="12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was $29.5 million and $15.7 million, respectively, representing an Adjusted EBITDA margin of 12.8% and 7.1%, respectively;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$(9.3) million and $(47.3) million, respectively;</w:t>
      </w:r>
    </w:p>
    <w:p>
      <w:pPr>
        <w:spacing w:after="0" w:line="117"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(4.0)% and (21.3)%, respectively;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and Cash Equivalents was $74.1 million and $105.9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generally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4"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9"/>
          <w:szCs w:val="9"/>
          <w:color w:val="auto"/>
        </w:rPr>
      </w:pPr>
      <w:r>
        <w:rPr>
          <w:rFonts w:ascii="Arial" w:cs="Arial" w:eastAsia="Arial" w:hAnsi="Arial"/>
          <w:sz w:val="14"/>
          <w:szCs w:val="14"/>
          <w:color w:val="auto"/>
        </w:rPr>
        <w:t>Active Subscribers is defined as ending total subscribers as of period end, excluding paused subscribers.</w:t>
      </w:r>
    </w:p>
    <w:p>
      <w:pPr>
        <w:spacing w:after="0" w:line="42" w:lineRule="exact"/>
        <w:rPr>
          <w:sz w:val="20"/>
          <w:szCs w:val="20"/>
          <w:color w:val="auto"/>
        </w:rPr>
      </w:pPr>
    </w:p>
    <w:p>
      <w:pPr>
        <w:ind w:firstLine="8"/>
        <w:spacing w:after="0" w:line="222" w:lineRule="auto"/>
        <w:tabs>
          <w:tab w:leader="none" w:pos="9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year 2023, 39% of new items were acquired through Wholesale, 33% through Share by RTR and 28% through Exclusive Designs, compared to 42% Wholesale, 27% Share by RTR and 31% Exclusive Designs in fiscal year 2022. In total, approximately 61% of new items were acquired through Share by RTR and Exclusive Designs, our more capital-efficient channels in fiscal year 2023 and approximately 58% in fiscal year 2022.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 We expect to incur considerably lower Purchases of Rental Product in fiscal year 2024 relative to fiscal year 2023 due to fiscal year 2023 being impacted by the need to make rental product depth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2023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 xml:space="preserve">Ability to Attract and Retain Subscribers and Customers. </w:t>
      </w:r>
      <w:r>
        <w:rPr>
          <w:rFonts w:ascii="Arial" w:cs="Arial" w:eastAsia="Arial" w:hAnsi="Arial"/>
          <w:sz w:val="18"/>
          <w:szCs w:val="18"/>
          <w:color w:val="auto"/>
        </w:rPr>
        <w:t>We believe that we have a significant market opportunity to increase our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subscribers and customers, and that our long-term growth depends in large part on our continued ability to acquire and retain subscribers and customers.</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Customer acquisition is dependent on organic growth, the effectiveness of our paid marketing strategy and the availability of and satisfaction with our rental product. During fiscal year 2024, we have focused on increasing customer awareness of the Rent the Runway brand through brand campaigns, live events, and other initiatives. We have also focused on improving the efficiency of our paid marketing through channel diversification, improved creative content, and other optimizations. Our acquisitions are also reliant on new customer promotions. We expect our promotional spending to be below historical averages in the near to medium term, which is anticipated to reduce subscriber acquisition in the near-term, but support the health of the business over the longer-term. Our promotional strategy is subject to change depending on business and market conditions. In fiscal year 2024, we have focused, and plan to continue to focus, on improving both the availability of and satisfaction with our rental product for our Reserve and Subscription customers.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depth of our rental product purchases to improve rental product in-stock levels. Through the nine months ending October 31, 2024, we have experienced better in-stock rates versus the prior fiscal year and we continue to expect average in-stock rates to be higher for fiscal year 2024 versus fiscal year 2023. Depending on customer demand, units sold, and other factors, in-stock rates in the fourth quarter of fiscal year 2024, while higher than those experienced during the majority of fiscal year 2023, may be below the higher in-stock rates achieved in the fourth quarter of fiscal year 2023. In addition, we are focused on improving the availability of and satisfaction with our rental product by focusing on improved logistics and merchandising. We are also focused on new product features as well as more personal customer service and styling. As a result of these initiatives, we have seen better customer retention for the first three quarters of fiscal year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Ability to Acquire, Manage and Monetize Products Efficiently. </w:t>
      </w:r>
      <w:r>
        <w:rPr>
          <w:rFonts w:ascii="Arial" w:cs="Arial" w:eastAsia="Arial" w:hAnsi="Arial"/>
          <w:sz w:val="18"/>
          <w:szCs w:val="18"/>
          <w:color w:val="auto"/>
        </w:rPr>
        <w:t>Our ability to deliver an elevated experience for our subscribers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that keeps them loyal to RTR depends on us having the right assortment. For example, beginning in fiscal year 2023, we focused on enhancing the availability of rental product on our site by increasing the depths of our buys (i.e. acquiring more units of particular styles) and have continued to pursue this strategy in fiscal year 2024.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2023, approximately 61% of new items were acquired through our more capital efficient non-Wholesale channels, compared to 58% in fiscal year 2022 and 55% in fiscal year 2021. We plan to further increase the percentage of units acquired through Exclusive Designs and Share by RTR on a combined basis in fiscal year 2024. We continuously evaluate our product acquisition mix to maximize our strategic priorities.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2023 was 26% as a result of lower sales and the impact of the adjustment to our rental product depth in fiscal year 2023. Purchases of rental product as a percentage of revenue was 21% and 15% in fiscal year 2022 and 2021, respectively. We anticipate this percentage to decrease in fiscal year 2024 compared with fiscal year 2023 due to higher sales projections and the impact of increasing rental product depth in fiscal year 2023. Due to seasonality factors, we track our progress on purchases of rental product as a percentage of revenue on a full year basis, as quarterly expenditures are not necessarily reflective of full year trends. In addition, we intend to comply with the mutually agreed upon quarterly and annual spend levels for rental product capital expenditures during fiscal year 2024 in our 2023 Amended Temasek Facility.</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increasing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certain of our operating 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Though we anticipate quarterly fluctuations in operating leverage, with these reductions and continuous improvements to our cost structure, we expect our fixed costs to decrease as a percentage of total revenue in fiscal year 2024, and over time we anticipate that our operating costs will grow more slowly than our total revenue on an annual basis. In addition, we intend to comply with the mutually agreed upon quarterly and annual spend levels relating to our operating costs (i.e., fixed operating expenditures and marketing expenditures) during fiscal year 2024 in our 2023 Amended Temasek Facility.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6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2023 Amended Temasek Facility reduces our cash interest payments during fiscal years 2024 and 2025 relative to the original agreement, which we expect to improve our overall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offering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changes in rental product in-stock levels and changes to promotional prices also disrupted typical seasonality. Given continued business changes, our future seasonality may not resemble historical trends.</w:t>
      </w:r>
    </w:p>
    <w:p>
      <w:pPr>
        <w:spacing w:after="0" w:line="7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 and Consumer Environment on Our Business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remains significant uncertainty in the current macroeconomic and consumer environment, driven by several factors, including inflationary pressures, higher interest rates, potential risk of recession, ongoing industry-wide supply chain issues, instability in the financial system, the wars in Ukraine and the Middle East and COVID-19. These factors have impacted, and are expected to continue to impact, consumer discretionary spending and purchasing behavior, price sensitivity, wage rates, transportation costs, and other costs associated with our business.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fiscal year 2023 and the first quarter of fiscal year 2024 to attract and retain talent at our fulfillment centers and we expect to continue to be impacted by rising labor costs in the future. We also expect transportation costs to decrease as a percentage of sales in fiscal year 2024 on an annual basis due to transportation efficiencies and the impact of our September 2023 transportation contract with a major national carrier, notwithstanding an anticipated increase in the fourth quarter of fiscal year 2024. While we expect to be able to reduce transportation costs as a percentage of sales for fiscal year 2024,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6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For additional details about key factors affecting our performance, see our 2023 Annual Report on Form 10-K and Part II, Item 1A, “Risk Factors” of this Quarterly Report on Form 10-Q.</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considered in conjunction with other metrics and components of our results of operations, such as each of the other key business and financial metrics, and our revenue and net loss.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7"/>
                <w:szCs w:val="17"/>
                <w:color w:val="auto"/>
              </w:rPr>
            </w:pPr>
          </w:p>
        </w:tc>
        <w:tc>
          <w:tcPr>
            <w:tcW w:w="280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Nine Months Ended October 31,</w:t>
            </w:r>
          </w:p>
        </w:tc>
      </w:tr>
      <w:tr>
        <w:trPr>
          <w:trHeight w:val="196"/>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r>
      <w:tr>
        <w:trPr>
          <w:trHeight w:val="19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7"/>
                <w:szCs w:val="17"/>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132,518</w:t>
            </w: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132,518</w:t>
            </w: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131,725</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Average Active Subscribers</w:t>
            </w:r>
          </w:p>
        </w:tc>
        <w:tc>
          <w:tcPr>
            <w:tcW w:w="26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130,796</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134,715</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134,646</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9.3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400" w:hanging="332"/>
        <w:spacing w:after="0" w:line="285"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10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October 31, 2024, we had 132,518 Active Subscribers, up from 131,725 as of October 31, 2023. The increase in active subscribers was driven by improved subscriber retention during the quarter compared to the same quarter last year. The increase was partially offset by slightly lower acquisitions.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Average Active Subscribers: </w:t>
      </w:r>
      <w:r>
        <w:rPr>
          <w:rFonts w:ascii="Arial" w:cs="Arial" w:eastAsia="Arial" w:hAnsi="Arial"/>
          <w:sz w:val="18"/>
          <w:szCs w:val="18"/>
          <w:color w:val="auto"/>
        </w:rPr>
        <w:t>Average Active Subscribers represents the mean of the beginning of quarter and end of quarter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for a quarterly period; and for other periods, represents the mean of the Average Active Subscribers of every quarter within that period. As of October 31, 2024, we had 130,796 Average Active Subscribers, down from 134,646 as of October 31, 2023. The decline in average active subscribers was primarily due to a change in promotional strategy during the second quarter of fiscal year 2024 versus the same quarter last year.</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costs related to activities to fulfill customer orders and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Gross Profit was $ 26.3 million for the three months ended October 31, 2024 compared to $25.2 million for the three months ended October 31, 2023, representing Gross Margins of 34.7% and 34.8%, respectively. Gross Profit was $87.1 million for the nine months ended October 31, 2024 compared to $89.8 million for the nine months ended October 31, 2023 representing Gross Margins of 37.9% and 40.4%, respectively. Gross Profit and Gross Margin for the three and nine months ended October 31, 2024 decreased due to the impact of higher rental product depreciation and revenue share costs as a percentage of sales, partially offset by lower fulfillment costs as a percentage of sales. We will seek to continue to drive fulfillment and operational efficiency gains over time and strategically evolve our mix of revenue and product acquisition to offset cost increases.</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assets, non-recurring adjustments, non-ordinary course legal expenses, restructuring charges, income tax (benefit) expense, other income and expense, and other gains / losses. Adjusted EBITDA margin is defined as Adjusted EBITDA calculated as a percentage of total revenue, net for a period.</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Adjusted EBITDA was $9.3 million for the three months ended October 31, 2024 compared to $3.5 million for the three months ended October 31, 2023, representing margins of 12.3% and 4.8%, respectively. Adjusted EBITDA was $29.5 million for the nine months ended October 31, 2024 compared to $15.7 million for the nine months ended October 31, 2023, representing margins of 12.8% and 7.1%, respectively. Adjusted EBITDA Margin improved year over year due to our fixed cost reduction efforts, higher revenue and lower fulfillment costs partially offset by higher revenue share payments due to a greater proportion of revenue share units.</w:t>
      </w:r>
    </w:p>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believe we have the opportunity to improve Adjusted EBITDA and offset cost increases as we increase revenue and drive fulfillment and operational efficiency gains and operating expense leverage. In particular, we expect our January 2024 restructuring plan to significantly reduce fixed costs and improve operating expense leverage in fiscal year 2024 compared to fiscal year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Our total revenue, net consists of Subscription and Reserve rental revenue and Other revenue. Total revenue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promotional discounts, credits and refunds and taxes.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3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b w:val="1"/>
          <w:bCs w:val="1"/>
          <w:i w:val="1"/>
          <w:iCs w:val="1"/>
          <w:color w:val="auto"/>
        </w:rPr>
        <w:t xml:space="preserve">Fulfillment. </w:t>
      </w:r>
      <w:r>
        <w:rPr>
          <w:rFonts w:ascii="Arial" w:cs="Arial" w:eastAsia="Arial" w:hAnsi="Arial"/>
          <w:sz w:val="17"/>
          <w:szCs w:val="17"/>
          <w:color w:val="auto"/>
        </w:rPr>
        <w:t>Fulfillment expenses consist of all costs to receive, process and fulfill customer orders. This primarily includes shipping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market which could lead to continued higher wage rates. We expect to continue to invest in automation and other process improvements to support and drive efficiencies in our operations. To the extent we are successful in becoming more efficient in fulfilling orders, and at a</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magnitude that is able to offset long-term increases in shipping costs, wage rates and cleaning/packing supply price increases, we would expect these expenses to decrease as a percentage of total revenue over the longer term.</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2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Marketing expenses unrelated to personnel costs may increase if we increase marketing spend to drive the growth of our business and increase our brand awareness.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consist of all other personnel and related costs for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expense dollars and as a percentage of total revenue in the short term as a result of our restructuring plan.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consist of severance and related costs associated with the January 2024 restructuring plan.</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amortization associated with our 2023 Amended Temasek Facility going forward. The 2023 Amended Temasek Facility eliminates all interest (both payment-in-kind and cash interest) for a period of six full fiscal quarters beginning with the fourth quarter of fiscal year 2023.</w:t>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w:t>
      </w:r>
      <w:r>
        <w:rPr>
          <w:rFonts w:ascii="Arial" w:cs="Arial" w:eastAsia="Arial" w:hAnsi="Arial"/>
          <w:sz w:val="18"/>
          <w:szCs w:val="18"/>
          <w:color w:val="auto"/>
        </w:rPr>
        <w:t>Other income / (expense) consists primarily of proceeds from monetizing tax credits associated with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Irish refundable tax credits.</w:t>
      </w:r>
    </w:p>
    <w:p>
      <w:pPr>
        <w:spacing w:after="0" w:line="2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and foreign taxes. We have established a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40"/>
          </w:cols>
          <w:pgMar w:left="320" w:top="117" w:right="339" w:bottom="1440" w:gutter="0" w:footer="0" w:header="0"/>
        </w:sectPr>
      </w:pPr>
    </w:p>
    <w:p>
      <w:pPr>
        <w:spacing w:after="0" w:line="23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32385</wp:posOffset>
            </wp:positionV>
            <wp:extent cx="17913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49" w:lineRule="exact"/>
        <w:rPr>
          <w:sz w:val="20"/>
          <w:szCs w:val="20"/>
          <w:color w:val="auto"/>
        </w:rPr>
      </w:pPr>
    </w:p>
    <w:p>
      <w:pPr>
        <w:ind w:left="6300"/>
        <w:spacing w:after="0"/>
        <w:tabs>
          <w:tab w:leader="none" w:pos="77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1791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32385</wp:posOffset>
            </wp:positionV>
            <wp:extent cx="16198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49" w:lineRule="exact"/>
        <w:rPr>
          <w:sz w:val="20"/>
          <w:szCs w:val="20"/>
          <w:color w:val="auto"/>
        </w:rPr>
      </w:pPr>
    </w:p>
    <w:p>
      <w:pPr>
        <w:ind w:left="260"/>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1619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 millions)</w:t>
      </w:r>
    </w:p>
    <w:p>
      <w:pPr>
        <w:spacing w:after="0" w:line="35" w:lineRule="exact"/>
        <w:rPr>
          <w:sz w:val="20"/>
          <w:szCs w:val="20"/>
          <w:color w:val="auto"/>
        </w:rPr>
      </w:pPr>
    </w:p>
    <w:p>
      <w:pPr>
        <w:sectPr>
          <w:pgSz w:w="11900" w:h="16838" w:orient="portrait"/>
          <w:cols w:equalWidth="0" w:num="2">
            <w:col w:w="8320" w:space="560"/>
            <w:col w:w="23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578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23"/>
        </w:trPr>
        <w:tc>
          <w:tcPr>
            <w:tcW w:w="5780" w:type="dxa"/>
            <w:vAlign w:val="bottom"/>
          </w:tcPr>
          <w:p>
            <w:pPr>
              <w:ind w:left="1000"/>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 (expense), net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 (expense), net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7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578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2024 and 2023</w:t>
      </w:r>
    </w:p>
    <w:p>
      <w:pPr>
        <w:spacing w:after="0" w:line="115"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i w:val="1"/>
          <w:iCs w:val="1"/>
          <w:color w:val="auto"/>
        </w:rPr>
        <w:t>Total Revenue, Net.</w:t>
      </w:r>
      <w:r>
        <w:rPr>
          <w:sz w:val="20"/>
          <w:szCs w:val="20"/>
          <w:color w:val="auto"/>
        </w:rPr>
        <w:tab/>
      </w:r>
      <w:r>
        <w:rPr>
          <w:rFonts w:ascii="Arial" w:cs="Arial" w:eastAsia="Arial" w:hAnsi="Arial"/>
          <w:sz w:val="17"/>
          <w:szCs w:val="17"/>
          <w:color w:val="auto"/>
        </w:rPr>
        <w:t>Total revenue, net was $75.9 million for the three months ended October 31, 2024, an increase of $3.4 million, or</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4.7%, compared to $72.5 million for the three months ended October 31, 2023. This increase was primarily driven by an increase in Reserve revenue, an increase in the average selling price per unit purchased, and an increase in the units purchased per subscriber. In fiscal year 2024, we expect revenue to increase as we work towards growing our customer base, improving the customer experience and continuing to focus on our resale revenue.</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$66.3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2024, an increase of $1.6 million, or 2.5%, compared to $64.7 million for the three months ended October 31, 2023. This increase was driven by higher Reserve revenue and higher average revenue per subscriber offset by lower average subscribers compared to the same period last year.</w:t>
      </w:r>
    </w:p>
    <w:p>
      <w:pPr>
        <w:spacing w:after="0" w:line="17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$9.6 million for the three months ended October 31, 2024, an increase of $1.8 million, or 23.1%,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$7.8 million for the three months ended October 31, 2023. This increase was primarily driven by an increase in the average selling price per unit and an increase in the units purchased per subscriber. Other revenue represented 12.6% of total revenue, up from 10.8% in the same period last year.</w:t>
      </w:r>
    </w:p>
    <w:p>
      <w:pPr>
        <w:spacing w:after="0" w:line="176"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$89.6 million for the three months ended October 31, 2024, a decrease of</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$(4.8) million, or (5.1)%, compared to $94.4 million for the three months ended October 31, 2023. This decrease was primarily driven by cost savings from the January 2024 restructuring plan, lower share-based compensation expense, and improvement in warehouse labor productivity, which reduced costs compared to the same period last year, offset by higher rental product depreciation and revenue share.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$ 21.4 million for the three months ended October 31, 2024, a decrease of $(0.1) million, or (0.5)%,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28.2% of revenue, compared to $21.5 million for the three months ended October 31, 2023, representing 29.7% of revenue. The decrease in fulfillment dollars and as a percentage of revenue was primarily driven by higher revenue per shipment and processing cost efficiencies that offset an increase in wage rates during the first quarter of fiscal year 2024.</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year 2024, we expect fulfillment expenses as a percentage of total revenue to decrease compared to fiscal year 2023 as a result of anticipated higher revenue per order and continued transportation and processing efficiencies, notwithstanding an anticipated increase in the fourth quarter of fiscal year 2024.</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$8.7 million for the three months ended October 31, 2024, a decrease of $(3.4)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(28.1)%, compared to $12.1 million for the three months ended October 31, 2023. This decrease was driven by cost savings from the January 2024 restructuring plan, other cost saving initiatives and lower share-based compensation expense. We were able to realize these benefits while supporting growth initiatives including enhanced checkout completion and search, fit and discovery experience for the consumer. Technology expenses were 11.5% of revenue for the three months ended October 31, 2024 compared to 16.7% for the same period last year as we saw increased operating leverage with higher revenue and a lower cost base post-restructuring. Technology related share-based compensation expense was $0.4 million for the three months ended October 31, 2024 and was $0.9 million for the same period last year.</w:t>
      </w:r>
    </w:p>
    <w:p>
      <w:pPr>
        <w:spacing w:after="0" w:line="200" w:lineRule="exact"/>
        <w:rPr>
          <w:sz w:val="20"/>
          <w:szCs w:val="20"/>
          <w:color w:val="auto"/>
        </w:rPr>
      </w:pPr>
    </w:p>
    <w:p>
      <w:pPr>
        <w:spacing w:after="0" w:line="22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fiscal year 2024, we expect technology expenses to decrease in dollars and as a percentage of total revenue compared to fiscal year 2023 as a result of our January 2024 restructuring plan and our continued focus on managing costs.</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$7.1 million for the three months ended October 31, 2024, relatively flat compared to $7.1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October 31, 2023. Marketing expenses unrelated to personnel costs were $6.4 million in the three months ended October 31, 2024 and 8.4% of revenue, compared to $6.5 million and 9.0% of total revenue for the same period last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2024, we expect marketing expenses to decrease in dollars and as a percentage of total revenue compared to fiscal year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timing of our marketing expenses during the year will depend in part on the timing of marketing campaigns.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$ 21.2 million for the three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 decrease of $(3.2) million, or (13.1)%, compared to $24.4 million for the three months ended October 31, 2023. This decrease was driven by lower share-based compensation expense and cost savings from the January 2024 restructuring plan. G&amp;A expenses as a percentage of revenue were 27.9%, compared to 33.7% last year, as we saw increased operating leverage with higher revenue and a lower cost base post-restructuring. G&amp;A related share-based compensation expense was $1.8 million for the three months ended October 31, 2024 and was $4.0 million for the three months ended October 31, 2023. The decrease was primarily due to reduced share-based compensation in the current quarter.</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fiscal year 2024, we expect G&amp;A expenses to decrease in dollars and as a percentage of revenue compared to fiscal year 2023 as a result of lower share-based compensation expense and cost savings from the January 2024 restructuring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$28.2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2024, an increase of $2.4 million, or 9.3%, compared to $ 25.8 million for the three months ended October 31, 2023. The increase was primarily driven by higher Share by RTR units acquired, higher base of rental product and an increase in other revenue. Rental product depreciation and revenue share was 37.2% of revenue in the three months ended October 31, 2024, up from 35.6% in the same period last year primarily due to the factors discussed above.</w:t>
      </w:r>
    </w:p>
    <w:p>
      <w:pPr>
        <w:spacing w:after="0" w:line="17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$3.0 million for the three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 decrease of $(0.5) million, or (14.3)%, compared to $3.5 million for the three months ended October 31, 2023. This decrease was primarily driven by lower depreciation associated with machinery and equipment and reusable packaging.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There were no restructuring charges for the three months ended October 31, 2024 for severance and related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January 2024 restructuring plan.</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$(6.1) million for the three months ended October 31, 2024,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$3.9 million, or (39.0)%, compared to $ (10.0) million for the three months ended October 31, 2023. This decrease was driven by lowered paid-in-kind (“PIK”) and cash interest from the 2023 Amended Temasek Facility, partially offset by higher debt discount amortization. Of the $(6.1) million total interest expense in the three months ended October 31, 2024, $0.8 million was the net of cash interest earned, financing lease and other interest and $(6.9) million was debt discount amortization, compared to $(7.8) million of PIK interest, $(0.4) million net of cash interest, financing lease and other interest and $(1.8) million of debt discount amortization in the three months ended October 31, 2023.</w:t>
      </w:r>
    </w:p>
    <w:p>
      <w:pPr>
        <w:spacing w:after="0" w:line="2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fiscal year 2024, we expect interest expense related to the 2023 Amended Temasek Facility to decrease and cash interest expense to be zero.</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$0.9 million for the three months ended October 31, 2024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for the three months ended October 31, 2023. The increase was primarily driven by $1.3 million of monetization of a tax credit during the three months ended October 31, 2024.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2024 and 2023</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$229.8 million for the nine months ended October 31, 2024, an increase of $7.4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compared to $222.4 million for the nine months ended October 31, 2023. This increase was primarily driven by the increase in units purchased per subscriber.</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fiscal year 2024, we expect revenue to increase as we work towards growing our customer base, improving the customer experience and continuing to focus on our resale revenue.</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$200.9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2024, an increase of $1.4 million, or 0.7%, compared to $199.5 million for the nine months ended October 31, 2023. This increase was primarily driven by an increase in Reserve revenue compared to the same period last year.</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$28.9 million for the nine months ended October 31, 2024, an increase of $6.0 million, or 26.2%,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$22.9 million for the nine months ended October 31, 2023. This increase was primarily driven by an increase in the items purchased per subscriber and an increase in the average selling price per unit. Other revenue represented 12.6% of total revenue, up from 10.3% in the same period last year.</w:t>
      </w:r>
    </w:p>
    <w:p>
      <w:pPr>
        <w:spacing w:after="0" w:line="176"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$269.6 million for the nine months ended October 31, 2024, a decrease of</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$(13.5) million, or (4.8)%, compared to $283.1 million for the nine months ended October 31, 2023. This decrease was primarily driven by lower share-based compensation expense, cost savings from the January 2024 restructuring plan, the implementation of our new transportation contract in September 2023 and improvement in warehouse labor productivity, which reduced costs compared to the same period last year, offset by higher rental product depreciation and revenue share.</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$ 62.6 million for the nine months ended October 31, 2024, a decrease of $(3.3) million, or (5.0)%,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27.2% of revenue, compared to $65.9 million for the nine months ended October 31, 2023, representing 29.6% of revenue. The decrease in fulfillment dollars and as a percentage of revenue was primarily driven by transportation and processing cost efficiencies and higher revenue per shipment that offset an increase in wage rates during the first quarter of fiscal year 2024.</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fiscal year 2024, we expect fulfillment expenses as a percentage of total revenue to decrease compared to fiscal year 2023 as a result of anticipated higher revenue per order and continued transportation and processing efficiencies, notwithstanding an anticipated increase in the fourth quarter of fiscal year 2024.</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i w:val="1"/>
          <w:iCs w:val="1"/>
          <w:color w:val="auto"/>
        </w:rPr>
        <w:t>Technology.</w:t>
      </w:r>
      <w:r>
        <w:rPr>
          <w:sz w:val="20"/>
          <w:szCs w:val="20"/>
          <w:color w:val="auto"/>
        </w:rPr>
        <w:tab/>
      </w:r>
      <w:r>
        <w:rPr>
          <w:rFonts w:ascii="Arial" w:cs="Arial" w:eastAsia="Arial" w:hAnsi="Arial"/>
          <w:sz w:val="17"/>
          <w:szCs w:val="17"/>
          <w:color w:val="auto"/>
        </w:rPr>
        <w:t>Technology expenses were $27.0 million for the nine months ended October 31, 2024, a decrease of $(11.1) million, or</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(29.1)%, compared to $38.1 million for the nine months ended October 31, 2023. This decrease was driven by cost savings from the January 2024 restructuring plan, other cost saving initiatives and lower share-based compensation expense. We were able to realize these benefits while supporting growth initiatives including enhanced checkout completion and search, fit and discovery experience for the consumer. Technology expenses were 11.7% of revenue for the nine months ended October 31, 2024 compared to 17.1% for the same period last year as we saw increased operating leverage with higher revenue and a lower cost base post-restructuring. Technology related share-based compensation expense was $1.5 million for the nine months ended October 31, 2024 and was $4.6 million for the same period last year.</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fiscal year 2024, we expect technology expenses to decrease in dollars and as a percentage of total revenue compared to fiscal year 2023 as a result of our January 2024 restructuring plan and our continued focus on managing costs.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$23.9 million for the nine months ended October 31, 2024, a decrease of $(0.7) million, or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$24.6 million for the nine months ended October 31, 2023. This decrease was driven by the timing of our marketing campaigns. Marketing expenses unrelated to personnel costs were $21.7 million in the nine months ended October 31, 2024 and 9.4% of revenue, compared to $22.5 million and 10.1% of total revenue for the same period last year.</w:t>
      </w:r>
    </w:p>
    <w:p>
      <w:pPr>
        <w:spacing w:after="0" w:line="20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In fiscal year 2024, we expect marketing expenses to decrease in dollars compared to fiscal year 2023. The timing of our marketing expenses during the year will depend in part on the timing of marketing campaigns.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$66.2 million for the nine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 decrease of $(10.6) million, or (13.8)%, compared to $76.8 million for the nine months ended October 31, 2023. This decrease was driven by lower share-based compensation expense and cost savings from the January 2024 restructuring plan. G&amp;A expenses as a percentage of revenue were 28.8%, compared to 34.5% last year, as we saw increased operating leverage with higher revenue and a lower cost base post-restructuring. G&amp;A related share-based compensation expense was $6.1 million for the nine months ended October 31, 2024 and was $16.4 million for the nine months ended October 31, 2023. The decrease was primarily due to incremental share-based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compensation expense due to equity award modifications related to the transition of the Chief Financial Officer role in the first quarter of fiscal year 2023 and reduced share-based compensation in the current quarter.</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fiscal year 2024, we expect G&amp;A expenses to decrease in dollars and as a percentage of revenue compared to fiscal year 2023 as a result of lower share-based compensation expense and cost savings from the January 2024 restructuring plan.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$80.1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31, 2024, an increase of $13.4 million, or 20.1%, compared to $66.7 million for the nine months ended October 31, 2023. The increase was primarily driven by higher Share by RTR units acquired, higher base of rental product and an increase in other revenue. Rental product depreciation and revenue share was 34.9% of revenue in the nine months ended October 31, 2024, up from 30.0% in the same period last year primarily due to the factors discussed above.</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$9.6 million for the nine months ended October 31,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 (1.4) million, or (12.7)%, compared to $11.0 million for the nine months ended October 31, 2023. This decrease was primarily driven by lower depreciation and amortization associated with reusable packaging and machinery and equipment.</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were $ 0.2 million for the nine months ended October 31, 2024 for severance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 connection with the January 2024 restructuring plan.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$(17.7) million for the nine months ended October 31, 2024,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$(10.6) million, or (37.5)%, compared to $(28.3) million for the nine months ended October 31, 2023. This decrease was driven by lowered paid-in-kind (“PIK”) and cash interest from the 2023 Amended Temasek Facility, partially offset by higher debt discount amortization. Of the $(17.7) million total interest expense in the nine months ended October 31, 2024, $2.3 million was the net of interest earned, financing lease and other interest and ($20.0) million was debt discount amortization, compared to ($22.5) million of PIK interest, ($0.6) million net of cash interest paid, cash interest earned, financing lease and other interest and ($5.2) million of debt discount amortization in the nine months ended October 31, 2023.</w:t>
      </w:r>
    </w:p>
    <w:p>
      <w:pPr>
        <w:spacing w:after="0" w:line="21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fiscal year 2024, we expect interest expense related to the 2023 Amended Temasek Facility to decrease and cash interest expense to be zero.</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$1.1 million for the nine months ended October 31,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compared to $ 0.3 million for the nine months ended October 31, 2023. The increase was primarily driven by $1.3 million of monetization of a tax credit during the nine months ended October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8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was $9.3 million for the three months ended October 31, 2024 compared to $3.5 million for the three months ended October 31, 2023, representing margins of 12.3% and 4.8%, respectively. Our Adjusted EBITDA was $29.5 million for the nine months ended October 31, 2024 compared to $15.7 million for the nine months ended October 31, 2023, representing margins of 12.8% and 7.1%, respectively. Adjusted EBITDA Margin significantly improved for the three and nine months ended October 31, 2024 due to higher revenue, the impact of</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our fixed cost reduction efforts and lower fulfillment costs partially offset by higher revenue share payments due to a greater proportion of revenue share units.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300" w:type="dxa"/>
            <w:vAlign w:val="bottom"/>
          </w:tcPr>
          <w:p>
            <w:pPr>
              <w:spacing w:after="0"/>
              <w:rPr>
                <w:sz w:val="17"/>
                <w:szCs w:val="17"/>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28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28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28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Non-ordinary course legal fees (6)</w:t>
            </w:r>
          </w:p>
        </w:tc>
        <w:tc>
          <w:tcPr>
            <w:tcW w:w="28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 (7)</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Income tax (benefit) / expense</w:t>
            </w: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expense, net (8)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Other (gains) / losses (9)</w:t>
            </w: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 Margin (10)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60" w:hanging="332"/>
        <w:spacing w:after="0" w:line="219" w:lineRule="auto"/>
        <w:tabs>
          <w:tab w:leader="none" w:pos="33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$6.9 million in the three months ended October 31, 2024, $1.8 million in the three months ended October 31, 2023, $20.0 million in the nine months ended October 31, 2024 and $5.2 million in the nine months ended October 31, 2023.</w:t>
      </w:r>
    </w:p>
    <w:p>
      <w:pPr>
        <w:spacing w:after="0" w:line="9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7"/>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94" w:lineRule="exact"/>
        <w:rPr>
          <w:rFonts w:ascii="Arial" w:cs="Arial" w:eastAsia="Arial" w:hAnsi="Arial"/>
          <w:sz w:val="9"/>
          <w:szCs w:val="9"/>
          <w:color w:val="auto"/>
        </w:rPr>
      </w:pPr>
    </w:p>
    <w:p>
      <w:pPr>
        <w:ind w:left="320" w:hanging="312"/>
        <w:spacing w:after="0"/>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93" w:lineRule="exact"/>
        <w:rPr>
          <w:rFonts w:ascii="Arial" w:cs="Arial" w:eastAsia="Arial" w:hAnsi="Arial"/>
          <w:sz w:val="19"/>
          <w:szCs w:val="19"/>
          <w:color w:val="auto"/>
          <w:vertAlign w:val="superscript"/>
        </w:rPr>
      </w:pPr>
    </w:p>
    <w:p>
      <w:pPr>
        <w:ind w:left="340" w:right="240" w:hanging="332"/>
        <w:spacing w:after="0" w:line="222" w:lineRule="auto"/>
        <w:tabs>
          <w:tab w:leader="none" w:pos="333"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and nine months ended October 31, 2024 includes $0.1 million of costs related to one-time professional fees. Non-recurring adjustments for the three and nine months ended October 31, 2023 includes $0.1 million and $0.6 million, respectively, of costs primarily related to the option exchange.</w:t>
      </w:r>
    </w:p>
    <w:p>
      <w:pPr>
        <w:spacing w:after="0" w:line="94" w:lineRule="exact"/>
        <w:rPr>
          <w:rFonts w:ascii="Arial" w:cs="Arial" w:eastAsia="Arial" w:hAnsi="Arial"/>
          <w:sz w:val="19"/>
          <w:szCs w:val="19"/>
          <w:color w:val="auto"/>
          <w:vertAlign w:val="superscript"/>
        </w:rPr>
      </w:pPr>
    </w:p>
    <w:p>
      <w:pPr>
        <w:ind w:left="340" w:right="160" w:hanging="332"/>
        <w:spacing w:after="0" w:line="305" w:lineRule="auto"/>
        <w:tabs>
          <w:tab w:leader="none" w:pos="333" w:val="left"/>
        </w:tabs>
        <w:numPr>
          <w:ilvl w:val="0"/>
          <w:numId w:val="27"/>
        </w:numPr>
        <w:rPr>
          <w:rFonts w:ascii="Arial" w:cs="Arial" w:eastAsia="Arial" w:hAnsi="Arial"/>
          <w:sz w:val="9"/>
          <w:szCs w:val="9"/>
          <w:color w:val="auto"/>
        </w:rPr>
      </w:pPr>
      <w:r>
        <w:rPr>
          <w:rFonts w:ascii="Arial" w:cs="Arial" w:eastAsia="Arial" w:hAnsi="Arial"/>
          <w:sz w:val="14"/>
          <w:szCs w:val="14"/>
          <w:color w:val="auto"/>
        </w:rPr>
        <w:t>Non-ordinary course legal fees for the three and nine months ended October 31, 2024 includes $0.1 million of costs related to a class action lawsuit. Non-ordinary course legal fees for the three and nine months ended October 31, 2023 includes $0.2 million of costs related to a class action lawsuit.</w:t>
      </w:r>
    </w:p>
    <w:p>
      <w:pPr>
        <w:spacing w:after="0" w:line="21" w:lineRule="exact"/>
        <w:rPr>
          <w:rFonts w:ascii="Arial" w:cs="Arial" w:eastAsia="Arial" w:hAnsi="Arial"/>
          <w:sz w:val="9"/>
          <w:szCs w:val="9"/>
          <w:color w:val="auto"/>
        </w:rPr>
      </w:pPr>
    </w:p>
    <w:p>
      <w:pPr>
        <w:ind w:left="320" w:hanging="312"/>
        <w:spacing w:after="0"/>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79" w:lineRule="exact"/>
        <w:rPr>
          <w:rFonts w:ascii="Arial" w:cs="Arial" w:eastAsia="Arial" w:hAnsi="Arial"/>
          <w:sz w:val="19"/>
          <w:szCs w:val="19"/>
          <w:color w:val="auto"/>
          <w:vertAlign w:val="superscript"/>
        </w:rPr>
      </w:pPr>
    </w:p>
    <w:p>
      <w:pPr>
        <w:ind w:left="340" w:right="200" w:hanging="332"/>
        <w:spacing w:after="0" w:line="305" w:lineRule="auto"/>
        <w:tabs>
          <w:tab w:leader="none" w:pos="333"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21" w:lineRule="exact"/>
        <w:rPr>
          <w:rFonts w:ascii="Arial" w:cs="Arial" w:eastAsia="Arial" w:hAnsi="Arial"/>
          <w:sz w:val="9"/>
          <w:szCs w:val="9"/>
          <w:color w:val="auto"/>
        </w:rPr>
      </w:pPr>
    </w:p>
    <w:p>
      <w:pPr>
        <w:ind w:left="320" w:hanging="312"/>
        <w:spacing w:after="0"/>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October 31, 2024, we had cash and cash equivalents of $ 74.1 million and restricted cash of $9.0 million ($4.6 million current and $4.4 million noncurrent), and an accumulated deficit of $(1,109.6) million.</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October 29, 2021, we closed our IPO, in which we issued and sold 850,000 shares at a public offering price of $420.00 per share. We received net proceeds of $327.3 million after deducting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is a borrower under a loan agreement with Double Helix Pte Ltd., as administrative agent for Temasek Holdings. In January 2023, we entered into an amendment and restatement of such facility (the “2022 Amended Temasek Facility”). The 2022 Amended Temasek Facility extended the maturity date from October 2024 to October 2026, reduced cash interest payments by over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w:t>
      </w:r>
    </w:p>
    <w:p>
      <w:pPr>
        <w:spacing w:after="0" w:line="1"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Temasek Facility. The 2023 Amended Temasek Facility eliminated all interest (payment-in-kind and cash interest) for six full fiscal quarters beginning with the fourth quarter of fiscal year 2023, reduced the minimum liquidity maintenance covenant from $50 million to $30 million,</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and provided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Our total indebtedness as of October 31, 2024 was $326.7 million. For a description of the terms of our current and prior credit agreements, see “Note 7 – Long-Term Debt” in the Notes to the Condensed Consolidated Financial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While we have experienced operating losses and negative cash flow historically, we expect to achieve cash flows from operations plus cash flows generated (used) in investing break-even in fiscal year 2024. We believe our existing cash and cash equivalents, and cash generated from our operations, will be sufficient to sustain our business operations and satisfy the $30 million minimum liquidity maintenance covenant for at least the next twelve months. We also plan to comply with the maximum expenditure covenants under the 2023 Amended Temasek Facility for at least the next twelve months from the date the accompanying financial statements included elsewhere in this Quarterly Report are issued. As noted above, our 2023 Amended Temasek Facility eliminates all interest (both payment-in-kind and cash interest) for a period</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six full fiscal quarters beginning with the fourth quarter of fiscal year 2023. In September 2022, we announced a restructuring plan to reduce costs, streamline our organizational structure and drive operational efficiencies, which generated annual operating expense savings</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of approximately $27 million (relative to the second quarter of fiscal year 2022 run rate) in the four quarters following the September 2022 restructuring.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future capital requirements will depend on many factors, including, but not limited to, demand for our business, rental product spend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or if we fail to comply with the covenants specified in the 2023 Amended Temasek Facility, inclusive of the $30 million minimum liquidity maintenance covenant, we may be required to seek additional capital or restructure or refinance our indebtedness.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On May 28, 2024, we filed a “shelf” registration statement on Form S-3 (Reg. No. 333 -279757) with the SEC, which was declared effective on June 6, 2024. This shelf registration statement, which includes a base prospectus, allows us at any time to offer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we will be able to raise additional capital which could negatively affect our liquidity in the future. In the event that additional financing is required from outside sources, we may not be able to negotiate terms acceptable to us or at all. If this occurs, our repayment obligations</w:t>
      </w:r>
    </w:p>
    <w:p>
      <w:pPr>
        <w:spacing w:after="0" w:line="2" w:lineRule="exact"/>
        <w:rPr>
          <w:sz w:val="20"/>
          <w:szCs w:val="20"/>
          <w:color w:val="auto"/>
        </w:rPr>
      </w:pPr>
    </w:p>
    <w:p>
      <w:pPr>
        <w:jc w:val="both"/>
        <w:ind w:right="320"/>
        <w:spacing w:after="0" w:line="242" w:lineRule="auto"/>
        <w:rPr>
          <w:sz w:val="20"/>
          <w:szCs w:val="20"/>
          <w:color w:val="auto"/>
        </w:rPr>
      </w:pPr>
      <w:r>
        <w:rPr>
          <w:rFonts w:ascii="Arial" w:cs="Arial" w:eastAsia="Arial" w:hAnsi="Arial"/>
          <w:sz w:val="18"/>
          <w:szCs w:val="18"/>
          <w:color w:val="auto"/>
        </w:rPr>
        <w:t>under the 2023 Amended Temasek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October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195"/>
        </w:trPr>
        <w:tc>
          <w:tcPr>
            <w:tcW w:w="8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was $(9.3) million for the nine months ended October 31, 2024 and $(47.3) million for the nine months ended October 31, 2023. The cash consumption of the business was lower in the first three quarters of fiscal year 2024 compared with the same period of fiscal year 2023 primarily due to lower purchases of rental product and improvements in net loss and Adjusted EBITDA compared to the prior period. The sum of net cash used in operating activities and net cash used in investing activities, as a percentage of revenue, was (4.0)% for the nine months ended October 31, 2024 and (21.3)% for the nine months ended October 31, 2023.</w:t>
      </w:r>
    </w:p>
    <w:p>
      <w:pPr>
        <w:spacing w:after="0" w:line="19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Net cash (used in) provided by 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October 31, 2024, net cash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$11.5 million, which consisted of a net loss of $(56.5) million, offset by non-cash charges of $85.6 million, reclassification of the proceeds from the sale of rental product of $20.1 million and a net change of $2.5 million in our operating assets and liabilities. The non-cash</w:t>
      </w:r>
    </w:p>
    <w:p>
      <w:pPr>
        <w:spacing w:after="0" w:line="2"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charges were primarily comprised of $48.2 million of rental product depreciation and write-off expenses, $7.6 million of share-based compensation, $20.0 million of debt discount amortization, and $9.8 million of other fixed and intangible asset depreciation.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October 31, 2023, net cash used in operating activities was $(7.7) million, which consisted of a net loss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$(88.4) million, partially offset by non-cash charges of $99.6 million, reclassification of the proceeds from the sale of rental product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 million and a net change of $(2.7) million in our operating assets and liabilities. The non-cash charges were primarily comprised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$39.5 million of rental product depreciation and write-off expenses, $22.5 million of payment-in-kind interest, $21.1 million of share-based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$5.2 million of debt discount amortization and $11.3 million of other fixed and intangible asset depreciation.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October 31, 2024, net cash used in investing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$(20.8) million, primarily consisting of $(41.4) million of purchases of rental product incurred in the period and $(2.9) million of purchases of fixed and intangible assets. The investment in rental product does not include an additional $(6.7) million of cost for units received in the current period but not yet paid for, but does include $1.4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$20.1 million of proceeds from the sale of owned rental product and $3.4 million of proceeds from the liquidation of rental product.</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the nine months ended October 31, 2023, net cash used in investing activities was $(39.6) million, primarily consisting of $(56.3) million of purchases of rental product incurred in the period and $(3.2) million of purchases of fixed and intangible assets. The investment in rental product did not include the additional $(17.3) million of cost for units received in the current period but not yet paid for, but did include $ 5.4 million of cost for units paid for in the current period but received in the prior period (see Supplemental Cash Flow Information in Part I, Item</w:t>
      </w:r>
    </w:p>
    <w:p>
      <w:pPr>
        <w:spacing w:after="0" w:line="2" w:lineRule="exact"/>
        <w:rPr>
          <w:sz w:val="20"/>
          <w:szCs w:val="20"/>
          <w:color w:val="auto"/>
        </w:rPr>
      </w:pPr>
    </w:p>
    <w:p>
      <w:pPr>
        <w:ind w:right="40" w:firstLine="8"/>
        <w:spacing w:after="0" w:line="255"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(Unaudited)”). The investment in rental product was to support growth in customer demand. The majority of the investment in fixed and intangible assets was related to investments in capitalized technology labor. The cash used in investing activities was partially offset by $16.2 million of proceeds from sales of owned rental products and $3.7 million of proceeds from the liquidation of rental product.</w:t>
      </w:r>
    </w:p>
    <w:p>
      <w:pPr>
        <w:spacing w:after="0" w:line="18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nine months ended October 31, 2024, net cash used in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$(1.6) million, consisting of other financing payments.</w:t>
      </w:r>
    </w:p>
    <w:p>
      <w:pPr>
        <w:spacing w:after="0" w:line="15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During the nine months ended October 31, 2023, net cash used in financing activities was $(0.4) million, consisting of other financing payments.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See Note 7 — Long-Term Debt in the Notes to the Condensed Consolidated Financial Statements for more information. As of October 31, 2024, we had approximately $326.7 million of total debt outstanding, none of which matures within the next 12 months. See “Note 7 — Long-Term Debt” in the Notes to the Condensed Consolidated Financial Statements for more information. See “Note 5 – Leases – Lessee Accounting” in the Notes to the Condensed Consolidated Financial Statements for our minimum fixed lease obligations under existing lease agreements as of October 31, 2024, including the discussion of the extension of our Secaucus lease.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critical accounting estimates are described under the heading “Management’s Discussion and Analysis of Financial Condition and Results of Operations-Critical Accounting Estimates” in our 2023 Annual Report on Form 10-K. In the nine months ended October 31, 2024, there were no material changes to our critical accounting estimates from those discussed in our 2023 Annual Report on Form 10-K except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Impairment Evaluation</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 -lived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Company’s stock price decline during the third quarter of fiscal year 2023, the Company concluded a triggering event had occurred and performed an impairment analysis of its long-lived assets as of October 31, 2023. Based on the quantitative assessment performed, undiscounted cash flows expected to be generated by the use and eventual disposition of the Company’s long-lived assets exceeded their carrying values and therefore no impairment was recognized for the year ended January 31, 2024. The Company has concluded there were no triggering events as of October 31,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quantitative and qualitative disclosures about market risk are described under the heading “Quantitative and Qualitative Disclosures About Market Risk” in our 2023 Annual Report on Form 10-K. In the three months ended October 31, 2024, there were no material changes to our quantitative and qualitative disclosures about market risk from those discussed in our 2023 Annual Report on Form 10-K.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October 31, 2024 because of the material weaknesses in our internal control over financial reporting described below.</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October 31, 2024, these material weaknesses remain unremediated.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October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The information contained in “Note 14 — Commitments and Contingencies” in the Notes to the Condensed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If we are unable to drive future growth or manage our growth effectively, our brand, Company culture, and financial performance may suffer</w:t>
      </w:r>
      <w:r>
        <w:rPr>
          <w:rFonts w:ascii="Arial" w:cs="Arial" w:eastAsia="Arial" w:hAnsi="Arial"/>
          <w:sz w:val="18"/>
          <w:szCs w:val="18"/>
          <w:color w:val="auto"/>
        </w:rPr>
        <w:t>.</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must continue to drive revenue growth to be successful. To effectively drive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decreased year over year in fiscal year 2023 and, although we are focused on growth initiatives, may continue to decline in the future. In addition, our annual revenue was roughly flat year-over-year in fiscal year 2023. We presently anticipate a modest increase in our year-over-year revenue growth rate in fiscal year 2024; however, if our growth rates continue to decline, the perception of our business, financial condition and results of operations by investors and our third-party service providers and brand partners may be adversely affected.</w:t>
      </w:r>
    </w:p>
    <w:p>
      <w:pPr>
        <w:spacing w:after="0" w:line="18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subscription, rental and resale;</w:t>
      </w:r>
    </w:p>
    <w:p>
      <w:pPr>
        <w:spacing w:after="0" w:line="117" w:lineRule="exact"/>
        <w:rPr>
          <w:rFonts w:ascii="Arial" w:cs="Arial" w:eastAsia="Arial" w:hAnsi="Arial"/>
          <w:sz w:val="18"/>
          <w:szCs w:val="18"/>
          <w:color w:val="auto"/>
        </w:rPr>
      </w:pPr>
    </w:p>
    <w:p>
      <w:pPr>
        <w:ind w:left="740" w:right="52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24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customer demand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customers with a high-quality, seamless user experience and order fulfillment, as well as customer service and support that meets their needs;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customers into varying levels of subscription programs at different price points;</w:t>
      </w:r>
    </w:p>
    <w:p>
      <w:pPr>
        <w:spacing w:after="0" w:line="117"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 our website and app performance and successfully identify and acquire, partner or invest in products, technologies, or businesses that we believe could complement or expand our business;</w:t>
      </w:r>
    </w:p>
    <w:p>
      <w:pPr>
        <w:spacing w:after="0" w:line="44" w:lineRule="exact"/>
        <w:rPr>
          <w:rFonts w:ascii="Arial" w:cs="Arial" w:eastAsia="Arial" w:hAnsi="Arial"/>
          <w:sz w:val="18"/>
          <w:szCs w:val="18"/>
          <w:color w:val="auto"/>
        </w:rPr>
      </w:pPr>
    </w:p>
    <w:p>
      <w:pPr>
        <w:ind w:left="740" w:right="24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maintain and grow our Share by RTR and Exclusive Design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effective and efficient in our paid marketing;</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2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 and</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how effectively differentiated our offerings, customer experience and value proposition are from those of our competitors;</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Reserve and Resale offerings and attract and retain customers;</w:t>
      </w:r>
    </w:p>
    <w:p>
      <w:pPr>
        <w:spacing w:after="0" w:line="44"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 and to merchandise it effectively;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acquire products on favorable and efficient terms, including our ability to attract new brand partners and retain existing brand partners in our Share by RTR and Exclusive Design programs;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right="62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our brand, including maintaining favorable brand recognition and effectively marketing our services and value proposition to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1"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recent volatile macroeconomic environment and have seen negative impacts on customer demand at varying levels as a result.</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fluctuate based on our level of investment and success in paid marketing initiatives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 -engaging lapsed and paused customers, retaining existing customers and growing our base of new customers. In addition, in fiscal year 2024, we have been focused on growing traffic and conversion rates and refreshing our lifecycle marketing engine. These efforts are nascent and, although we have seen some positive results, they are preliminary and may not result in a sustained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Paid marketing is a key part of our growth strategy and we anticipate that significant investment in marketing will be required in the future. However, we plan to reduce our marketing spend, particularly in paid marketing, in the fourth quarter of fiscal year 2024, which may result in lower customer acquisitions and, therefore, future revenue. We also utilize promotional pricing to attract customers and subscribers who may have heightened price sensitivity and not be willing to pay full price for our offering when the promotion period expires. In recent quarters, we have reduced promotional pricing for Subscription, which we believe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In addition, it is likely that we will conduct additional experiments and may make changes to our promotions strategy in the future, depending on market conditions and other factors.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continued to experience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5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 and changes in the macroeconomic environment;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 including the effectiveness of our search and discovery tools, merchandising, and rental product availability;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our website and mobile app, including site speed and reliability;</w:t>
      </w:r>
    </w:p>
    <w:p>
      <w:pPr>
        <w:spacing w:after="0" w:line="117" w:lineRule="exact"/>
        <w:rPr>
          <w:rFonts w:ascii="Arial" w:cs="Arial" w:eastAsia="Arial" w:hAnsi="Arial"/>
          <w:sz w:val="18"/>
          <w:szCs w:val="18"/>
          <w:color w:val="auto"/>
        </w:rPr>
      </w:pPr>
    </w:p>
    <w:p>
      <w:pPr>
        <w:ind w:left="740" w:right="18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our investment in marketing and the success of our marketing strategies and tactics, including changes in efficiency of our historic or current customer acquisition methods.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unpredictable nature of COVID-19 or a future outbreak of disease or similar public health concern; and</w:t>
      </w:r>
    </w:p>
    <w:p>
      <w:pPr>
        <w:spacing w:after="0" w:line="117" w:lineRule="exact"/>
        <w:rPr>
          <w:rFonts w:ascii="Arial" w:cs="Arial" w:eastAsia="Arial" w:hAnsi="Arial"/>
          <w:sz w:val="18"/>
          <w:szCs w:val="18"/>
          <w:color w:val="auto"/>
        </w:rPr>
      </w:pPr>
    </w:p>
    <w:p>
      <w:pPr>
        <w:ind w:left="740" w:right="60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customer’s experience and delivering even more value to her, including by adding an extra item to each shipment since the first quarter of fiscal year 2023, increasing the depth of our rental product selection, and emphasizing the value proposition of our offering in</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our marketing materials, among other initiatives; however these or other initiatives to retain customers may not be successful at improving customer satisfaction, subscriber retention and/or revenues and may require additional costs or lead to unanticipated consequences. Even if</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had a net loss of $ (56.5) million and $ (113.2) million for the nine months ended October 31, 2024 and year ended January 31, 2024, respectively, and have in the past had net losses. As of October 31, 2024, we had an accumulated deficit of $(1,109.6)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generate profit depends on our ability to grow customers and revenue and drive operational efficiencies in our business to generate better margins. In fiscal years 2022 and 2023,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68"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 rental product, which impacts rental product depreciation and revenue share expenses;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fulfill customer orders and provide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the engagement, enhance retention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 in technology, including to enhance our website and mobile offerings and functionality;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motivate and retain our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new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generally support a larger customer base; and</w:t>
      </w:r>
    </w:p>
    <w:p>
      <w:pPr>
        <w:spacing w:after="0" w:line="117"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capacity and footprint, and other capital expenditures to support the growth in our business.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92"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have not always predicted our customers’ preferences and acceptance levels of our products with accuracy. We have observed that our customers live, work, socialize and travel differently than they did prior to the COVID-19 pandemic and that these behaviors continue to evolve, which influences what they wear and has made trend predictions challenging. We may misjudge demand and over or under purchase rental product. In addition, external events may disrupt or change customer preferences and behaviors in ways we are not able to anticipate. During the second quarter of 2023, lower rental product depth levels negatively impacted active subscribers, particularly new subscribers, and, since then we have focused our efforts on improving rental product depth levels. Although our in-stock rates have improved on an</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annual basis year-over-year, we anticipate quarterly fluctuations to occur due to the timing of our purchases, seasonality and other factors within our outside of our control, which may negatively impact customer retention and, therefore, revenue. Any future decreases in our rental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product depth levels, including in connection with other business objectives, may negatively impact active subscribers.</w:t>
      </w:r>
    </w:p>
    <w:p>
      <w:pPr>
        <w:spacing w:after="0" w:line="2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86"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15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relying on a single national carrier may impact customer sentiment and satisfaction, which could lead to unanticipated costs and/or have a material adverse effect on our business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or perceive our new 3-day shipping promise as too slow,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shipping delays, or result in an increase in their prices. We have experienced increased shipping costs in recent years, and these costs may increase in the future. In addition, although we have achieved efficiencies in our supply chain operations in recent years, these efficiencies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not be 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offering the ability to return products by dropping off items with our primary third-party shipping vendor, we offer at-home pickup for customers located in multiple markets. Although we have had positive customer feedback and adoption to date, at-home pickup is a newer offering and may not be successful over the long-term.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89"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If we are unable to acquire and manage our products effectively and plan for future expenses, our operating results could be adversely affected.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operating, financial,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w:t>
      </w:r>
    </w:p>
    <w:p>
      <w:pPr>
        <w:spacing w:after="0" w:line="2"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are not able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8"/>
          <w:szCs w:val="18"/>
          <w:color w:val="auto"/>
        </w:rPr>
        <w:t>.</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beta launch), augmented reality, machine learning, or robotics or more generally evolving trends in e-commerce.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99"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and fulfillment operations,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30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7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diverse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8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provide a delightful and effective search and discovery experience for our customers;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44" w:lineRule="exact"/>
        <w:rPr>
          <w:rFonts w:ascii="Arial" w:cs="Arial" w:eastAsia="Arial" w:hAnsi="Arial"/>
          <w:sz w:val="18"/>
          <w:szCs w:val="18"/>
          <w:color w:val="auto"/>
        </w:rPr>
      </w:pPr>
    </w:p>
    <w:p>
      <w:pPr>
        <w:ind w:left="740" w:right="500" w:hanging="246"/>
        <w:spacing w:after="0" w:line="268"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claims related to our e-commerce operations and fulfillment, including 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pricing changes,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economic and market conditions and other adverse global events that negatively impact commerce and consumer behavior and that could lead to inflationary pressures and supply chain disruptions;</w:t>
      </w:r>
    </w:p>
    <w:p>
      <w:pPr>
        <w:spacing w:after="0" w:line="44" w:lineRule="exact"/>
        <w:rPr>
          <w:rFonts w:ascii="Arial" w:cs="Arial" w:eastAsia="Arial" w:hAnsi="Arial"/>
          <w:sz w:val="18"/>
          <w:szCs w:val="18"/>
          <w:color w:val="auto"/>
        </w:rPr>
      </w:pPr>
    </w:p>
    <w:p>
      <w:pPr>
        <w:ind w:left="740" w:right="52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seasonality of our business; and</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We face risks arising from the restructuring of our operations, which could adversely affect our financial condition, results of operations, cash flows, or business reputation.</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have taken and plan to continue to take actions intended to further reduce our cost structure.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68" w:lineRule="exact"/>
        <w:rPr>
          <w:sz w:val="20"/>
          <w:szCs w:val="20"/>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to achieve targeted cost savings and efficiency, and growth, cash flow and profitability goals;</w:t>
      </w:r>
    </w:p>
    <w:p>
      <w:pPr>
        <w:spacing w:after="0" w:line="117"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in employee morale, a negative impact to our corporate culture, and heightened regrettable attrition, including by critical employees, each of which we’ve observed to some extent and are focused on addressing;</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employment claims;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disruption of service or reduction in service standards to customers;</w:t>
      </w:r>
    </w:p>
    <w:p>
      <w:pPr>
        <w:spacing w:after="0" w:line="117" w:lineRule="exact"/>
        <w:rPr>
          <w:rFonts w:ascii="Arial" w:cs="Arial" w:eastAsia="Arial" w:hAnsi="Arial"/>
          <w:sz w:val="18"/>
          <w:szCs w:val="18"/>
          <w:color w:val="auto"/>
        </w:rPr>
      </w:pPr>
    </w:p>
    <w:p>
      <w:pPr>
        <w:ind w:left="740" w:right="28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loss of institutional knowledge and/or employee expertise, which could lead to inefficiencies or business disruptions, some of which may be significant and our efforts to address may not be successful; and</w:t>
      </w:r>
    </w:p>
    <w:p>
      <w:pPr>
        <w:spacing w:after="0" w:line="44" w:lineRule="exact"/>
        <w:rPr>
          <w:rFonts w:ascii="Arial" w:cs="Arial" w:eastAsia="Arial" w:hAnsi="Arial"/>
          <w:sz w:val="18"/>
          <w:szCs w:val="18"/>
          <w:color w:val="auto"/>
        </w:rPr>
      </w:pPr>
    </w:p>
    <w:p>
      <w:pPr>
        <w:ind w:left="740" w:right="1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delay or failure to meet our operational standards, needs, or goals due to fewer employees, including potential single points of failure, or due to reduced or reallocated resources generally.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adversely impact our business and reputation.</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ESG matters generally and with regard to the fashion industry specifically. We expect that this increased focus on ESG considerations will affect some aspects of our operations. For example, we expect to be subject to various disclosure requirements (such as information on greenhouse gas emissions, climate risks, use of offsets, and emissions reduction claims) from the State of California, among other regulations or requirements. These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material adverse effect on our business and financial condition. Furthermore, if our competitors’ corporate responsibility performance is perceived to be greater than ours, we may lose potential or current customers, we may be unable to recruit and retain employees effectively,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potential or current investors may elect to invest with our competitors instead.</w:t>
      </w:r>
    </w:p>
    <w:p>
      <w:pPr>
        <w:spacing w:after="0" w:line="2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Voluntary or required standards and research regarding ESG initiatives could change and become more onerous for both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ESG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industry, which could have a negative impact on our access to and costs of capital. In light of investors’ and other stakeholders’ increased focus on ESG matters, there can be no certainty that we will manage such issues successfully, or that we will successfully meet our</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climate change and related regulatory, customer and investor responses may adversely impact our business.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300"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our success and future growth depend largely upon the continued services of our senior management team, including our Co-Founder, Chief Executive Officer, President and Chair,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levels could increase attrition and make recruiting more difficult. Alternatively, we may be required to increase current compensation levels to attract and retain employees, which could negatively impact our profitability goals. In addition, prospective and existing employees often</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Additionally, in May 2024, the Board approved the Rent the Runway, Inc. Transaction Bonus Plan, which is intended to incentivize performance of key executives and encourage the realization of a qualifying transaction (as defined in the plan). The option exchange and Transaction Bonus Plan, however,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Since then, we have reopened our offices and moved to a hybrid working model for New York City and Galway. We have continued to shift to a more office-centric model in New York City.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90"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w:t>
      </w:r>
    </w:p>
    <w:p>
      <w:pPr>
        <w:jc w:val="both"/>
        <w:ind w:right="80"/>
        <w:spacing w:after="0"/>
        <w:rPr>
          <w:sz w:val="20"/>
          <w:szCs w:val="20"/>
          <w:color w:val="auto"/>
        </w:rPr>
      </w:pPr>
      <w:r>
        <w:rPr>
          <w:rFonts w:ascii="Arial" w:cs="Arial" w:eastAsia="Arial" w:hAnsi="Arial"/>
          <w:sz w:val="17"/>
          <w:szCs w:val="17"/>
          <w:color w:val="auto"/>
        </w:rPr>
        <w:t>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particularly for the key roles described above, our ability to achieve our strategic objectives will be adversely impacted, and our business and future growth prospects will be harmed.</w:t>
      </w:r>
    </w:p>
    <w:p>
      <w:pPr>
        <w:spacing w:after="0" w:line="295"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140" w:hanging="246"/>
        <w:spacing w:after="0" w:line="268"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maintain and/or improve employee morale and engagement in light of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identify, attract, reward, and retain employees who share and further our culture, values, and mission;</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evolving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hybrid working model for employees in Galway and the remote working model for customer service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increasing need to develop expertise in new areas of business that affect 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satisfy our debt obligations, and this capital might not be available on acceptable terms, if at all.</w:t>
      </w:r>
    </w:p>
    <w:p>
      <w:pPr>
        <w:spacing w:after="0" w:line="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 performance and/or current level of indebtedness may adversely impact efforts to raise additional capital. If we are unable to obtain adequate financing or financing on terms satisfactory to us, our ability to support our business growth, and respond to business challenges</w:t>
      </w:r>
    </w:p>
    <w:p>
      <w:pPr>
        <w:spacing w:after="0" w:line="2"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22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9" w:lineRule="exact"/>
        <w:rPr>
          <w:sz w:val="20"/>
          <w:szCs w:val="20"/>
          <w:color w:val="auto"/>
        </w:rPr>
      </w:pPr>
    </w:p>
    <w:p>
      <w:pPr>
        <w:ind w:right="340"/>
        <w:spacing w:after="0" w:line="32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October 31, 2024, we had $ 326.7 million aggregate principal amount of borrowings under a credit facility with Double Helix Pte Ltd. as administrative agent for Temasek Holdings (as subsequently amended, the “2023 Amended Temasek Facility”). The 2023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7 —Long-Term Debt” in the Notes to the Condensed Consolidated Financial Statements for more information on our indebtedness.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Our 2023 Amended Temasek Facility contains financial covenants and other restrictions on our actions that may limit our operational flexibility or otherwise adversely affect our business, financial condition and results of operations.</w:t>
      </w:r>
    </w:p>
    <w:p>
      <w:pPr>
        <w:spacing w:after="0" w:line="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terms of our 2023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2023 Amended Temasek Facility includes a minimum liquidity maintenance covenant of $30 million and provides that the Company may not exceed mutually agreed upon quarterly and annual spend levels for rental product capital, fixed operating, and marketing expenditures during fiscal year 2024 of $51 million, $ 100 million (excluding $10 million of specified permitted expenditures), and $30 million, respectively, on an annual basis, and to-be-agreed levels for fiscal years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2025 and 2026, subject to the debt holders’ consent and certain exceptions. The terms of our 2023 Amended Temasek Facility may restrict our current and future operations and could adversely affect our ability to finance our future operations or capital needs. In addition,</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complying with these covenants may make it more difficult for us to successfully execute our business strategy and compete against companies which are not subject to such restrictions.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2023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r>
        <w:rPr>
          <w:rFonts w:ascii="Arial" w:cs="Arial" w:eastAsia="Arial" w:hAnsi="Arial"/>
          <w:sz w:val="18"/>
          <w:szCs w:val="18"/>
          <w:color w:val="auto"/>
        </w:rPr>
        <w:t>.</w:t>
      </w:r>
    </w:p>
    <w:p>
      <w:pPr>
        <w:spacing w:after="0" w:line="6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identified material weaknesses in our internal control over financial reporting, as described below. As of October 31, 2024,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89"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0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8"/>
          <w:szCs w:val="18"/>
          <w:color w:val="auto"/>
        </w:rPr>
      </w:pPr>
    </w:p>
    <w:p>
      <w:pPr>
        <w:ind w:left="740" w:right="76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line="268"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$1.235 billion or more;</w:t>
      </w:r>
    </w:p>
    <w:p>
      <w:pPr>
        <w:spacing w:after="0" w:line="117" w:lineRule="exact"/>
        <w:rPr>
          <w:rFonts w:ascii="Arial" w:cs="Arial" w:eastAsia="Arial" w:hAnsi="Arial"/>
          <w:sz w:val="18"/>
          <w:szCs w:val="18"/>
          <w:color w:val="auto"/>
        </w:rPr>
      </w:pPr>
    </w:p>
    <w:p>
      <w:pPr>
        <w:ind w:left="740" w:right="62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52" w:lineRule="exact"/>
        <w:rPr>
          <w:sz w:val="20"/>
          <w:szCs w:val="20"/>
          <w:color w:val="auto"/>
        </w:rPr>
      </w:pPr>
    </w:p>
    <w:p>
      <w:pPr>
        <w:ind w:left="80" w:right="120"/>
        <w:spacing w:after="0" w:line="268" w:lineRule="auto"/>
        <w:rPr>
          <w:sz w:val="20"/>
          <w:szCs w:val="20"/>
          <w:color w:val="auto"/>
        </w:rPr>
      </w:pPr>
      <w:r>
        <w:rPr>
          <w:rFonts w:ascii="Arial" w:cs="Arial" w:eastAsia="Arial" w:hAnsi="Arial"/>
          <w:sz w:val="18"/>
          <w:szCs w:val="18"/>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i w:val="1"/>
          <w:iCs w:val="1"/>
          <w:color w:val="auto"/>
        </w:rPr>
        <w:t>The COVID-19 pandemic had a material adverse impact on our business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future pandemics or public health crises may have a similar adverse impact on our business.</w:t>
      </w:r>
    </w:p>
    <w:p>
      <w:pPr>
        <w:spacing w:after="0" w:line="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such as COVID-19, and will continue to reassess our strategy and operational structure on a regular, ongoing basis as the situation evolves.</w:t>
      </w:r>
    </w:p>
    <w:p>
      <w:pPr>
        <w:spacing w:after="0" w:line="292"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 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5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8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30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 Statements for more details about the class action and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13"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For example, third parties have sent us cease and desist letters in connection with our use of marketing and advertising assets,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payment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Virginia, Colorado, Connecticut, and Utah,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18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to communicate with our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1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These laws and regulations are complex and evolving. Despite our efforts, we may be subject to claims that we have violated such laws and regulations based on past, present, and future practices, which could have an adverse impact on our business and reputation, and be costly for us to defend. For example, from time to time, we have reviewed and resolved immaterial permitting issues and compliance notices related to our warehouse operations; however, we cannot guarantee that future matters will continue to be immaterial. Failure to comply with such laws and regulations, which tend to become more stringent over time or failure to obtain or maintain permits necessary for our warehouse operations could, can result in significant fines, penalties, costs, liabilities or restrictions on operations, injunctive relief, civil or criminal</w:t>
      </w:r>
    </w:p>
    <w:p>
      <w:pPr>
        <w:spacing w:after="0" w:line="3"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sanctions, and could expose us to costs of investigation or remediation, as well as tort claims for property damage or personal injury, and could negatively affect our business, financial condition or results of operations. Liability for the improper release or disposal of waste can be</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9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January 31, 2024, we had federal net operating loss carryforwards of $ 631.1 million, $ 152.0 million of which will expire at various times through 2038. Furthermore, we had state net operating loss carryforwards of $ 598.0 million, which will expire at various times through 2041.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In 2024, we completed an update to the prior Section 382 analysis covering the period beginning April 2021 through August 2024. From the study, we concluded we did not experience an ownership change during the analysis period. Although we believe the Section 382 analyses are accurate, any errors in the analyses could impact our conclusions and ability to utilize our NOLs effectively. We may have experienced since August 2024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2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their interpretation;</w:t>
      </w:r>
    </w:p>
    <w:p>
      <w:pPr>
        <w:spacing w:after="0" w:line="117" w:lineRule="exact"/>
        <w:rPr>
          <w:rFonts w:ascii="Arial" w:cs="Arial" w:eastAsia="Arial" w:hAnsi="Arial"/>
          <w:sz w:val="18"/>
          <w:szCs w:val="18"/>
          <w:color w:val="auto"/>
        </w:rPr>
      </w:pPr>
    </w:p>
    <w:p>
      <w:pPr>
        <w:ind w:left="740" w:right="100" w:hanging="246"/>
        <w:spacing w:after="0" w:line="318" w:lineRule="auto"/>
        <w:tabs>
          <w:tab w:leader="none" w:pos="7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18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 not view our brand or financial profile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 missed entirely;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to provide payment processing infrastructure, to accept card payments from customers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Outages or other failures of our payment processors could harm our business and cause customers to lose trust in our payment operations and cause them to discontinue use of our products and services. If the quality or convenience of our payment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93" w:lineRule="exact"/>
        <w:rPr>
          <w:sz w:val="20"/>
          <w:szCs w:val="20"/>
          <w:color w:val="auto"/>
        </w:rPr>
      </w:pPr>
    </w:p>
    <w:p>
      <w:pPr>
        <w:ind w:right="126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8"/>
          <w:szCs w:val="18"/>
          <w:color w:val="auto"/>
        </w:rPr>
        <w:t>.</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products, and APIs, and introduce new advertising products.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 -application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91" w:lineRule="exact"/>
        <w:rPr>
          <w:sz w:val="20"/>
          <w:szCs w:val="20"/>
          <w:color w:val="auto"/>
        </w:rPr>
      </w:pPr>
    </w:p>
    <w:p>
      <w:pPr>
        <w:ind w:right="84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18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the stockholders’ agreement among us and certain stockholders have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Co-Founder, President and Chair,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32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required to meet the continued listing requirements of the Nasdaq Global Market and other Nasdaq rules, including those regarding director independence and independent committee requirements, minimum share price and certain other corporate governance requirements. If we do not meet these continued listing requirements, our Class A common stock could be delisted.</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spacing w:after="0" w:line="19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on March 27, 2024, we received a letter from Nasdaq indicating that we were no longer in compliance with the minimum market value of listed securities of $35,000,000 required for continued listing on The Nasdaq Capital Market (the “Minimum Market Value Rule”). On April 25, 2024, Nasdaq confirmed our transfer to the Nasdaq Global Market and removed the deficiency under the Minimum Market Value Rule.</w:t>
      </w:r>
    </w:p>
    <w:p>
      <w:pPr>
        <w:spacing w:after="0" w:line="2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While we are currently in compliance with the continued listing requirements of The Nasdaq Global Market, there can be no guarantee that we will be able to maintain compliance with these requirements in the future.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63" w:lineRule="exact"/>
        <w:rPr>
          <w:sz w:val="20"/>
          <w:szCs w:val="20"/>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COVID-19 or future pandemics on our business or the fashion industry and sharing economy generally;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securities or industry analysts publish research about our business, or if they publish unfavorable research;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executive officers, directors, and stockholders party to our stockholders’ agreement entered into in connection with our IPO, in the aggregate, beneficially own over 50% of the voting power of our outstanding common stock as of October 31, 2024.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subject to our 2023 Amended Temasek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These factors could also make it more difficult for us to raise additional funds through future offerings of our shares of Class A common stock or other securities.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hanging="246"/>
        <w:spacing w:after="0" w:line="287"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100" w:hanging="246"/>
        <w:spacing w:after="0" w:line="262"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44" w:lineRule="exact"/>
        <w:rPr>
          <w:rFonts w:ascii="Arial" w:cs="Arial" w:eastAsia="Arial" w:hAnsi="Arial"/>
          <w:sz w:val="18"/>
          <w:szCs w:val="18"/>
          <w:color w:val="auto"/>
        </w:rPr>
      </w:pPr>
    </w:p>
    <w:p>
      <w:pPr>
        <w:ind w:left="740" w:right="1020" w:hanging="246"/>
        <w:spacing w:after="0" w:line="287" w:lineRule="auto"/>
        <w:tabs>
          <w:tab w:leader="none" w:pos="7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 w:lineRule="exact"/>
        <w:rPr>
          <w:rFonts w:ascii="Arial" w:cs="Arial" w:eastAsia="Arial" w:hAnsi="Arial"/>
          <w:sz w:val="18"/>
          <w:szCs w:val="18"/>
          <w:color w:val="auto"/>
        </w:rPr>
      </w:pPr>
    </w:p>
    <w:p>
      <w:pPr>
        <w:ind w:left="280" w:hanging="272"/>
        <w:spacing w:after="0" w:line="234" w:lineRule="auto"/>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ind w:firstLine="8"/>
        <w:spacing w:after="0" w:line="250"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three months ended October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0" w:lineRule="exact"/>
        <w:rPr>
          <w:sz w:val="20"/>
          <w:szCs w:val="20"/>
          <w:color w:val="auto"/>
        </w:rPr>
      </w:pPr>
    </w:p>
    <w:p>
      <w:pPr>
        <w:ind w:left="740" w:hanging="246"/>
        <w:spacing w:after="0"/>
        <w:tabs>
          <w:tab w:leader="none" w:pos="740" w:val="left"/>
        </w:tabs>
        <w:numPr>
          <w:ilvl w:val="0"/>
          <w:numId w:val="50"/>
        </w:numPr>
        <w:rPr>
          <w:rFonts w:ascii="Calibri" w:cs="Calibri" w:eastAsia="Calibri" w:hAnsi="Calibri"/>
          <w:sz w:val="20"/>
          <w:szCs w:val="20"/>
          <w:color w:val="auto"/>
        </w:rPr>
      </w:pPr>
      <w:r>
        <w:rPr>
          <w:rFonts w:ascii="Arial" w:cs="Arial" w:eastAsia="Arial" w:hAnsi="Arial"/>
          <w:sz w:val="18"/>
          <w:szCs w:val="18"/>
          <w:color w:val="auto"/>
        </w:rPr>
        <w:t>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34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2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Filed / Furnished</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1"/>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6"/>
          </w:tcPr>
          <w:p>
            <w:pPr>
              <w:spacing w:after="0"/>
              <w:rPr>
                <w:rFonts w:ascii="Arial" w:cs="Arial" w:eastAsia="Arial" w:hAnsi="Arial"/>
                <w:sz w:val="18"/>
                <w:szCs w:val="18"/>
                <w:color w:val="0000FF"/>
                <w:w w:val="99"/>
              </w:rPr>
            </w:pPr>
            <w:hyperlink r:id="rId149">
              <w:r>
                <w:rPr>
                  <w:rFonts w:ascii="Arial" w:cs="Arial" w:eastAsia="Arial" w:hAnsi="Arial"/>
                  <w:sz w:val="18"/>
                  <w:szCs w:val="18"/>
                  <w:color w:val="0000FF"/>
                  <w:w w:val="99"/>
                </w:rPr>
                <w:t>Amended &amp; Restated Certificate of Incorporation</w:t>
              </w:r>
            </w:hyperlink>
          </w:p>
        </w:tc>
        <w:tc>
          <w:tcPr>
            <w:tcW w:w="540" w:type="dxa"/>
            <w:vAlign w:val="bottom"/>
            <w:gridSpan w:val="6"/>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2"/>
          </w:tcPr>
          <w:p>
            <w:pPr>
              <w:spacing w:after="0"/>
              <w:rPr>
                <w:rFonts w:ascii="Arial" w:cs="Arial" w:eastAsia="Arial" w:hAnsi="Arial"/>
                <w:sz w:val="18"/>
                <w:szCs w:val="18"/>
                <w:color w:val="0000FF"/>
              </w:rPr>
            </w:pPr>
            <w:hyperlink r:id="rId150">
              <w:r>
                <w:rPr>
                  <w:rFonts w:ascii="Arial" w:cs="Arial" w:eastAsia="Arial" w:hAnsi="Arial"/>
                  <w:sz w:val="18"/>
                  <w:szCs w:val="18"/>
                  <w:color w:val="0000FF"/>
                </w:rPr>
                <w:t>Certificate of Amendment to Twelfth Amended &amp;</w:t>
              </w:r>
            </w:hyperlink>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04/02/2024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Restated Certificate of Incorporation</w:t>
              </w:r>
            </w:hyperlink>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151">
              <w:r>
                <w:rPr>
                  <w:rFonts w:ascii="Arial" w:cs="Arial" w:eastAsia="Arial" w:hAnsi="Arial"/>
                  <w:sz w:val="18"/>
                  <w:szCs w:val="18"/>
                  <w:color w:val="0000FF"/>
                  <w:w w:val="99"/>
                </w:rPr>
                <w:t>Amended &amp; Restated Bylaws</w:t>
              </w:r>
            </w:hyperlink>
          </w:p>
        </w:tc>
        <w:tc>
          <w:tcPr>
            <w:tcW w:w="540" w:type="dxa"/>
            <w:vAlign w:val="bottom"/>
            <w:tcBorders>
              <w:top w:val="single" w:sz="8" w:color="0000FF"/>
            </w:tcBorders>
          </w:tcPr>
          <w:p>
            <w:pPr>
              <w:spacing w:after="0"/>
              <w:rPr>
                <w:sz w:val="24"/>
                <w:szCs w:val="24"/>
                <w:color w:val="auto"/>
              </w:rPr>
            </w:pPr>
          </w:p>
        </w:tc>
        <w:tc>
          <w:tcPr>
            <w:tcW w:w="1540" w:type="dxa"/>
            <w:vAlign w:val="bottom"/>
            <w:gridSpan w:val="8"/>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940" w:type="dxa"/>
            <w:vAlign w:val="bottom"/>
            <w:tcBorders>
              <w:top w:val="single" w:sz="8" w:color="0000FF"/>
            </w:tcBorders>
            <w:gridSpan w:val="6"/>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880" w:type="dxa"/>
            <w:vAlign w:val="bottom"/>
            <w:tcBorders>
              <w:top w:val="single" w:sz="8" w:color="0000FF"/>
            </w:tcBorders>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600" w:type="dxa"/>
            <w:vAlign w:val="bottom"/>
            <w:tcBorders>
              <w:top w:val="single" w:sz="8" w:color="0000FF"/>
            </w:tcBorders>
            <w:gridSpan w:val="9"/>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0000FF"/>
              </w:rPr>
              <w:t>Certification of Chief Financial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540" w:type="dxa"/>
            <w:vAlign w:val="bottom"/>
            <w:tcBorders>
              <w:top w:val="single" w:sz="8" w:color="0000FF"/>
            </w:tcBorders>
            <w:gridSpan w:val="8"/>
          </w:tcPr>
          <w:p>
            <w:pPr>
              <w:spacing w:after="0"/>
              <w:rPr>
                <w:sz w:val="15"/>
                <w:szCs w:val="15"/>
                <w:color w:val="auto"/>
              </w:rPr>
            </w:pPr>
          </w:p>
        </w:tc>
        <w:tc>
          <w:tcPr>
            <w:tcW w:w="2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12"/>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2"/>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XBRL and contained in Exhibit 101)</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52" w:lineRule="exact"/>
        <w:rPr>
          <w:sz w:val="20"/>
          <w:szCs w:val="20"/>
          <w:color w:val="auto"/>
        </w:rPr>
      </w:pPr>
    </w:p>
    <w:p>
      <w:pPr>
        <w:jc w:val="both"/>
        <w:ind w:right="80" w:firstLine="8"/>
        <w:spacing w:after="0" w:line="268" w:lineRule="auto"/>
        <w:tabs>
          <w:tab w:leader="none" w:pos="1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99" w:name="page100"/>
    <w:bookmarkEnd w:id="99"/>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December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Siddharth Thacker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20"/>
          </w:cols>
          <w:pgMar w:left="320" w:top="1255" w:right="7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740" w:val="left"/>
        </w:tabs>
        <w:rPr>
          <w:sz w:val="20"/>
          <w:szCs w:val="20"/>
          <w:color w:val="auto"/>
        </w:rPr>
      </w:pPr>
      <w:r>
        <w:rPr>
          <w:rFonts w:ascii="Arial" w:cs="Arial" w:eastAsia="Arial" w:hAnsi="Arial"/>
          <w:sz w:val="18"/>
          <w:szCs w:val="18"/>
          <w:color w:val="auto"/>
        </w:rPr>
        <w:t>Date: December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36195</wp:posOffset>
            </wp:positionV>
            <wp:extent cx="3711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20"/>
          </w:cols>
          <w:pgMar w:left="34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Siddharth Thacker, certify that:</w:t>
      </w:r>
    </w:p>
    <w:p>
      <w:pPr>
        <w:spacing w:after="0" w:line="239" w:lineRule="exact"/>
        <w:rPr>
          <w:sz w:val="20"/>
          <w:szCs w:val="20"/>
          <w:color w:val="auto"/>
        </w:rPr>
      </w:pPr>
    </w:p>
    <w:p>
      <w:pPr>
        <w:ind w:left="700" w:hanging="36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820" w:val="left"/>
        </w:tabs>
        <w:rPr>
          <w:sz w:val="20"/>
          <w:szCs w:val="20"/>
          <w:color w:val="auto"/>
        </w:rPr>
      </w:pPr>
      <w:r>
        <w:rPr>
          <w:rFonts w:ascii="Arial" w:cs="Arial" w:eastAsia="Arial" w:hAnsi="Arial"/>
          <w:sz w:val="18"/>
          <w:szCs w:val="18"/>
          <w:color w:val="auto"/>
        </w:rPr>
        <w:t>Date: December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34925</wp:posOffset>
            </wp:positionV>
            <wp:extent cx="3711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20"/>
          </w:cols>
          <w:pgMar w:left="34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October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900" w:val="left"/>
        </w:tabs>
        <w:rPr>
          <w:sz w:val="20"/>
          <w:szCs w:val="20"/>
          <w:color w:val="auto"/>
        </w:rPr>
      </w:pPr>
      <w:r>
        <w:rPr>
          <w:rFonts w:ascii="Times New Roman" w:cs="Times New Roman" w:eastAsia="Times New Roman" w:hAnsi="Times New Roman"/>
          <w:sz w:val="18"/>
          <w:szCs w:val="18"/>
          <w:color w:val="auto"/>
        </w:rPr>
        <w:t>Date: December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October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240" w:val="left"/>
          <w:tab w:leader="none" w:pos="6920" w:val="left"/>
        </w:tabs>
        <w:rPr>
          <w:sz w:val="20"/>
          <w:szCs w:val="20"/>
          <w:color w:val="auto"/>
        </w:rPr>
      </w:pPr>
      <w:r>
        <w:rPr>
          <w:rFonts w:ascii="Times New Roman" w:cs="Times New Roman" w:eastAsia="Times New Roman" w:hAnsi="Times New Roman"/>
          <w:sz w:val="18"/>
          <w:szCs w:val="18"/>
          <w:color w:val="auto"/>
        </w:rPr>
        <w:t>Date: December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3"/>
    </w:lvl>
  </w:abstractNum>
  <w:abstractNum w:abstractNumId="9">
    <w:nsid w:val="737B8DDC"/>
    <w:multiLevelType w:val="hybridMultilevel"/>
    <w:lvl w:ilvl="0">
      <w:lvlJc w:val="left"/>
      <w:lvlText w:val="%1."/>
      <w:numFmt w:val="decimal"/>
      <w:start w:val="4"/>
    </w:lvl>
  </w:abstractNum>
  <w:abstractNum w:abstractNumId="10">
    <w:nsid w:val="6CEAF087"/>
    <w:multiLevelType w:val="hybridMultilevel"/>
    <w:lvl w:ilvl="0">
      <w:lvlJc w:val="left"/>
      <w:lvlText w:val="%1."/>
      <w:numFmt w:val="decimal"/>
      <w:start w:val="6"/>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1."/>
      <w:numFmt w:val="decimal"/>
      <w:start w:val="8"/>
    </w:lvl>
  </w:abstractNum>
  <w:abstractNum w:abstractNumId="13">
    <w:nsid w:val="3006C83E"/>
    <w:multiLevelType w:val="hybridMultilevel"/>
    <w:lvl w:ilvl="0">
      <w:lvlJc w:val="left"/>
      <w:lvlText w:val="%1."/>
      <w:numFmt w:val="decimal"/>
      <w:start w:val="10"/>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3"/>
    </w:lvl>
  </w:abstractNum>
  <w:abstractNum w:abstractNumId="17">
    <w:nsid w:val="440BADFC"/>
    <w:multiLevelType w:val="hybridMultilevel"/>
    <w:lvl w:ilvl="0">
      <w:lvlJc w:val="left"/>
      <w:lvlText w:val="%1."/>
      <w:numFmt w:val="decimal"/>
      <w:start w:val="14"/>
    </w:lvl>
  </w:abstractNum>
  <w:abstractNum w:abstractNumId="18">
    <w:nsid w:val="5072367"/>
    <w:multiLevelType w:val="hybridMultilevel"/>
    <w:lvl w:ilvl="0">
      <w:lvlJc w:val="left"/>
      <w:lvlText w:val="%1."/>
      <w:numFmt w:val="decimal"/>
      <w:start w:val="15"/>
    </w:lvl>
  </w:abstractNum>
  <w:abstractNum w:abstractNumId="19">
    <w:nsid w:val="3804823E"/>
    <w:multiLevelType w:val="hybridMultilevel"/>
    <w:lvl w:ilvl="0">
      <w:lvlJc w:val="left"/>
      <w:lvlText w:val="1"/>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2"/>
      <w:numFmt w:val="bullet"/>
      <w:start w:val="1"/>
    </w:lvl>
  </w:abstractNum>
  <w:abstractNum w:abstractNumId="24">
    <w:nsid w:val="5E884ADC"/>
    <w:multiLevelType w:val="hybridMultilevel"/>
    <w:lvl w:ilvl="0">
      <w:lvlJc w:val="left"/>
      <w:lvlText w:val="3"/>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49" Type="http://schemas.openxmlformats.org/officeDocument/2006/relationships/hyperlink" Target="https://www.sec.gov/Archives/edgar/data/0001468327/000119312521313321/d211519dex31.htm" TargetMode="External"/><Relationship Id="rId150" Type="http://schemas.openxmlformats.org/officeDocument/2006/relationships/hyperlink" Target="https://www.sec.gov/Archives/edgar/data/1468327/000146832724000100/exhibit31certificateofam.htm" TargetMode="External"/><Relationship Id="rId151"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2024-12-09T12:48:32Z</dcterms:created>
  <dcterms:modified xsi:type="dcterms:W3CDTF">2024-12-09T12:48:32Z</dcterms:modified>
</cp:coreProperties>
</file>