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784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78421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Hyman Jennifer</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02/03/2025</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56"/>
        <w:spacing w:after="0"/>
        <w:rPr>
          <w:sz w:val="20"/>
          <w:szCs w:val="20"/>
          <w:color w:val="auto"/>
        </w:rPr>
      </w:pPr>
      <w:r>
        <w:rPr>
          <w:rFonts w:ascii="Times New Roman" w:cs="Times New Roman" w:eastAsia="Times New Roman" w:hAnsi="Times New Roman"/>
          <w:sz w:val="17"/>
          <w:szCs w:val="17"/>
          <w:color w:val="0000FF"/>
        </w:rPr>
        <w:t>Chair, CEO &amp; President</w:t>
      </w:r>
    </w:p>
    <w:p>
      <w:pPr>
        <w:spacing w:after="0" w:line="416" w:lineRule="exact"/>
        <w:rPr>
          <w:sz w:val="24"/>
          <w:szCs w:val="24"/>
          <w:color w:val="auto"/>
        </w:rPr>
      </w:pPr>
    </w:p>
    <w:p>
      <w:pPr>
        <w:sectPr>
          <w:pgSz w:w="11900" w:h="16838" w:orient="portrait"/>
          <w:cols w:equalWidth="0" w:num="3">
            <w:col w:w="3200" w:space="720"/>
            <w:col w:w="3104" w:space="720"/>
            <w:col w:w="3336"/>
          </w:cols>
          <w:pgMar w:left="460" w:top="216" w:right="359" w:bottom="126" w:gutter="0" w:footer="0" w:header="0"/>
          <w:type w:val="continuous"/>
        </w:sectPr>
      </w:pPr>
    </w:p>
    <w:p>
      <w:pPr>
        <w:spacing w:after="0" w:line="209"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11201</w:t>
            </w:r>
          </w:p>
        </w:tc>
      </w:tr>
      <w:tr>
        <w:trPr>
          <w:trHeight w:val="152"/>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60" w:space="160"/>
            <w:col w:w="7160"/>
          </w:cols>
          <w:pgMar w:left="460" w:top="216" w:right="359" w:bottom="1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02/03/2025</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64"/>
              <w:spacing w:after="0"/>
              <w:rPr>
                <w:sz w:val="20"/>
                <w:szCs w:val="20"/>
                <w:color w:val="auto"/>
              </w:rPr>
            </w:pPr>
            <w:r>
              <w:rPr>
                <w:rFonts w:ascii="Times New Roman" w:cs="Times New Roman" w:eastAsia="Times New Roman" w:hAnsi="Times New Roman"/>
                <w:sz w:val="26"/>
                <w:szCs w:val="26"/>
                <w:color w:val="0000FF"/>
                <w:w w:val="89"/>
                <w:vertAlign w:val="subscript"/>
              </w:rPr>
              <w:t>C</w:t>
            </w:r>
            <w:r>
              <w:rPr>
                <w:rFonts w:ascii="Times New Roman" w:cs="Times New Roman" w:eastAsia="Times New Roman" w:hAnsi="Times New Roman"/>
                <w:sz w:val="11"/>
                <w:szCs w:val="11"/>
                <w:color w:val="008000"/>
                <w:w w:val="89"/>
              </w:rPr>
              <w:t>(1)</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14"/>
              <w:spacing w:after="0"/>
              <w:rPr>
                <w:sz w:val="20"/>
                <w:szCs w:val="20"/>
                <w:color w:val="auto"/>
              </w:rPr>
            </w:pPr>
            <w:r>
              <w:rPr>
                <w:rFonts w:ascii="Times New Roman" w:cs="Times New Roman" w:eastAsia="Times New Roman" w:hAnsi="Times New Roman"/>
                <w:sz w:val="17"/>
                <w:szCs w:val="17"/>
                <w:color w:val="0000FF"/>
              </w:rPr>
              <w:t>78</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92"/>
              <w:spacing w:after="0" w:line="313"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132,650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02/03/2025</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ind w:right="14"/>
              <w:spacing w:after="0"/>
              <w:rPr>
                <w:sz w:val="20"/>
                <w:szCs w:val="20"/>
                <w:color w:val="auto"/>
              </w:rPr>
            </w:pPr>
            <w:r>
              <w:rPr>
                <w:rFonts w:ascii="Times New Roman" w:cs="Times New Roman" w:eastAsia="Times New Roman" w:hAnsi="Times New Roman"/>
                <w:sz w:val="17"/>
                <w:szCs w:val="17"/>
                <w:color w:val="0000FF"/>
              </w:rPr>
              <w:t>78</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7.81</w:t>
            </w:r>
          </w:p>
        </w:tc>
        <w:tc>
          <w:tcPr>
            <w:tcW w:w="1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132,572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02/04/2025</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87"/>
              </w:rPr>
              <w:t>3,841</w:t>
            </w:r>
            <w:r>
              <w:rPr>
                <w:rFonts w:ascii="Times New Roman" w:cs="Times New Roman" w:eastAsia="Times New Roman" w:hAnsi="Times New Roman"/>
                <w:sz w:val="21"/>
                <w:szCs w:val="21"/>
                <w:color w:val="008000"/>
                <w:w w:val="87"/>
                <w:vertAlign w:val="superscript"/>
              </w:rPr>
              <w:t>(4)</w:t>
            </w: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7.42</w:t>
            </w:r>
            <w:r>
              <w:rPr>
                <w:rFonts w:ascii="Times New Roman" w:cs="Times New Roman" w:eastAsia="Times New Roman" w:hAnsi="Times New Roman"/>
                <w:sz w:val="21"/>
                <w:szCs w:val="21"/>
                <w:color w:val="008000"/>
                <w:w w:val="93"/>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128,731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2"/>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right"/>
              <w:ind w:right="14"/>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jc w:val="right"/>
              <w:ind w:right="314"/>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C</w:t>
            </w: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100" w:type="dxa"/>
            <w:vAlign w:val="bottom"/>
          </w:tcPr>
          <w:p>
            <w:pPr>
              <w:spacing w:after="0"/>
              <w:rPr>
                <w:sz w:val="15"/>
                <w:szCs w:val="15"/>
                <w:color w:val="auto"/>
              </w:rPr>
            </w:pPr>
          </w:p>
        </w:tc>
        <w:tc>
          <w:tcPr>
            <w:tcW w:w="600" w:type="dxa"/>
            <w:vAlign w:val="bottom"/>
          </w:tcPr>
          <w:p>
            <w:pPr>
              <w:jc w:val="center"/>
              <w:ind w:right="90"/>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132"/>
              <w:spacing w:after="0"/>
              <w:rPr>
                <w:sz w:val="20"/>
                <w:szCs w:val="20"/>
                <w:color w:val="auto"/>
              </w:rPr>
            </w:pPr>
            <w:r>
              <w:rPr>
                <w:rFonts w:ascii="Times New Roman" w:cs="Times New Roman" w:eastAsia="Times New Roman" w:hAnsi="Times New Roman"/>
                <w:sz w:val="17"/>
                <w:szCs w:val="17"/>
                <w:color w:val="0000FF"/>
              </w:rPr>
              <w:t>78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10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02/03/2025</w:t>
            </w:r>
          </w:p>
        </w:tc>
        <w:tc>
          <w:tcPr>
            <w:tcW w:w="1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ind w:left="480"/>
              <w:spacing w:after="0" w:line="144" w:lineRule="exact"/>
              <w:rPr>
                <w:sz w:val="20"/>
                <w:szCs w:val="20"/>
                <w:color w:val="auto"/>
              </w:rPr>
            </w:pPr>
            <w:r>
              <w:rPr>
                <w:rFonts w:ascii="Times New Roman" w:cs="Times New Roman" w:eastAsia="Times New Roman" w:hAnsi="Times New Roman"/>
                <w:sz w:val="13"/>
                <w:szCs w:val="13"/>
                <w:color w:val="0000FF"/>
              </w:rPr>
              <w:t>78</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0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0000FF"/>
              </w:rPr>
              <w:t>57,751</w:t>
            </w:r>
          </w:p>
        </w:tc>
        <w:tc>
          <w:tcPr>
            <w:tcW w:w="26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90"/>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100" w:type="dxa"/>
            <w:vAlign w:val="bottom"/>
          </w:tcPr>
          <w:p>
            <w:pPr>
              <w:spacing w:after="0"/>
              <w:rPr>
                <w:sz w:val="15"/>
                <w:szCs w:val="15"/>
                <w:color w:val="auto"/>
              </w:rPr>
            </w:pPr>
          </w:p>
        </w:tc>
        <w:tc>
          <w:tcPr>
            <w:tcW w:w="600" w:type="dxa"/>
            <w:vAlign w:val="bottom"/>
          </w:tcPr>
          <w:p>
            <w:pPr>
              <w:jc w:val="center"/>
              <w:ind w:right="90"/>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6,155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Held by</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gridSpan w:val="2"/>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restart"/>
          </w:tcPr>
          <w:p>
            <w:pPr>
              <w:jc w:val="right"/>
              <w:spacing w:after="0" w:line="144" w:lineRule="exact"/>
              <w:rPr>
                <w:sz w:val="20"/>
                <w:szCs w:val="20"/>
                <w:color w:val="auto"/>
              </w:rPr>
            </w:pPr>
            <w:r>
              <w:rPr>
                <w:rFonts w:ascii="Times New Roman" w:cs="Times New Roman" w:eastAsia="Times New Roman" w:hAnsi="Times New Roman"/>
                <w:sz w:val="13"/>
                <w:szCs w:val="13"/>
                <w:color w:val="0000FF"/>
              </w:rPr>
              <w:t>6,155</w:t>
            </w:r>
          </w:p>
        </w:tc>
        <w:tc>
          <w:tcPr>
            <w:tcW w:w="260" w:type="dxa"/>
            <w:vAlign w:val="bottom"/>
          </w:tcPr>
          <w:p>
            <w:pPr>
              <w:spacing w:after="0"/>
              <w:rPr>
                <w:sz w:val="5"/>
                <w:szCs w:val="5"/>
                <w:color w:val="auto"/>
              </w:rPr>
            </w:pPr>
          </w:p>
        </w:tc>
        <w:tc>
          <w:tcPr>
            <w:tcW w:w="680" w:type="dxa"/>
            <w:vAlign w:val="bottom"/>
            <w:vMerge w:val="restart"/>
          </w:tcPr>
          <w:p>
            <w:pPr>
              <w:ind w:left="360"/>
              <w:spacing w:after="0" w:line="144"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tcBorders>
              <w:right w:val="single" w:sz="8" w:color="2C2C2C"/>
            </w:tcBorders>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spouse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center"/>
              <w:ind w:right="90"/>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Borders>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-2469515</wp:posOffset>
            </wp:positionV>
            <wp:extent cx="29210" cy="2474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745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50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B common stock were converted to Class A common stock and sold solely to cover taxes upon the vesting of restricted stock units pursuant to a standing Rule 10b5-1 instruction dated December 22, 2021.</w:t>
      </w:r>
    </w:p>
    <w:p>
      <w:pPr>
        <w:spacing w:after="0" w:line="14" w:lineRule="exact"/>
        <w:rPr>
          <w:rFonts w:ascii="Times New Roman" w:cs="Times New Roman" w:eastAsia="Times New Roman" w:hAnsi="Times New Roman"/>
          <w:sz w:val="13"/>
          <w:szCs w:val="13"/>
          <w:color w:val="008000"/>
        </w:rPr>
      </w:pPr>
    </w:p>
    <w:p>
      <w:pPr>
        <w:ind w:left="40" w:right="22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at the option of the holder into one share of Class A common stock. Each share of Class B common stock will automatically convert into one share of Class A common stock upon certain sales or transfers. The Class B common stock does not expire, but will convert automatically to Class A common stock as provided in the Issuer's Twelfth Amended and Restated Certificate of Incorporation.</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45" w:lineRule="exact"/>
        <w:rPr>
          <w:rFonts w:ascii="Times New Roman" w:cs="Times New Roman" w:eastAsia="Times New Roman" w:hAnsi="Times New Roman"/>
          <w:sz w:val="13"/>
          <w:szCs w:val="13"/>
          <w:color w:val="008000"/>
        </w:rPr>
      </w:pPr>
    </w:p>
    <w:p>
      <w:pPr>
        <w:ind w:left="40" w:right="140" w:firstLine="3"/>
        <w:spacing w:after="0"/>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$7.25 to $8.01, inclusive. The amount reflected has been rounded to four decimal points.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Cara Schembri as Attorney</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02/05/2025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4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in- fact for Jennifer Y. Hyman</w:t>
            </w:r>
          </w:p>
        </w:tc>
        <w:tc>
          <w:tcPr>
            <w:tcW w:w="80" w:type="dxa"/>
            <w:vAlign w:val="bottom"/>
            <w:gridSpan w:val="2"/>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40" w:type="dxa"/>
            <w:vAlign w:val="bottom"/>
            <w:tcBorders>
              <w:bottom w:val="single" w:sz="8" w:color="auto"/>
            </w:tcBorders>
            <w:vMerge w:val="continue"/>
          </w:tcPr>
          <w:p>
            <w:pPr>
              <w:spacing w:after="0"/>
              <w:rPr>
                <w:sz w:val="7"/>
                <w:szCs w:val="7"/>
                <w:color w:val="auto"/>
              </w:rPr>
            </w:pPr>
          </w:p>
        </w:tc>
        <w:tc>
          <w:tcPr>
            <w:tcW w:w="8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7388"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2025-02-05T18:00:27Z</dcterms:created>
  <dcterms:modified xsi:type="dcterms:W3CDTF">2025-02-05T18:00:27Z</dcterms:modified>
</cp:coreProperties>
</file>