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860" w:type="dxa"/>
            <w:vAlign w:val="bottom"/>
          </w:tcPr>
          <w:p>
            <w:pPr>
              <w:ind w:left="40"/>
              <w:spacing w:after="0"/>
              <w:rPr>
                <w:sz w:val="20"/>
                <w:szCs w:val="20"/>
                <w:color w:val="auto"/>
              </w:rPr>
            </w:pPr>
            <w:r>
              <w:rPr>
                <w:rFonts w:ascii="Arial" w:cs="Arial" w:eastAsia="Arial" w:hAnsi="Arial"/>
                <w:sz w:val="22"/>
                <w:szCs w:val="22"/>
                <w:color w:val="auto"/>
              </w:rPr>
              <w:t>0001844631</w:t>
            </w:r>
          </w:p>
        </w:tc>
        <w:tc>
          <w:tcPr>
            <w:tcW w:w="30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8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0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8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849"/>
        </w:trPr>
        <w:tc>
          <w:tcPr>
            <w:tcW w:w="68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0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w w:val="87"/>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11204</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2125246860</w:t>
            </w:r>
          </w:p>
        </w:tc>
      </w:tr>
      <w:tr>
        <w:trPr>
          <w:trHeight w:val="297"/>
        </w:trPr>
        <w:tc>
          <w:tcPr>
            <w:tcW w:w="68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060" w:type="dxa"/>
            <w:vAlign w:val="bottom"/>
          </w:tcPr>
          <w:p>
            <w:pPr>
              <w:ind w:left="1140"/>
              <w:spacing w:after="0"/>
              <w:rPr>
                <w:sz w:val="20"/>
                <w:szCs w:val="20"/>
                <w:color w:val="auto"/>
              </w:rPr>
            </w:pPr>
            <w:r>
              <w:rPr>
                <w:rFonts w:ascii="Arial" w:cs="Arial" w:eastAsia="Arial" w:hAnsi="Arial"/>
                <w:sz w:val="22"/>
                <w:szCs w:val="22"/>
                <w:color w:val="auto"/>
              </w:rPr>
              <w:t>Scarlett OSullivan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9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Former 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1"/>
          <w:szCs w:val="21"/>
          <w:color w:val="auto"/>
        </w:rPr>
        <w:t>Morgan Stanley Smith</w:t>
      </w:r>
    </w:p>
    <w:p>
      <w:pPr>
        <w:spacing w:after="0" w:line="10"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Barney LLC</w:t>
      </w:r>
    </w:p>
    <w:p>
      <w:pPr>
        <w:ind w:left="40"/>
        <w:spacing w:after="0"/>
        <w:tabs>
          <w:tab w:leader="none" w:pos="2500" w:val="left"/>
        </w:tabs>
        <w:rPr>
          <w:sz w:val="20"/>
          <w:szCs w:val="20"/>
          <w:color w:val="auto"/>
        </w:rPr>
      </w:pPr>
      <w:r>
        <w:rPr>
          <w:rFonts w:ascii="Arial" w:cs="Arial" w:eastAsia="Arial" w:hAnsi="Arial"/>
          <w:sz w:val="22"/>
          <w:szCs w:val="22"/>
          <w:color w:val="auto"/>
        </w:rPr>
        <w:t>Class A Common Stock</w:t>
      </w:r>
      <w:r>
        <w:rPr>
          <w:sz w:val="20"/>
          <w:szCs w:val="20"/>
          <w:color w:val="auto"/>
        </w:rPr>
        <w:tab/>
      </w:r>
      <w:r>
        <w:rPr>
          <w:rFonts w:ascii="Arial" w:cs="Arial" w:eastAsia="Arial" w:hAnsi="Arial"/>
          <w:sz w:val="19"/>
          <w:szCs w:val="19"/>
          <w:color w:val="auto"/>
        </w:rPr>
        <w:t>1 New York Plaza</w:t>
      </w:r>
    </w:p>
    <w:p>
      <w:pPr>
        <w:ind w:left="2520"/>
        <w:spacing w:after="0" w:line="231" w:lineRule="auto"/>
        <w:rPr>
          <w:sz w:val="20"/>
          <w:szCs w:val="20"/>
          <w:color w:val="auto"/>
        </w:rPr>
      </w:pPr>
      <w:r>
        <w:rPr>
          <w:rFonts w:ascii="Arial" w:cs="Arial" w:eastAsia="Arial" w:hAnsi="Arial"/>
          <w:sz w:val="22"/>
          <w:szCs w:val="22"/>
          <w:color w:val="auto"/>
        </w:rPr>
        <w:t>38th Floor</w:t>
      </w:r>
    </w:p>
    <w:p>
      <w:pPr>
        <w:ind w:left="2520"/>
        <w:spacing w:after="0"/>
        <w:rPr>
          <w:sz w:val="20"/>
          <w:szCs w:val="20"/>
          <w:color w:val="auto"/>
        </w:rPr>
      </w:pPr>
      <w:r>
        <w:rPr>
          <w:rFonts w:ascii="Arial" w:cs="Arial" w:eastAsia="Arial" w:hAnsi="Arial"/>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385110</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747112.82</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07/12/2023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vMerge w:val="restart"/>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5"/>
              </w:rPr>
              <w:t>Class</w:t>
            </w:r>
          </w:p>
        </w:tc>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2">
            <w:col w:w="3960" w:space="480"/>
            <w:col w:w="6800"/>
          </w:cols>
          <w:pgMar w:left="320" w:top="143" w:right="339" w:bottom="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Class A</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9"/>
          <w:szCs w:val="19"/>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0"/>
        <w:spacing w:after="0"/>
        <w:rPr>
          <w:sz w:val="20"/>
          <w:szCs w:val="20"/>
          <w:color w:val="auto"/>
        </w:rPr>
      </w:pPr>
      <w:r>
        <w:rPr>
          <w:rFonts w:ascii="Arial" w:cs="Arial" w:eastAsia="Arial" w:hAnsi="Arial"/>
          <w:sz w:val="22"/>
          <w:szCs w:val="22"/>
          <w:color w:val="auto"/>
        </w:rPr>
        <w:t>Class A</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9"/>
          <w:szCs w:val="19"/>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0"/>
        <w:spacing w:after="0"/>
        <w:rPr>
          <w:sz w:val="20"/>
          <w:szCs w:val="20"/>
          <w:color w:val="auto"/>
        </w:rPr>
      </w:pPr>
      <w:r>
        <w:rPr>
          <w:rFonts w:ascii="Arial" w:cs="Arial" w:eastAsia="Arial" w:hAnsi="Arial"/>
          <w:sz w:val="22"/>
          <w:szCs w:val="22"/>
          <w:color w:val="auto"/>
        </w:rPr>
        <w:t>Class A</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9"/>
          <w:szCs w:val="19"/>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0"/>
        <w:spacing w:after="0"/>
        <w:rPr>
          <w:sz w:val="20"/>
          <w:szCs w:val="20"/>
          <w:color w:val="auto"/>
        </w:rPr>
      </w:pPr>
      <w:r>
        <w:rPr>
          <w:rFonts w:ascii="Arial" w:cs="Arial" w:eastAsia="Arial" w:hAnsi="Arial"/>
          <w:sz w:val="22"/>
          <w:szCs w:val="22"/>
          <w:color w:val="auto"/>
        </w:rPr>
        <w:t>Class A</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9"/>
          <w:szCs w:val="19"/>
          <w:color w:val="auto"/>
        </w:rPr>
        <w:t>Common Stock</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Arial" w:cs="Arial" w:eastAsia="Arial" w:hAnsi="Arial"/>
          <w:sz w:val="19"/>
          <w:szCs w:val="19"/>
          <w:color w:val="auto"/>
        </w:rPr>
        <w:t>Shares acquired</w:t>
      </w:r>
    </w:p>
    <w:p>
      <w:pPr>
        <w:spacing w:after="0" w:line="43"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upon vesting of</w:t>
      </w:r>
    </w:p>
    <w:p>
      <w:pPr>
        <w:spacing w:after="0" w:line="25"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restricted stock</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units awarded</w:t>
      </w:r>
    </w:p>
    <w:p>
      <w:pPr>
        <w:spacing w:after="0"/>
        <w:rPr>
          <w:sz w:val="20"/>
          <w:szCs w:val="20"/>
          <w:color w:val="auto"/>
        </w:rPr>
      </w:pPr>
      <w:r>
        <w:rPr>
          <w:rFonts w:ascii="Arial" w:cs="Arial" w:eastAsia="Arial" w:hAnsi="Arial"/>
          <w:sz w:val="21"/>
          <w:szCs w:val="21"/>
          <w:color w:val="auto"/>
        </w:rPr>
        <w:t>07/12/2023 under Issuers</w:t>
      </w:r>
    </w:p>
    <w:p>
      <w:pPr>
        <w:ind w:left="1040"/>
        <w:spacing w:after="0" w:line="231" w:lineRule="auto"/>
        <w:rPr>
          <w:sz w:val="20"/>
          <w:szCs w:val="20"/>
          <w:color w:val="auto"/>
        </w:rPr>
      </w:pPr>
      <w:r>
        <w:rPr>
          <w:rFonts w:ascii="Arial" w:cs="Arial" w:eastAsia="Arial" w:hAnsi="Arial"/>
          <w:sz w:val="22"/>
          <w:szCs w:val="22"/>
          <w:color w:val="auto"/>
        </w:rPr>
        <w:t>Amended and</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Restated 2021</w:t>
      </w:r>
    </w:p>
    <w:p>
      <w:pPr>
        <w:spacing w:after="0" w:line="2"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Incentive Award</w:t>
      </w:r>
    </w:p>
    <w:p>
      <w:pPr>
        <w:spacing w:after="0" w:line="25"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Plan</w:t>
      </w:r>
    </w:p>
    <w:p>
      <w:pPr>
        <w:spacing w:after="0" w:line="26"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Shares acquired</w:t>
      </w:r>
    </w:p>
    <w:p>
      <w:pPr>
        <w:spacing w:after="0" w:line="43"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upon vesting of</w:t>
      </w:r>
    </w:p>
    <w:p>
      <w:pPr>
        <w:spacing w:after="0" w:line="25"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restricted stock</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units awarded</w:t>
      </w:r>
    </w:p>
    <w:p>
      <w:pPr>
        <w:spacing w:after="0"/>
        <w:rPr>
          <w:sz w:val="20"/>
          <w:szCs w:val="20"/>
          <w:color w:val="auto"/>
        </w:rPr>
      </w:pPr>
      <w:r>
        <w:rPr>
          <w:rFonts w:ascii="Arial" w:cs="Arial" w:eastAsia="Arial" w:hAnsi="Arial"/>
          <w:sz w:val="21"/>
          <w:szCs w:val="21"/>
          <w:color w:val="auto"/>
        </w:rPr>
        <w:t>07/12/2023 under Issuers</w:t>
      </w:r>
    </w:p>
    <w:p>
      <w:pPr>
        <w:ind w:left="1040"/>
        <w:spacing w:after="0" w:line="231" w:lineRule="auto"/>
        <w:rPr>
          <w:sz w:val="20"/>
          <w:szCs w:val="20"/>
          <w:color w:val="auto"/>
        </w:rPr>
      </w:pPr>
      <w:r>
        <w:rPr>
          <w:rFonts w:ascii="Arial" w:cs="Arial" w:eastAsia="Arial" w:hAnsi="Arial"/>
          <w:sz w:val="22"/>
          <w:szCs w:val="22"/>
          <w:color w:val="auto"/>
        </w:rPr>
        <w:t>Amended and</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Restated 2021</w:t>
      </w:r>
    </w:p>
    <w:p>
      <w:pPr>
        <w:spacing w:after="0" w:line="2"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Incentive Award</w:t>
      </w:r>
    </w:p>
    <w:p>
      <w:pPr>
        <w:spacing w:after="0" w:line="25"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Plan</w:t>
      </w:r>
    </w:p>
    <w:p>
      <w:pPr>
        <w:spacing w:after="0" w:line="26"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Shares acquired</w:t>
      </w:r>
    </w:p>
    <w:p>
      <w:pPr>
        <w:spacing w:after="0" w:line="43"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upon vesting of</w:t>
      </w:r>
    </w:p>
    <w:p>
      <w:pPr>
        <w:spacing w:after="0" w:line="25"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restricted stock</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units awarded</w:t>
      </w:r>
    </w:p>
    <w:p>
      <w:pPr>
        <w:spacing w:after="0"/>
        <w:rPr>
          <w:sz w:val="20"/>
          <w:szCs w:val="20"/>
          <w:color w:val="auto"/>
        </w:rPr>
      </w:pPr>
      <w:r>
        <w:rPr>
          <w:rFonts w:ascii="Arial" w:cs="Arial" w:eastAsia="Arial" w:hAnsi="Arial"/>
          <w:sz w:val="21"/>
          <w:szCs w:val="21"/>
          <w:color w:val="auto"/>
        </w:rPr>
        <w:t>07/12/2023 under Issuers</w:t>
      </w:r>
    </w:p>
    <w:p>
      <w:pPr>
        <w:ind w:left="1040"/>
        <w:spacing w:after="0" w:line="231" w:lineRule="auto"/>
        <w:rPr>
          <w:sz w:val="20"/>
          <w:szCs w:val="20"/>
          <w:color w:val="auto"/>
        </w:rPr>
      </w:pPr>
      <w:r>
        <w:rPr>
          <w:rFonts w:ascii="Arial" w:cs="Arial" w:eastAsia="Arial" w:hAnsi="Arial"/>
          <w:sz w:val="22"/>
          <w:szCs w:val="22"/>
          <w:color w:val="auto"/>
        </w:rPr>
        <w:t>Amended and</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Restated 2021</w:t>
      </w:r>
    </w:p>
    <w:p>
      <w:pPr>
        <w:spacing w:after="0" w:line="2"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Incentive Award</w:t>
      </w:r>
    </w:p>
    <w:p>
      <w:pPr>
        <w:spacing w:after="0" w:line="25"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Plan</w:t>
      </w:r>
    </w:p>
    <w:p>
      <w:pPr>
        <w:spacing w:after="0" w:line="26"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Shares acquired</w:t>
      </w:r>
    </w:p>
    <w:p>
      <w:pPr>
        <w:spacing w:after="0" w:line="43"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upon vesting of</w:t>
      </w:r>
    </w:p>
    <w:p>
      <w:pPr>
        <w:spacing w:after="0" w:line="25"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restricted stock</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units awarded</w:t>
      </w:r>
    </w:p>
    <w:p>
      <w:pPr>
        <w:spacing w:after="0"/>
        <w:rPr>
          <w:sz w:val="20"/>
          <w:szCs w:val="20"/>
          <w:color w:val="auto"/>
        </w:rPr>
      </w:pPr>
      <w:r>
        <w:rPr>
          <w:rFonts w:ascii="Arial" w:cs="Arial" w:eastAsia="Arial" w:hAnsi="Arial"/>
          <w:sz w:val="21"/>
          <w:szCs w:val="21"/>
          <w:color w:val="auto"/>
        </w:rPr>
        <w:t>07/12/2023 under Issuers</w:t>
      </w:r>
    </w:p>
    <w:p>
      <w:pPr>
        <w:ind w:left="1040"/>
        <w:spacing w:after="0" w:line="231" w:lineRule="auto"/>
        <w:rPr>
          <w:sz w:val="20"/>
          <w:szCs w:val="20"/>
          <w:color w:val="auto"/>
        </w:rPr>
      </w:pPr>
      <w:r>
        <w:rPr>
          <w:rFonts w:ascii="Arial" w:cs="Arial" w:eastAsia="Arial" w:hAnsi="Arial"/>
          <w:sz w:val="22"/>
          <w:szCs w:val="22"/>
          <w:color w:val="auto"/>
        </w:rPr>
        <w:t>Amended and</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Restated 2021</w:t>
      </w:r>
    </w:p>
    <w:p>
      <w:pPr>
        <w:spacing w:after="0" w:line="2"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Incentive Award</w:t>
      </w:r>
    </w:p>
    <w:p>
      <w:pPr>
        <w:spacing w:after="0" w:line="25"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1485" w:val="left"/>
          <w:tab w:leader="none" w:pos="4220" w:val="left"/>
        </w:tabs>
        <w:rPr>
          <w:sz w:val="20"/>
          <w:szCs w:val="20"/>
          <w:color w:val="auto"/>
        </w:rPr>
      </w:pPr>
      <w:r>
        <w:rPr>
          <w:rFonts w:ascii="Arial" w:cs="Arial" w:eastAsia="Arial" w:hAnsi="Arial"/>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30253</w:t>
      </w:r>
      <w:r>
        <w:rPr>
          <w:sz w:val="20"/>
          <w:szCs w:val="20"/>
          <w:color w:val="auto"/>
        </w:rPr>
        <w:tab/>
      </w:r>
      <w:r>
        <w:rPr>
          <w:rFonts w:ascii="Arial" w:cs="Arial" w:eastAsia="Arial" w:hAnsi="Arial"/>
          <w:sz w:val="19"/>
          <w:szCs w:val="19"/>
          <w:color w:val="auto"/>
        </w:rPr>
        <w:t>04/01/2020 Services Rendered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485" w:val="left"/>
          <w:tab w:leader="none" w:pos="4220" w:val="left"/>
        </w:tabs>
        <w:rPr>
          <w:sz w:val="20"/>
          <w:szCs w:val="20"/>
          <w:color w:val="auto"/>
        </w:rPr>
      </w:pPr>
      <w:r>
        <w:rPr>
          <w:rFonts w:ascii="Arial" w:cs="Arial" w:eastAsia="Arial" w:hAnsi="Arial"/>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15900</w:t>
      </w:r>
      <w:r>
        <w:rPr>
          <w:sz w:val="20"/>
          <w:szCs w:val="20"/>
          <w:color w:val="auto"/>
        </w:rPr>
        <w:tab/>
      </w:r>
      <w:r>
        <w:rPr>
          <w:rFonts w:ascii="Arial" w:cs="Arial" w:eastAsia="Arial" w:hAnsi="Arial"/>
          <w:sz w:val="19"/>
          <w:szCs w:val="19"/>
          <w:color w:val="auto"/>
        </w:rPr>
        <w:t>10/29/2021 Services Rendered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485" w:val="left"/>
          <w:tab w:leader="none" w:pos="4220" w:val="left"/>
        </w:tabs>
        <w:rPr>
          <w:sz w:val="20"/>
          <w:szCs w:val="20"/>
          <w:color w:val="auto"/>
        </w:rPr>
      </w:pPr>
      <w:r>
        <w:rPr>
          <w:rFonts w:ascii="Arial" w:cs="Arial" w:eastAsia="Arial" w:hAnsi="Arial"/>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156530</w:t>
      </w:r>
      <w:r>
        <w:rPr>
          <w:sz w:val="20"/>
          <w:szCs w:val="20"/>
          <w:color w:val="auto"/>
        </w:rPr>
        <w:tab/>
      </w:r>
      <w:r>
        <w:rPr>
          <w:rFonts w:ascii="Arial" w:cs="Arial" w:eastAsia="Arial" w:hAnsi="Arial"/>
          <w:sz w:val="19"/>
          <w:szCs w:val="19"/>
          <w:color w:val="auto"/>
        </w:rPr>
        <w:t>03/15/2022 Services Rendered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485" w:val="left"/>
          <w:tab w:leader="none" w:pos="4220" w:val="left"/>
        </w:tabs>
        <w:rPr>
          <w:sz w:val="20"/>
          <w:szCs w:val="20"/>
          <w:color w:val="auto"/>
        </w:rPr>
      </w:pPr>
      <w:r>
        <w:rPr>
          <w:rFonts w:ascii="Arial" w:cs="Arial" w:eastAsia="Arial" w:hAnsi="Arial"/>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372576</w:t>
      </w:r>
      <w:r>
        <w:rPr>
          <w:sz w:val="20"/>
          <w:szCs w:val="20"/>
          <w:color w:val="auto"/>
        </w:rPr>
        <w:tab/>
      </w:r>
      <w:r>
        <w:rPr>
          <w:rFonts w:ascii="Arial" w:cs="Arial" w:eastAsia="Arial" w:hAnsi="Arial"/>
          <w:sz w:val="19"/>
          <w:szCs w:val="19"/>
          <w:color w:val="auto"/>
        </w:rPr>
        <w:t>07/11/2023 Services Rendered</w:t>
      </w:r>
    </w:p>
    <w:p>
      <w:pPr>
        <w:spacing w:after="0" w:line="1190" w:lineRule="exact"/>
        <w:rPr>
          <w:sz w:val="20"/>
          <w:szCs w:val="20"/>
          <w:color w:val="auto"/>
        </w:rPr>
      </w:pPr>
    </w:p>
    <w:p>
      <w:pPr>
        <w:sectPr>
          <w:pgSz w:w="11900" w:h="16838" w:orient="portrait"/>
          <w:cols w:equalWidth="0" w:num="3">
            <w:col w:w="1400" w:space="140"/>
            <w:col w:w="2440" w:space="300"/>
            <w:col w:w="6960"/>
          </w:cols>
          <w:pgMar w:left="320" w:top="143" w:right="339" w:bottom="82" w:gutter="0" w:footer="0" w:header="0"/>
          <w:type w:val="continuous"/>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Scarlett OSullivan</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10 Jay St.</w:t>
            </w: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jc w:val="right"/>
              <w:ind w:right="592"/>
              <w:spacing w:after="0"/>
              <w:rPr>
                <w:sz w:val="20"/>
                <w:szCs w:val="20"/>
                <w:color w:val="auto"/>
              </w:rPr>
            </w:pPr>
            <w:r>
              <w:rPr>
                <w:rFonts w:ascii="Arial" w:cs="Arial" w:eastAsia="Arial" w:hAnsi="Arial"/>
                <w:sz w:val="22"/>
                <w:szCs w:val="22"/>
                <w:color w:val="auto"/>
              </w:rPr>
              <w:t>04/18/2023 68071</w:t>
            </w:r>
          </w:p>
        </w:tc>
        <w:tc>
          <w:tcPr>
            <w:tcW w:w="1580" w:type="dxa"/>
            <w:vAlign w:val="bottom"/>
            <w:vMerge w:val="restart"/>
          </w:tcPr>
          <w:p>
            <w:pPr>
              <w:jc w:val="right"/>
              <w:ind w:right="452"/>
              <w:spacing w:after="0"/>
              <w:rPr>
                <w:sz w:val="20"/>
                <w:szCs w:val="20"/>
                <w:color w:val="auto"/>
              </w:rPr>
            </w:pPr>
            <w:r>
              <w:rPr>
                <w:rFonts w:ascii="Arial" w:cs="Arial" w:eastAsia="Arial" w:hAnsi="Arial"/>
                <w:sz w:val="22"/>
                <w:szCs w:val="22"/>
                <w:color w:val="auto"/>
                <w:w w:val="96"/>
              </w:rPr>
              <w:t>196500.56</w:t>
            </w:r>
          </w:p>
        </w:tc>
        <w:tc>
          <w:tcPr>
            <w:tcW w:w="0" w:type="dxa"/>
            <w:vAlign w:val="bottom"/>
          </w:tcPr>
          <w:p>
            <w:pPr>
              <w:spacing w:after="0"/>
              <w:rPr>
                <w:sz w:val="1"/>
                <w:szCs w:val="1"/>
                <w:color w:val="auto"/>
              </w:rPr>
            </w:pPr>
          </w:p>
        </w:tc>
      </w:tr>
      <w:tr>
        <w:trPr>
          <w:trHeight w:val="153"/>
        </w:trPr>
        <w:tc>
          <w:tcPr>
            <w:tcW w:w="3360" w:type="dxa"/>
            <w:vAlign w:val="bottom"/>
            <w:vMerge w:val="restart"/>
          </w:tcPr>
          <w:p>
            <w:pPr>
              <w:spacing w:after="0"/>
              <w:rPr>
                <w:sz w:val="20"/>
                <w:szCs w:val="20"/>
                <w:color w:val="auto"/>
              </w:rPr>
            </w:pPr>
            <w:r>
              <w:rPr>
                <w:rFonts w:ascii="Arial" w:cs="Arial" w:eastAsia="Arial" w:hAnsi="Arial"/>
                <w:sz w:val="22"/>
                <w:szCs w:val="22"/>
                <w:color w:val="auto"/>
              </w:rPr>
              <w:t>Suite 900</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360" w:type="dxa"/>
            <w:vAlign w:val="bottom"/>
            <w:vMerge w:val="continue"/>
          </w:tcPr>
          <w:p>
            <w:pPr>
              <w:spacing w:after="0"/>
              <w:rPr>
                <w:sz w:val="9"/>
                <w:szCs w:val="9"/>
                <w:color w:val="auto"/>
              </w:rPr>
            </w:pPr>
          </w:p>
        </w:tc>
        <w:tc>
          <w:tcPr>
            <w:tcW w:w="35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22"/>
          <w:szCs w:val="22"/>
          <w:color w:val="auto"/>
        </w:rPr>
        <w:t>Brooklyn  NY  11201</w:t>
      </w:r>
    </w:p>
    <w:p>
      <w:pPr>
        <w:sectPr>
          <w:pgSz w:w="11900" w:h="16838" w:orient="portrait"/>
          <w:cols w:equalWidth="0" w:num="1">
            <w:col w:w="11240"/>
          </w:cols>
          <w:pgMar w:left="320" w:top="143" w:right="339" w:bottom="82" w:gutter="0" w:footer="0" w:header="0"/>
          <w:type w:val="continuous"/>
        </w:sectPr>
      </w:pPr>
    </w:p>
    <w:p>
      <w:pPr>
        <w:spacing w:after="0" w:line="274"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144: Remarks and Signature</w:t>
      </w:r>
    </w:p>
    <w:p>
      <w:pPr>
        <w:sectPr>
          <w:pgSz w:w="11900" w:h="16838" w:orient="portrait"/>
          <w:cols w:equalWidth="0" w:num="1">
            <w:col w:w="11240"/>
          </w:cols>
          <w:pgMar w:left="320" w:top="143" w:right="339" w:bottom="82" w:gutter="0" w:footer="0" w:header="0"/>
          <w:type w:val="continuous"/>
        </w:sectPr>
      </w:pPr>
    </w:p>
    <w:bookmarkStart w:id="2" w:name="page3"/>
    <w:bookmarkEnd w:id="2"/>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ind w:right="780"/>
        <w:spacing w:after="0" w:line="250" w:lineRule="auto"/>
        <w:rPr>
          <w:sz w:val="20"/>
          <w:szCs w:val="20"/>
          <w:color w:val="auto"/>
        </w:rPr>
      </w:pPr>
      <w:r>
        <w:rPr>
          <w:rFonts w:ascii="Arial" w:cs="Arial" w:eastAsia="Arial" w:hAnsi="Arial"/>
          <w:sz w:val="22"/>
          <w:szCs w:val="22"/>
          <w:color w:val="auto"/>
        </w:rPr>
        <w:t>Shares to be sold to cover withholding taxes upon vesting of restricted stock unit awards.</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07/12/2023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04/14/2023</w:t>
      </w:r>
    </w:p>
    <w:p>
      <w:pPr>
        <w:spacing w:after="0" w:line="618" w:lineRule="exact"/>
        <w:rPr>
          <w:sz w:val="20"/>
          <w:szCs w:val="20"/>
          <w:color w:val="auto"/>
        </w:rPr>
      </w:pPr>
    </w:p>
    <w:p>
      <w:pPr>
        <w:sectPr>
          <w:pgSz w:w="11900" w:h="16838" w:orient="portrait"/>
          <w:cols w:equalWidth="0" w:num="2">
            <w:col w:w="5040" w:space="140"/>
            <w:col w:w="5980"/>
          </w:cols>
          <w:pgMar w:left="360" w:top="159" w:right="379" w:bottom="1440" w:gutter="0" w:footer="0" w:header="0"/>
        </w:sectPr>
      </w:pPr>
    </w:p>
    <w:p>
      <w:pPr>
        <w:spacing w:after="0" w:line="128"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spacing w:after="0"/>
        <w:tabs>
          <w:tab w:leader="none" w:pos="51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Scarlett OSullivan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59"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2023-07-12T07:22:50Z</dcterms:created>
  <dcterms:modified xsi:type="dcterms:W3CDTF">2023-07-12T07:22:50Z</dcterms:modified>
</cp:coreProperties>
</file>