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93210.xml.htm"/>
      <w:bookmarkStart w:id="1" w:name="kswkform4_17851932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Fonseca Dhiren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881"/>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134,648</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134,648</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34,516</w:t>
            </w:r>
            <w:r>
              <w:rPr>
                <w:rFonts w:ascii="Times;serif" w:hAnsi="Times;serif"/>
                <w:color w:val="008000"/>
                <w:position w:val="7"/>
                <w:sz w:val="16"/>
                <w:sz w:val="20"/>
                <w:shd w:fill="FFFFFF" w:val="clear"/>
              </w:rPr>
              <w:t>(3)</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2.9905</w:t>
            </w:r>
            <w:r>
              <w:rPr>
                <w:rFonts w:ascii="Times;serif" w:hAnsi="Times;serif"/>
                <w:color w:val="008000"/>
                <w:position w:val="7"/>
                <w:sz w:val="16"/>
                <w:sz w:val="20"/>
                <w:shd w:fill="FFFFFF" w:val="clear"/>
              </w:rPr>
              <w:t>(4)</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100,132</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134,648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134,648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134,648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of restricted stock units to Class A Common Stock of the Issuer upon vesting and settlement of the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were sold solely to cover taxes upon the vesting and settlement of restricted stock units pursuant to a standing Rule 10b5-1 instruction dated April 24,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Reporting Person's pro rata portion of the total shares sold on the transaction date to cover taxes upon the vesting and settlement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$2.92 to $3.06,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represents the contingent right to receive one share of the Issuer's Class A Common Stock. The restricted stock units were granted outside of the Issuer's Second Amended and Restated 2021 Incentive Award Plan, as amended, in reliance on Nasdaq Listing Rule 5635(c)(4) as a material inducement for the reporting person to commence employment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Dhiren Fonseca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60261"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850</Words>
  <Characters>4510</Characters>
  <CharactersWithSpaces>5268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