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SCHEDULE 13D/A</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3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-158750</wp:posOffset>
            </wp:positionV>
            <wp:extent cx="6240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76010Y103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Eleazer Klein, Esq.</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Adriana Schwartz, Esq.</w:t>
      </w:r>
    </w:p>
    <w:p>
      <w:pPr>
        <w:jc w:val="center"/>
        <w:ind w:right="-59"/>
        <w:spacing w:after="0" w:line="230" w:lineRule="auto"/>
        <w:rPr>
          <w:sz w:val="20"/>
          <w:szCs w:val="20"/>
          <w:color w:val="auto"/>
        </w:rPr>
      </w:pPr>
      <w:r>
        <w:rPr>
          <w:rFonts w:ascii="Times New Roman" w:cs="Times New Roman" w:eastAsia="Times New Roman" w:hAnsi="Times New Roman"/>
          <w:sz w:val="22"/>
          <w:szCs w:val="22"/>
          <w:color w:val="auto"/>
        </w:rPr>
        <w:t>Schulte Roth &amp; Zabel LLP</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919 Third Avenue</w:t>
      </w:r>
    </w:p>
    <w:p>
      <w:pPr>
        <w:jc w:val="center"/>
        <w:ind w:right="-59"/>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4445</wp:posOffset>
            </wp:positionV>
            <wp:extent cx="6214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January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21"/>
          <w:szCs w:val="21"/>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(Page 1 of 6 Pages)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ind w:right="40" w:firstLine="8"/>
        <w:spacing w:after="0" w:line="235"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8"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423"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6"/>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CUSIP No. </w:t>
            </w:r>
            <w:r>
              <w:rPr>
                <w:rFonts w:ascii="Times New Roman" w:cs="Times New Roman" w:eastAsia="Times New Roman" w:hAnsi="Times New Roman"/>
                <w:sz w:val="21"/>
                <w:szCs w:val="21"/>
                <w:b w:val="1"/>
                <w:bCs w:val="1"/>
                <w:color w:val="auto"/>
              </w:rPr>
              <w:t>76010Y103</w:t>
            </w:r>
          </w:p>
        </w:tc>
        <w:tc>
          <w:tcPr>
            <w:tcW w:w="686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Page 2 of 6 Pages</w:t>
            </w:r>
          </w:p>
        </w:tc>
        <w:tc>
          <w:tcPr>
            <w:tcW w:w="0" w:type="dxa"/>
            <w:vAlign w:val="bottom"/>
          </w:tcPr>
          <w:p>
            <w:pPr>
              <w:spacing w:after="0"/>
              <w:rPr>
                <w:sz w:val="1"/>
                <w:szCs w:val="1"/>
                <w:color w:val="auto"/>
              </w:rPr>
            </w:pPr>
          </w:p>
        </w:tc>
      </w:tr>
      <w:tr>
        <w:trPr>
          <w:trHeight w:val="339"/>
        </w:trPr>
        <w:tc>
          <w:tcPr>
            <w:tcW w:w="176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OF REPORTING PERSON</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81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Yisroel Mordechai Goldstone</w:t>
            </w: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816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2</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160" w:type="dxa"/>
            <w:vAlign w:val="bottom"/>
          </w:tcPr>
          <w:p>
            <w:pPr>
              <w:spacing w:after="0"/>
              <w:rPr>
                <w:sz w:val="24"/>
                <w:szCs w:val="24"/>
                <w:color w:val="auto"/>
              </w:rPr>
            </w:pPr>
          </w:p>
        </w:tc>
        <w:tc>
          <w:tcPr>
            <w:tcW w:w="1160" w:type="dxa"/>
            <w:vAlign w:val="bottom"/>
            <w:tcBorders>
              <w:right w:val="single" w:sz="8" w:color="auto"/>
            </w:tcBorders>
          </w:tcPr>
          <w:p>
            <w:pPr>
              <w:ind w:left="140"/>
              <w:spacing w:after="0" w:line="317"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0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ind w:left="140"/>
              <w:spacing w:after="0" w:line="322"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6"/>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3</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816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4</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SOURCE OF FUNDS</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PF</w:t>
            </w:r>
          </w:p>
        </w:tc>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816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5</w:t>
            </w:r>
          </w:p>
        </w:tc>
        <w:tc>
          <w:tcPr>
            <w:tcW w:w="81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CHECK BOX IF DISCLOSURE OF LEGAL PROCEEDING IS REQUIRED PURSUANT</w:t>
            </w:r>
          </w:p>
        </w:tc>
        <w:tc>
          <w:tcPr>
            <w:tcW w:w="160" w:type="dxa"/>
            <w:vAlign w:val="bottom"/>
          </w:tcPr>
          <w:p>
            <w:pPr>
              <w:spacing w:after="0"/>
              <w:rPr>
                <w:sz w:val="24"/>
                <w:szCs w:val="24"/>
                <w:color w:val="auto"/>
              </w:rPr>
            </w:pPr>
          </w:p>
        </w:tc>
        <w:tc>
          <w:tcPr>
            <w:tcW w:w="1160" w:type="dxa"/>
            <w:vAlign w:val="bottom"/>
            <w:tcBorders>
              <w:right w:val="single" w:sz="8" w:color="auto"/>
            </w:tcBorders>
          </w:tcPr>
          <w:p>
            <w:pPr>
              <w:ind w:left="14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81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TO ITEMS 2(d) or 2(e)</w:t>
            </w: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8160" w:type="dxa"/>
            <w:vAlign w:val="bottom"/>
            <w:tcBorders>
              <w:bottom w:val="single" w:sz="8" w:color="auto"/>
            </w:tcBorders>
            <w:gridSpan w:val="3"/>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6</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81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United States</w:t>
            </w: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7</w:t>
            </w:r>
          </w:p>
        </w:tc>
        <w:tc>
          <w:tcPr>
            <w:tcW w:w="8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22"/>
                <w:szCs w:val="22"/>
                <w:color w:val="auto"/>
              </w:rPr>
              <w:t>SOLE VOTING POWER</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w:t>
            </w:r>
          </w:p>
        </w:tc>
        <w:tc>
          <w:tcPr>
            <w:tcW w:w="1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5,800,000</w:t>
            </w: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76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8</w:t>
            </w:r>
          </w:p>
        </w:tc>
        <w:tc>
          <w:tcPr>
            <w:tcW w:w="80" w:type="dxa"/>
            <w:vAlign w:val="bottom"/>
          </w:tcPr>
          <w:p>
            <w:pPr>
              <w:spacing w:after="0"/>
              <w:rPr>
                <w:sz w:val="2"/>
                <w:szCs w:val="2"/>
                <w:color w:val="auto"/>
              </w:rPr>
            </w:pPr>
          </w:p>
        </w:tc>
        <w:tc>
          <w:tcPr>
            <w:tcW w:w="6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VOTING POWER</w:t>
            </w:r>
          </w:p>
        </w:tc>
        <w:tc>
          <w:tcPr>
            <w:tcW w:w="16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60" w:type="dxa"/>
            <w:vAlign w:val="bottom"/>
            <w:tcBorders>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SHARES</w:t>
            </w:r>
          </w:p>
        </w:tc>
        <w:tc>
          <w:tcPr>
            <w:tcW w:w="122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BENEFICIALLY</w:t>
            </w:r>
          </w:p>
        </w:tc>
        <w:tc>
          <w:tcPr>
            <w:tcW w:w="12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76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2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7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9</w:t>
            </w:r>
          </w:p>
        </w:tc>
        <w:tc>
          <w:tcPr>
            <w:tcW w:w="80" w:type="dxa"/>
            <w:vAlign w:val="bottom"/>
          </w:tcPr>
          <w:p>
            <w:pPr>
              <w:spacing w:after="0"/>
              <w:rPr>
                <w:sz w:val="8"/>
                <w:szCs w:val="8"/>
                <w:color w:val="auto"/>
              </w:rPr>
            </w:pPr>
          </w:p>
        </w:tc>
        <w:tc>
          <w:tcPr>
            <w:tcW w:w="6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SOLE DISPOSITIVE POWER</w:t>
            </w:r>
          </w:p>
        </w:tc>
        <w:tc>
          <w:tcPr>
            <w:tcW w:w="16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1"/>
                <w:szCs w:val="21"/>
                <w:color w:val="auto"/>
              </w:rPr>
              <w:t>EACH</w:t>
            </w:r>
          </w:p>
        </w:tc>
        <w:tc>
          <w:tcPr>
            <w:tcW w:w="122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1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5,800,000</w:t>
            </w: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760" w:type="dxa"/>
            <w:vAlign w:val="bottom"/>
            <w:tcBorders>
              <w:left w:val="single" w:sz="8" w:color="auto"/>
              <w:right w:val="single" w:sz="8" w:color="auto"/>
            </w:tcBorders>
            <w:vMerge w:val="continue"/>
          </w:tcPr>
          <w:p>
            <w:pPr>
              <w:spacing w:after="0"/>
              <w:rPr>
                <w:sz w:val="18"/>
                <w:szCs w:val="1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80" w:type="dxa"/>
            <w:vAlign w:val="bottom"/>
          </w:tcPr>
          <w:p>
            <w:pPr>
              <w:spacing w:after="0"/>
              <w:rPr>
                <w:sz w:val="18"/>
                <w:szCs w:val="18"/>
                <w:color w:val="auto"/>
              </w:rPr>
            </w:pPr>
          </w:p>
        </w:tc>
        <w:tc>
          <w:tcPr>
            <w:tcW w:w="6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DISPOSITIVE POWER</w:t>
            </w:r>
          </w:p>
        </w:tc>
        <w:tc>
          <w:tcPr>
            <w:tcW w:w="1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76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68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69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PERSON</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5,800,000</w:t>
            </w:r>
          </w:p>
        </w:tc>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10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w:t>
            </w:r>
          </w:p>
        </w:tc>
        <w:tc>
          <w:tcPr>
            <w:tcW w:w="83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w w:val="98"/>
              </w:rPr>
              <w:t>CHECK IF THE AGGREGATE AMOUNT IN ROW (11) EXCLUDES CERTAIN SHARES</w:t>
            </w:r>
          </w:p>
        </w:tc>
        <w:tc>
          <w:tcPr>
            <w:tcW w:w="1160" w:type="dxa"/>
            <w:vAlign w:val="bottom"/>
            <w:tcBorders>
              <w:bottom w:val="single" w:sz="8" w:color="auto"/>
              <w:right w:val="single" w:sz="8" w:color="auto"/>
            </w:tcBorders>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8.6%</w:t>
            </w:r>
          </w:p>
        </w:tc>
        <w:tc>
          <w:tcPr>
            <w:tcW w:w="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1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6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IN</w:t>
            </w:r>
          </w:p>
        </w:tc>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2" w:name="page3"/>
    <w:bookmarkEnd w:id="2"/>
    <w:p>
      <w:pPr>
        <w:spacing w:after="0"/>
        <w:tabs>
          <w:tab w:leader="none" w:pos="4840" w:val="left"/>
          <w:tab w:leader="none" w:pos="9900" w:val="left"/>
        </w:tabs>
        <w:rPr>
          <w:sz w:val="20"/>
          <w:szCs w:val="20"/>
          <w:color w:val="auto"/>
        </w:rPr>
      </w:pPr>
      <w:r>
        <w:rPr>
          <w:rFonts w:ascii="Times New Roman" w:cs="Times New Roman" w:eastAsia="Times New Roman" w:hAnsi="Times New Roman"/>
          <w:sz w:val="20"/>
          <w:szCs w:val="20"/>
          <w:b w:val="1"/>
          <w:bCs w:val="1"/>
          <w:color w:val="auto"/>
        </w:rPr>
        <w:t xml:space="preserve">CUSIP No. </w:t>
      </w:r>
      <w:r>
        <w:rPr>
          <w:rFonts w:ascii="Times New Roman" w:cs="Times New Roman" w:eastAsia="Times New Roman" w:hAnsi="Times New Roman"/>
          <w:sz w:val="21"/>
          <w:szCs w:val="21"/>
          <w:b w:val="1"/>
          <w:bCs w:val="1"/>
          <w:color w:val="auto"/>
        </w:rPr>
        <w:t>76010Y103</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3 of 6 Pages</w:t>
      </w:r>
    </w:p>
    <w:p>
      <w:pPr>
        <w:sectPr>
          <w:pgSz w:w="11900" w:h="16838" w:orient="portrait"/>
          <w:cols w:equalWidth="0" w:num="1">
            <w:col w:w="11240"/>
          </w:cols>
          <w:pgMar w:left="320" w:top="216" w:right="339" w:bottom="1440" w:gutter="0" w:footer="0" w:header="0"/>
        </w:sectPr>
      </w:pPr>
    </w:p>
    <w:p>
      <w:pPr>
        <w:spacing w:after="0" w:line="316" w:lineRule="exact"/>
        <w:rPr>
          <w:sz w:val="20"/>
          <w:szCs w:val="20"/>
          <w:color w:val="auto"/>
        </w:rPr>
      </w:pPr>
    </w:p>
    <w:p>
      <w:pPr>
        <w:ind w:left="100" w:right="100"/>
        <w:spacing w:after="0" w:line="258" w:lineRule="auto"/>
        <w:rPr>
          <w:sz w:val="20"/>
          <w:szCs w:val="20"/>
          <w:color w:val="auto"/>
        </w:rPr>
      </w:pPr>
      <w:r>
        <w:rPr>
          <w:rFonts w:ascii="Times New Roman" w:cs="Times New Roman" w:eastAsia="Times New Roman" w:hAnsi="Times New Roman"/>
          <w:sz w:val="22"/>
          <w:szCs w:val="22"/>
          <w:color w:val="auto"/>
        </w:rPr>
        <w:t>The following constitutes Amendment No. 1 to the Schedule 13D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This Amendment No. 1 amends the Schedule 13D as specifically set forth herein.</w:t>
      </w:r>
    </w:p>
    <w:p>
      <w:pPr>
        <w:spacing w:after="0" w:line="141"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SOURCE AND AMOUNT OF FUNDS OR OTHER CONSIDERATION</w:t>
      </w: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Item 3 is hereby amended and restated to read as follows:</w:t>
      </w:r>
    </w:p>
    <w:p>
      <w:pPr>
        <w:spacing w:after="0" w:line="233" w:lineRule="exact"/>
        <w:rPr>
          <w:sz w:val="20"/>
          <w:szCs w:val="20"/>
          <w:color w:val="auto"/>
        </w:rPr>
      </w:pPr>
    </w:p>
    <w:p>
      <w:pPr>
        <w:jc w:val="both"/>
        <w:ind w:left="1340" w:right="100"/>
        <w:spacing w:after="0" w:line="244" w:lineRule="auto"/>
        <w:rPr>
          <w:sz w:val="20"/>
          <w:szCs w:val="20"/>
          <w:color w:val="auto"/>
        </w:rPr>
      </w:pPr>
      <w:r>
        <w:rPr>
          <w:rFonts w:ascii="Times New Roman" w:cs="Times New Roman" w:eastAsia="Times New Roman" w:hAnsi="Times New Roman"/>
          <w:sz w:val="22"/>
          <w:szCs w:val="22"/>
          <w:color w:val="auto"/>
        </w:rPr>
        <w:t>The aggregate purchase price of the shares of Class A Common Stock (and options to purchase Class A Common Stock) reported herein was approximately $3,873,995. Such securities were acquired with personal funds of the Reporting Person.</w:t>
      </w:r>
    </w:p>
    <w:p>
      <w:pPr>
        <w:spacing w:after="0" w:line="187" w:lineRule="exact"/>
        <w:rPr>
          <w:sz w:val="20"/>
          <w:szCs w:val="20"/>
          <w:color w:val="auto"/>
        </w:rPr>
      </w:pPr>
    </w:p>
    <w:p>
      <w:pPr>
        <w:jc w:val="both"/>
        <w:ind w:left="1340" w:right="100"/>
        <w:spacing w:after="0" w:line="235" w:lineRule="auto"/>
        <w:rPr>
          <w:sz w:val="20"/>
          <w:szCs w:val="20"/>
          <w:color w:val="auto"/>
        </w:rPr>
      </w:pPr>
      <w:r>
        <w:rPr>
          <w:rFonts w:ascii="Times New Roman" w:cs="Times New Roman" w:eastAsia="Times New Roman" w:hAnsi="Times New Roman"/>
          <w:sz w:val="22"/>
          <w:szCs w:val="22"/>
          <w:color w:val="auto"/>
        </w:rPr>
        <w:t>The Reporting Person may effect purchases of shares of Class A Common Stock through margin accounts maintained for him with brokers, which extend margin credit as and when required to open or carry positions in his margin accounts, subject to applicable federal margin regulations, stock exchange rules and such firms’ credit policies. Positions in shares of Class A Common Stock may be held in margin accounts and may be pledged as collateral security for the repayment of debit balances in such accounts. Since other securities may be held in such margin accounts, it may not be possible to determine the amounts, if any, of margin used to purchase shares of Class A Common Stock.</w:t>
      </w:r>
    </w:p>
    <w:p>
      <w:pPr>
        <w:spacing w:after="0" w:line="179"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Items 5(a)-(c) are hereby amended and restated to read as follows:</w:t>
      </w:r>
    </w:p>
    <w:p>
      <w:pPr>
        <w:spacing w:after="0" w:line="233" w:lineRule="exact"/>
        <w:rPr>
          <w:sz w:val="20"/>
          <w:szCs w:val="20"/>
          <w:color w:val="auto"/>
        </w:rPr>
      </w:pPr>
    </w:p>
    <w:p>
      <w:pPr>
        <w:jc w:val="both"/>
        <w:ind w:left="1340" w:right="100" w:hanging="1235"/>
        <w:spacing w:after="0" w:line="236" w:lineRule="auto"/>
        <w:tabs>
          <w:tab w:leader="none" w:pos="1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(11) and (13) of the cover page to this Schedule 13D/A for the aggregate number of shares of Class A Common Stock and percentage of the shares of Class A Common Stock beneficially owned by the Reporting Person. The percentage used in this Schedule 13D/A is calculated based upon 67,223,096 shares of Class A Common Stock outstanding as of November 30, 2023, as reported in the Issuer’s Quarterly Report on Form 10-Q for the quarterly period ended October 31, 2023, filed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December 6, 2023.</w:t>
      </w:r>
    </w:p>
    <w:p>
      <w:pPr>
        <w:spacing w:after="0" w:line="181" w:lineRule="exact"/>
        <w:rPr>
          <w:rFonts w:ascii="Times New Roman" w:cs="Times New Roman" w:eastAsia="Times New Roman" w:hAnsi="Times New Roman"/>
          <w:sz w:val="22"/>
          <w:szCs w:val="22"/>
          <w:color w:val="auto"/>
        </w:rPr>
      </w:pPr>
    </w:p>
    <w:p>
      <w:pPr>
        <w:jc w:val="both"/>
        <w:ind w:left="1340" w:right="100" w:hanging="1235"/>
        <w:spacing w:after="0" w:line="244" w:lineRule="auto"/>
        <w:tabs>
          <w:tab w:leader="none" w:pos="1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 to this Schedule 13D/A for the number of shares of Class A Common Stock as to which the Reporting Person has the sole or shared power to vote or direct the vote and sole or shared power to dispose or to direct the disposition.</w:t>
      </w:r>
    </w:p>
    <w:p>
      <w:pPr>
        <w:spacing w:after="0" w:line="200" w:lineRule="exact"/>
        <w:rPr>
          <w:rFonts w:ascii="Times New Roman" w:cs="Times New Roman" w:eastAsia="Times New Roman" w:hAnsi="Times New Roman"/>
          <w:sz w:val="22"/>
          <w:szCs w:val="22"/>
          <w:color w:val="auto"/>
        </w:rPr>
      </w:pPr>
    </w:p>
    <w:p>
      <w:pPr>
        <w:ind w:left="1340" w:right="100" w:hanging="1235"/>
        <w:spacing w:after="0" w:line="282" w:lineRule="auto"/>
        <w:tabs>
          <w:tab w:leader="none" w:pos="13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transactions in the shares of Class A Common Stock since the filing of the Schedule 13D by the Reporting Person, which were all in the open market, are set forth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and are incorporated herein by reference.</w:t>
      </w:r>
    </w:p>
    <w:p>
      <w:pPr>
        <w:sectPr>
          <w:pgSz w:w="11900" w:h="16838" w:orient="portrait"/>
          <w:cols w:equalWidth="0" w:num="1">
            <w:col w:w="11240"/>
          </w:cols>
          <w:pgMar w:left="320" w:top="216" w:right="339" w:bottom="1440" w:gutter="0" w:footer="0" w:header="0"/>
          <w:type w:val="continuous"/>
        </w:sectPr>
      </w:pPr>
    </w:p>
    <w:bookmarkStart w:id="3" w:name="page4"/>
    <w:bookmarkEnd w:id="3"/>
    <w:p>
      <w:pPr>
        <w:spacing w:after="0"/>
        <w:tabs>
          <w:tab w:leader="none" w:pos="4840" w:val="left"/>
          <w:tab w:leader="none" w:pos="9900" w:val="left"/>
        </w:tabs>
        <w:rPr>
          <w:sz w:val="20"/>
          <w:szCs w:val="20"/>
          <w:color w:val="auto"/>
        </w:rPr>
      </w:pPr>
      <w:r>
        <w:rPr>
          <w:rFonts w:ascii="Times New Roman" w:cs="Times New Roman" w:eastAsia="Times New Roman" w:hAnsi="Times New Roman"/>
          <w:sz w:val="20"/>
          <w:szCs w:val="20"/>
          <w:b w:val="1"/>
          <w:bCs w:val="1"/>
          <w:color w:val="auto"/>
        </w:rPr>
        <w:t xml:space="preserve">CUSIP No. </w:t>
      </w:r>
      <w:r>
        <w:rPr>
          <w:rFonts w:ascii="Times New Roman" w:cs="Times New Roman" w:eastAsia="Times New Roman" w:hAnsi="Times New Roman"/>
          <w:sz w:val="21"/>
          <w:szCs w:val="21"/>
          <w:b w:val="1"/>
          <w:bCs w:val="1"/>
          <w:color w:val="auto"/>
        </w:rPr>
        <w:t>76010Y103</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4 of 6 Pages</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1340" w:right="180" w:hanging="1241"/>
        <w:spacing w:after="0" w:line="262" w:lineRule="auto"/>
        <w:tabs>
          <w:tab w:leader="none" w:pos="132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2"/>
          <w:szCs w:val="22"/>
          <w:b w:val="1"/>
          <w:bCs w:val="1"/>
          <w:color w:val="auto"/>
        </w:rPr>
        <w:t>CONTRACTS, ARRANGEMENTS, UNDERSTANDINGS OR RELATIONSHIPS WITH RESPECT TO SECURITIES OF THE ISSUER</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Item 6 is hereby amended and supplemented as follows:</w:t>
      </w:r>
    </w:p>
    <w:p>
      <w:pPr>
        <w:spacing w:after="0" w:line="233" w:lineRule="exact"/>
        <w:rPr>
          <w:sz w:val="20"/>
          <w:szCs w:val="20"/>
          <w:color w:val="auto"/>
        </w:rPr>
      </w:pPr>
    </w:p>
    <w:p>
      <w:pPr>
        <w:ind w:left="1340" w:right="440"/>
        <w:spacing w:after="0" w:line="258" w:lineRule="auto"/>
        <w:rPr>
          <w:sz w:val="20"/>
          <w:szCs w:val="20"/>
          <w:color w:val="auto"/>
        </w:rPr>
      </w:pPr>
      <w:r>
        <w:rPr>
          <w:rFonts w:ascii="Times New Roman" w:cs="Times New Roman" w:eastAsia="Times New Roman" w:hAnsi="Times New Roman"/>
          <w:sz w:val="22"/>
          <w:szCs w:val="22"/>
          <w:color w:val="auto"/>
        </w:rPr>
        <w:t>On January 19, 2024, all 10,349 of the previously reported call options related to 1,034,900 shares of Class A Common Stock with a strike price of $1 expired unexercised.</w:t>
      </w:r>
    </w:p>
    <w:p>
      <w:pPr>
        <w:sectPr>
          <w:pgSz w:w="11900" w:h="16838" w:orient="portrait"/>
          <w:cols w:equalWidth="0" w:num="1">
            <w:col w:w="11240"/>
          </w:cols>
          <w:pgMar w:left="320" w:top="216" w:right="339" w:bottom="1440" w:gutter="0" w:footer="0" w:header="0"/>
          <w:type w:val="continuous"/>
        </w:sectPr>
      </w:pPr>
    </w:p>
    <w:bookmarkStart w:id="4" w:name="page5"/>
    <w:bookmarkEnd w:id="4"/>
    <w:p>
      <w:pPr>
        <w:spacing w:after="0"/>
        <w:tabs>
          <w:tab w:leader="none" w:pos="4840" w:val="left"/>
          <w:tab w:leader="none" w:pos="9900" w:val="left"/>
        </w:tabs>
        <w:rPr>
          <w:sz w:val="20"/>
          <w:szCs w:val="20"/>
          <w:color w:val="auto"/>
        </w:rPr>
      </w:pPr>
      <w:r>
        <w:rPr>
          <w:rFonts w:ascii="Times New Roman" w:cs="Times New Roman" w:eastAsia="Times New Roman" w:hAnsi="Times New Roman"/>
          <w:sz w:val="20"/>
          <w:szCs w:val="20"/>
          <w:b w:val="1"/>
          <w:bCs w:val="1"/>
          <w:color w:val="auto"/>
        </w:rPr>
        <w:t xml:space="preserve">CUSIP No. </w:t>
      </w:r>
      <w:r>
        <w:rPr>
          <w:rFonts w:ascii="Times New Roman" w:cs="Times New Roman" w:eastAsia="Times New Roman" w:hAnsi="Times New Roman"/>
          <w:sz w:val="21"/>
          <w:szCs w:val="21"/>
          <w:b w:val="1"/>
          <w:bCs w:val="1"/>
          <w:color w:val="auto"/>
        </w:rPr>
        <w:t>76010Y103</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5 of 6 Pages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each of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23, 2024</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/s/ Yisroel Mordechai Goldstone</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YISROEL MORDECHAI GOLDSTONE</w:t>
      </w:r>
    </w:p>
    <w:p>
      <w:pPr>
        <w:sectPr>
          <w:pgSz w:w="11900" w:h="16838" w:orient="portrait"/>
          <w:cols w:equalWidth="0" w:num="1">
            <w:col w:w="11240"/>
          </w:cols>
          <w:pgMar w:left="320" w:top="216" w:right="339" w:bottom="1440" w:gutter="0" w:footer="0" w:header="0"/>
        </w:sectPr>
      </w:pPr>
    </w:p>
    <w:bookmarkStart w:id="5" w:name="page6"/>
    <w:bookmarkEnd w:id="5"/>
    <w:p>
      <w:pPr>
        <w:spacing w:after="0"/>
        <w:tabs>
          <w:tab w:leader="none" w:pos="4840" w:val="left"/>
          <w:tab w:leader="none" w:pos="9900" w:val="left"/>
        </w:tabs>
        <w:rPr>
          <w:sz w:val="20"/>
          <w:szCs w:val="20"/>
          <w:color w:val="auto"/>
        </w:rPr>
      </w:pPr>
      <w:r>
        <w:rPr>
          <w:rFonts w:ascii="Times New Roman" w:cs="Times New Roman" w:eastAsia="Times New Roman" w:hAnsi="Times New Roman"/>
          <w:sz w:val="20"/>
          <w:szCs w:val="20"/>
          <w:b w:val="1"/>
          <w:bCs w:val="1"/>
          <w:color w:val="auto"/>
        </w:rPr>
        <w:t xml:space="preserve">CUSIP No. </w:t>
      </w:r>
      <w:r>
        <w:rPr>
          <w:rFonts w:ascii="Times New Roman" w:cs="Times New Roman" w:eastAsia="Times New Roman" w:hAnsi="Times New Roman"/>
          <w:sz w:val="21"/>
          <w:szCs w:val="21"/>
          <w:b w:val="1"/>
          <w:bCs w:val="1"/>
          <w:color w:val="auto"/>
        </w:rPr>
        <w:t>76010Y103</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10" w:lineRule="exact"/>
        <w:rPr>
          <w:sz w:val="20"/>
          <w:szCs w:val="20"/>
          <w:color w:val="auto"/>
        </w:rPr>
      </w:pPr>
    </w:p>
    <w:p>
      <w:pPr>
        <w:jc w:val="both"/>
        <w:ind w:firstLine="653"/>
        <w:spacing w:after="0" w:line="244" w:lineRule="auto"/>
        <w:rPr>
          <w:sz w:val="20"/>
          <w:szCs w:val="20"/>
          <w:color w:val="auto"/>
        </w:rPr>
      </w:pPr>
      <w:r>
        <w:rPr>
          <w:rFonts w:ascii="Times New Roman" w:cs="Times New Roman" w:eastAsia="Times New Roman" w:hAnsi="Times New Roman"/>
          <w:sz w:val="22"/>
          <w:szCs w:val="22"/>
          <w:color w:val="auto"/>
        </w:rPr>
        <w:t>This Schedule sets forth information with respect to each purchase and sale of shares of Class A Common Stock which were effectuated by the Reporting Person since the filing of the Schedule 13D. All transactions were effectuated in the open market through a broker.</w:t>
      </w:r>
    </w:p>
    <w:p>
      <w:pPr>
        <w:spacing w:after="0" w:line="177" w:lineRule="exact"/>
        <w:rPr>
          <w:sz w:val="20"/>
          <w:szCs w:val="20"/>
          <w:color w:val="auto"/>
        </w:rPr>
      </w:pPr>
    </w:p>
    <w:tbl>
      <w:tblPr>
        <w:tblLayout w:type="fixed"/>
        <w:tblInd w:w="1800" w:type="dxa"/>
        <w:tblCellMar>
          <w:top w:w="0" w:type="dxa"/>
          <w:left w:w="0" w:type="dxa"/>
          <w:bottom w:w="0" w:type="dxa"/>
          <w:right w:w="0" w:type="dxa"/>
        </w:tblCellMar>
      </w:tblPr>
      <w:tr>
        <w:trPr>
          <w:trHeight w:val="253"/>
        </w:trPr>
        <w:tc>
          <w:tcPr>
            <w:tcW w:w="2120" w:type="dxa"/>
            <w:vAlign w:val="bottom"/>
          </w:tcPr>
          <w:p>
            <w:pPr>
              <w:jc w:val="center"/>
              <w:ind w:right="972"/>
              <w:spacing w:after="0"/>
              <w:rPr>
                <w:sz w:val="20"/>
                <w:szCs w:val="20"/>
                <w:color w:val="auto"/>
              </w:rPr>
            </w:pPr>
            <w:r>
              <w:rPr>
                <w:rFonts w:ascii="Times New Roman" w:cs="Times New Roman" w:eastAsia="Times New Roman" w:hAnsi="Times New Roman"/>
                <w:sz w:val="22"/>
                <w:szCs w:val="22"/>
                <w:b w:val="1"/>
                <w:bCs w:val="1"/>
                <w:color w:val="auto"/>
                <w:w w:val="97"/>
              </w:rPr>
              <w:t>Trade Date</w:t>
            </w:r>
          </w:p>
        </w:tc>
        <w:tc>
          <w:tcPr>
            <w:tcW w:w="4000" w:type="dxa"/>
            <w:vAlign w:val="bottom"/>
          </w:tcPr>
          <w:p>
            <w:pPr>
              <w:ind w:left="1100"/>
              <w:spacing w:after="0"/>
              <w:rPr>
                <w:sz w:val="20"/>
                <w:szCs w:val="20"/>
                <w:color w:val="auto"/>
              </w:rPr>
            </w:pPr>
            <w:r>
              <w:rPr>
                <w:rFonts w:ascii="Times New Roman" w:cs="Times New Roman" w:eastAsia="Times New Roman" w:hAnsi="Times New Roman"/>
                <w:sz w:val="22"/>
                <w:szCs w:val="22"/>
                <w:b w:val="1"/>
                <w:bCs w:val="1"/>
                <w:color w:val="auto"/>
              </w:rPr>
              <w:t>Shares Purchased (Sold)</w:t>
            </w:r>
          </w:p>
        </w:tc>
        <w:tc>
          <w:tcPr>
            <w:tcW w:w="24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w w:val="97"/>
              </w:rPr>
              <w:t>Price Per Share ($)</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45,879</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0.49570166</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0.50855955</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9"/>
              </w:rPr>
              <w:t>0.5086</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6"/>
              </w:rPr>
              <w:t>0.508385</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0.50593818</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0.51377999</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9"/>
              </w:rPr>
              <w:t>0.5185</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9"/>
              </w:rPr>
              <w:t>0.5198</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6"/>
              </w:rPr>
              <w:t>0.520494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5,129</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0.50499723</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580</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6"/>
              </w:rPr>
              <w:t>0.599</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0.51722626</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w w:val="97"/>
              </w:rPr>
              <w:t>100,000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0.52814756</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500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0.52512</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10,000</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6"/>
              </w:rPr>
              <w:t>0.539832</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8,200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0.54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40,000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0.55</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44,358</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0.54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10,586</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0.54990084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25,508</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0.57990905</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752</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9"/>
              </w:rPr>
              <w:t>0.5894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13,523</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0.59852309</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w w:val="97"/>
              </w:rPr>
              <w:t>108,804</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0.59998344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w w:val="97"/>
              </w:rPr>
              <w:t>200,000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0.60995218</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1/18/2024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23,380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0.58</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1/19/2024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301</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0.56</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1/19/2024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4,700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0.56993404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1/19/2024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23,945</w:t>
            </w:r>
          </w:p>
        </w:tc>
        <w:tc>
          <w:tcPr>
            <w:tcW w:w="240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6"/>
              </w:rPr>
              <w:t>0.585</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1/19/2024</w:t>
            </w:r>
          </w:p>
        </w:tc>
        <w:tc>
          <w:tcPr>
            <w:tcW w:w="40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w w:val="97"/>
              </w:rPr>
              <w:t>100,000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0.59</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1/19/2024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100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0.58</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1/22/2024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38,137</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0.57336314</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1/22/2024</w:t>
            </w:r>
          </w:p>
        </w:tc>
        <w:tc>
          <w:tcPr>
            <w:tcW w:w="40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w w:val="97"/>
              </w:rPr>
              <w:t>106,069</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0.59930083</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1/22/2024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5,800</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0.60248966</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1/22/2024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9"/>
              </w:rPr>
              <w:t>28,649</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0.62277817</w:t>
            </w:r>
          </w:p>
        </w:tc>
      </w:tr>
      <w:tr>
        <w:trPr>
          <w:trHeight w:val="243"/>
        </w:trPr>
        <w:tc>
          <w:tcPr>
            <w:tcW w:w="212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1/22/2024</w:t>
            </w:r>
          </w:p>
        </w:tc>
        <w:tc>
          <w:tcPr>
            <w:tcW w:w="4000" w:type="dxa"/>
            <w:vAlign w:val="bottom"/>
          </w:tcPr>
          <w:p>
            <w:pPr>
              <w:jc w:val="center"/>
              <w:ind w:left="332"/>
              <w:spacing w:after="0" w:line="243" w:lineRule="exact"/>
              <w:rPr>
                <w:sz w:val="20"/>
                <w:szCs w:val="20"/>
                <w:color w:val="auto"/>
              </w:rPr>
            </w:pPr>
            <w:r>
              <w:rPr>
                <w:rFonts w:ascii="Times New Roman" w:cs="Times New Roman" w:eastAsia="Times New Roman" w:hAnsi="Times New Roman"/>
                <w:sz w:val="22"/>
                <w:szCs w:val="22"/>
                <w:color w:val="auto"/>
                <w:w w:val="96"/>
              </w:rPr>
              <w:t>2,211</w:t>
            </w:r>
          </w:p>
        </w:tc>
        <w:tc>
          <w:tcPr>
            <w:tcW w:w="240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0.59414175</w:t>
            </w:r>
          </w:p>
        </w:tc>
      </w:tr>
      <w:tr>
        <w:trPr>
          <w:trHeight w:val="282"/>
        </w:trPr>
        <w:tc>
          <w:tcPr>
            <w:tcW w:w="21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8"/>
              </w:rPr>
              <w:t>1/22/2024</w:t>
            </w:r>
          </w:p>
        </w:tc>
        <w:tc>
          <w:tcPr>
            <w:tcW w:w="400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9"/>
              </w:rPr>
              <w:t>33,603</w:t>
            </w:r>
          </w:p>
        </w:tc>
        <w:tc>
          <w:tcPr>
            <w:tcW w:w="240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7"/>
              </w:rPr>
              <w:t>0.61745107</w:t>
            </w:r>
          </w:p>
        </w:tc>
      </w:tr>
    </w:tbl>
    <w:p>
      <w:pPr>
        <w:spacing w:after="0" w:line="1" w:lineRule="exact"/>
        <w:rPr>
          <w:sz w:val="20"/>
          <w:szCs w:val="20"/>
          <w:color w:val="auto"/>
        </w:rPr>
      </w:pP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2024-01-23T15:52:44Z</dcterms:created>
  <dcterms:modified xsi:type="dcterms:W3CDTF">2024-01-23T15:52:44Z</dcterms:modified>
</cp:coreProperties>
</file>