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Bjorn Sperber</w:t>
              <w:br/>
              <w:t>11111 Santa Monica Blvd, Ste 350</w:t>
              <w:br/>
              <w:t>Los Angeles, CA, 90025</w:t>
              <w:br/>
              <w:t>(424) 330-8820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Gateway Runway,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Gateway Runway Intermediate Holdings, Inc.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Special Situations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Special Situations III (Cayman)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Capital Management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Special Situations GP III,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Nexus Partners III,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6"/>
        <w:gridCol w:w="7909"/>
      </w:tblGrid>
      <w:tr>
        <w:trPr/>
        <w:tc>
          <w:tcPr>
            <w:tcW w:w="2296" w:type="dxa"/>
            <w:tcBorders/>
            <w:vAlign w:val="center"/>
          </w:tcPr>
          <w:p>
            <w:pPr>
              <w:pStyle w:val="TableContents"/>
              <w:bidi w:val="0"/>
              <w:spacing w:before="0" w:after="283"/>
              <w:jc w:val="left"/>
              <w:rPr/>
            </w:pPr>
            <w:r>
              <w:rPr/>
              <w:t>1</w:t>
            </w:r>
          </w:p>
        </w:tc>
        <w:tc>
          <w:tcPr>
            <w:tcW w:w="790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Damian Giangiacomo</w:t>
            </w:r>
          </w:p>
        </w:tc>
      </w:tr>
      <w:tr>
        <w:trPr/>
        <w:tc>
          <w:tcPr>
            <w:tcW w:w="2296" w:type="dxa"/>
            <w:tcBorders/>
            <w:vAlign w:val="center"/>
          </w:tcPr>
          <w:p>
            <w:pPr>
              <w:pStyle w:val="TableContents"/>
              <w:bidi w:val="0"/>
              <w:spacing w:before="0" w:after="283"/>
              <w:jc w:val="left"/>
              <w:rPr/>
            </w:pPr>
            <w:r>
              <w:rPr/>
              <w:t>2</w:t>
            </w:r>
          </w:p>
        </w:tc>
        <w:tc>
          <w:tcPr>
            <w:tcW w:w="790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6" w:type="dxa"/>
            <w:tcBorders/>
            <w:vAlign w:val="center"/>
          </w:tcPr>
          <w:p>
            <w:pPr>
              <w:pStyle w:val="TableContents"/>
              <w:bidi w:val="0"/>
              <w:spacing w:before="0" w:after="283"/>
              <w:jc w:val="left"/>
              <w:rPr/>
            </w:pPr>
            <w:r>
              <w:rPr/>
              <w:t>3</w:t>
            </w:r>
          </w:p>
        </w:tc>
        <w:tc>
          <w:tcPr>
            <w:tcW w:w="7909" w:type="dxa"/>
            <w:tcBorders/>
            <w:vAlign w:val="center"/>
          </w:tcPr>
          <w:p>
            <w:pPr>
              <w:pStyle w:val="TableContents"/>
              <w:bidi w:val="0"/>
              <w:spacing w:before="0" w:after="283"/>
              <w:jc w:val="left"/>
              <w:rPr/>
            </w:pPr>
            <w:r>
              <w:rPr/>
              <w:t>SEC use only</w:t>
            </w:r>
          </w:p>
        </w:tc>
      </w:tr>
      <w:tr>
        <w:trPr/>
        <w:tc>
          <w:tcPr>
            <w:tcW w:w="2296" w:type="dxa"/>
            <w:tcBorders/>
            <w:vAlign w:val="center"/>
          </w:tcPr>
          <w:p>
            <w:pPr>
              <w:pStyle w:val="TableContents"/>
              <w:bidi w:val="0"/>
              <w:spacing w:before="0" w:after="283"/>
              <w:jc w:val="left"/>
              <w:rPr/>
            </w:pPr>
            <w:r>
              <w:rPr/>
              <w:t>4</w:t>
            </w:r>
          </w:p>
        </w:tc>
        <w:tc>
          <w:tcPr>
            <w:tcW w:w="790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6" w:type="dxa"/>
            <w:tcBorders/>
            <w:vAlign w:val="center"/>
          </w:tcPr>
          <w:p>
            <w:pPr>
              <w:pStyle w:val="TableContents"/>
              <w:bidi w:val="0"/>
              <w:spacing w:before="0" w:after="283"/>
              <w:jc w:val="left"/>
              <w:rPr/>
            </w:pPr>
            <w:r>
              <w:rPr/>
              <w:t>5</w:t>
            </w:r>
          </w:p>
        </w:tc>
        <w:tc>
          <w:tcPr>
            <w:tcW w:w="790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6" w:type="dxa"/>
            <w:tcBorders/>
            <w:vAlign w:val="center"/>
          </w:tcPr>
          <w:p>
            <w:pPr>
              <w:pStyle w:val="TableContents"/>
              <w:bidi w:val="0"/>
              <w:spacing w:before="0" w:after="283"/>
              <w:jc w:val="left"/>
              <w:rPr/>
            </w:pPr>
            <w:r>
              <w:rPr/>
              <w:t>6</w:t>
            </w:r>
          </w:p>
        </w:tc>
        <w:tc>
          <w:tcPr>
            <w:tcW w:w="790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09" w:type="dxa"/>
            <w:tcBorders/>
            <w:vAlign w:val="center"/>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Contents"/>
              <w:bidi w:val="0"/>
              <w:spacing w:before="0" w:after="283"/>
              <w:jc w:val="left"/>
              <w:rPr/>
            </w:pPr>
            <w:r>
              <w:rPr/>
              <w:t>11</w:t>
            </w:r>
          </w:p>
        </w:tc>
        <w:tc>
          <w:tcPr>
            <w:tcW w:w="790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6" w:type="dxa"/>
            <w:tcBorders/>
            <w:vAlign w:val="center"/>
          </w:tcPr>
          <w:p>
            <w:pPr>
              <w:pStyle w:val="TableContents"/>
              <w:bidi w:val="0"/>
              <w:spacing w:before="0" w:after="283"/>
              <w:jc w:val="left"/>
              <w:rPr/>
            </w:pPr>
            <w:r>
              <w:rPr/>
              <w:t>12</w:t>
            </w:r>
          </w:p>
        </w:tc>
        <w:tc>
          <w:tcPr>
            <w:tcW w:w="790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6" w:type="dxa"/>
            <w:tcBorders/>
            <w:vAlign w:val="center"/>
          </w:tcPr>
          <w:p>
            <w:pPr>
              <w:pStyle w:val="TableContents"/>
              <w:bidi w:val="0"/>
              <w:spacing w:before="0" w:after="283"/>
              <w:jc w:val="left"/>
              <w:rPr/>
            </w:pPr>
            <w:r>
              <w:rPr/>
              <w:t>13</w:t>
            </w:r>
          </w:p>
        </w:tc>
        <w:tc>
          <w:tcPr>
            <w:tcW w:w="790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6" w:type="dxa"/>
            <w:tcBorders/>
            <w:vAlign w:val="center"/>
          </w:tcPr>
          <w:p>
            <w:pPr>
              <w:pStyle w:val="TableContents"/>
              <w:bidi w:val="0"/>
              <w:spacing w:before="0" w:after="283"/>
              <w:jc w:val="left"/>
              <w:rPr/>
            </w:pPr>
            <w:r>
              <w:rPr/>
              <w:t>14</w:t>
            </w:r>
          </w:p>
        </w:tc>
        <w:tc>
          <w:tcPr>
            <w:tcW w:w="790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Michael Cohen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Daniel Flesh</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4,907,316.00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4,907,316.00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4,907,316.00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12.9 %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46" w:name="item1to7"/>
      <w:bookmarkStart w:id="47" w:name="item1to7"/>
      <w:bookmarkEnd w:id="47"/>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Item 1.</w:t>
            </w:r>
          </w:p>
        </w:tc>
        <w:tc>
          <w:tcPr>
            <w:tcW w:w="9031" w:type="dxa"/>
            <w:tcBorders/>
            <w:vAlign w:val="center"/>
          </w:tcPr>
          <w:p>
            <w:pPr>
              <w:pStyle w:val="TableContents"/>
              <w:bidi w:val="0"/>
              <w:spacing w:before="0" w:after="283"/>
              <w:jc w:val="left"/>
              <w:rPr/>
            </w:pPr>
            <w:r>
              <w:rPr/>
              <w:t>Security and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74" w:type="dxa"/>
            <w:tcBorders/>
            <w:vAlign w:val="center"/>
          </w:tcPr>
          <w:p>
            <w:pPr>
              <w:pStyle w:val="TableContents"/>
              <w:bidi w:val="0"/>
              <w:spacing w:before="0" w:after="283"/>
              <w:jc w:val="left"/>
              <w:rPr/>
            </w:pPr>
            <w:r>
              <w:rPr/>
              <w:t>Item 5.</w:t>
            </w:r>
          </w:p>
        </w:tc>
        <w:tc>
          <w:tcPr>
            <w:tcW w:w="9031" w:type="dxa"/>
            <w:tcBorders/>
            <w:vAlign w:val="center"/>
          </w:tcPr>
          <w:p>
            <w:pPr>
              <w:pStyle w:val="TableContents"/>
              <w:bidi w:val="0"/>
              <w:spacing w:before="0" w:after="283"/>
              <w:jc w:val="left"/>
              <w:rPr/>
            </w:pPr>
            <w:r>
              <w:rPr/>
              <w:t>Interest in Securities of the Issuer</w:t>
            </w:r>
          </w:p>
        </w:tc>
      </w:tr>
      <w:tr>
        <w:trPr/>
        <w:tc>
          <w:tcPr>
            <w:tcW w:w="1174" w:type="dxa"/>
            <w:tcBorders/>
            <w:vAlign w:val="center"/>
          </w:tcPr>
          <w:p>
            <w:pPr>
              <w:pStyle w:val="TableContents"/>
              <w:bidi w:val="0"/>
              <w:spacing w:before="0" w:after="283"/>
              <w:jc w:val="left"/>
              <w:rPr/>
            </w:pPr>
            <w:r>
              <w:rPr/>
              <w:t>(a)</w:t>
            </w:r>
          </w:p>
        </w:tc>
        <w:tc>
          <w:tcPr>
            <w:tcW w:w="9031"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an aggregate of 37,999,472 shares of Class A Common Stock outstanding, comprising (i) 33,774,121 shares of Class A Common Stock outstanding as of September 4, 2026, as reported by the Issuer in its Quarterly Report on Form 10-Q filed with the Securities and Exchange Commission on September 11, 2026, and (ii) 4,225,351 shares of Class A Common Stock issued in the Issuer's Rights Offering and pursuant to the A&amp;R Backstop Agreement (as defined in Item 6 hereof). Gateway Runway directly holds 4,907,316 shares of Class A Common Stock. Gateway Runway is jointly owned by Gateway Runway Intermediate and Nexus SS III. Nexus SS III Cayman is the limited partner of Nexus SS III. Nexus Capital Management is the investment manager of Nexus SS III and Nexus SS III Cayman. Nexus SS GP III is the general partner of Nexus SS III and Nexus SS III Cayman. Nexus Partners is the general partner of Nexus SS GP III. Mr. Giangiacomo, Mr. Cohen and Mr. Flesh are the owners of Nexus Capital Management and Nexus Partners.</w:t>
            </w:r>
          </w:p>
        </w:tc>
      </w:tr>
      <w:tr>
        <w:trPr/>
        <w:tc>
          <w:tcPr>
            <w:tcW w:w="1174" w:type="dxa"/>
            <w:tcBorders/>
            <w:vAlign w:val="center"/>
          </w:tcPr>
          <w:p>
            <w:pPr>
              <w:pStyle w:val="TableContents"/>
              <w:bidi w:val="0"/>
              <w:spacing w:before="0" w:after="283"/>
              <w:jc w:val="left"/>
              <w:rPr/>
            </w:pPr>
            <w:r>
              <w:rPr/>
              <w:t>(b)</w:t>
            </w:r>
          </w:p>
        </w:tc>
        <w:tc>
          <w:tcPr>
            <w:tcW w:w="9031"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Story3 and CHS US Investments, the Reporting Persons believe Story3 has beneficial ownership of 4,907,316 shares of Class A Common Stock, or 12.9% of the Issuer's outstanding shares of Class A Common Stock, and CHS US Investments has beneficial ownership of 22,937,292 shares of Class A Common Stock, or 60.4% of the Issuer's outstanding shares of Class A Common Stock. Accordingly, the Reporting Persons believe that collectively, the Reporting Persons, Story3, and CHS US Investments have beneficial ownership of 32,751,924 shares of Class A Common Stock, or approximately 86.2% of the Issuer's outstanding shares of Class A Common Stock. The Reporting Persons expressly disclaim the existence of, or membership in a "group" within the meaning of Section 13(d)(3) of the Act and Rule 13d-5(b) thereunder with Story3 or CHS US Investments, as well as beneficial ownership with respect to any shares of Class A Common Stock beneficially owned by Story3 and CHS US Investments,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74" w:type="dxa"/>
            <w:tcBorders/>
            <w:vAlign w:val="center"/>
          </w:tcPr>
          <w:p>
            <w:pPr>
              <w:pStyle w:val="TableContents"/>
              <w:bidi w:val="0"/>
              <w:spacing w:before="0" w:after="283"/>
              <w:jc w:val="left"/>
              <w:rPr/>
            </w:pPr>
            <w:r>
              <w:rPr/>
              <w:t>(c)</w:t>
            </w:r>
          </w:p>
        </w:tc>
        <w:tc>
          <w:tcPr>
            <w:tcW w:w="9031" w:type="dxa"/>
            <w:tcBorders/>
            <w:vAlign w:val="center"/>
          </w:tcPr>
          <w:p>
            <w:pPr>
              <w:pStyle w:val="TableContents"/>
              <w:bidi w:val="0"/>
              <w:spacing w:before="0" w:after="0"/>
              <w:jc w:val="left"/>
              <w:rPr/>
            </w:pPr>
            <w:r>
              <w:rPr/>
              <w:t>On October 21, 2026, Gateway Runway purchased 632,922 shares of Class A Common Stock at a purchase price of $3.55 per share pursuant to the A&amp;R Backstop Agreement. Except for such purchase, none of the Reporting Persons has effected any transaction with respect to the Class A Common Stock in the past sixty days.</w:t>
            </w:r>
          </w:p>
        </w:tc>
      </w:tr>
      <w:tr>
        <w:trPr/>
        <w:tc>
          <w:tcPr>
            <w:tcW w:w="1174" w:type="dxa"/>
            <w:tcBorders/>
            <w:vAlign w:val="center"/>
          </w:tcPr>
          <w:p>
            <w:pPr>
              <w:pStyle w:val="TableContents"/>
              <w:bidi w:val="0"/>
              <w:spacing w:before="0" w:after="283"/>
              <w:jc w:val="left"/>
              <w:rPr/>
            </w:pPr>
            <w:r>
              <w:rPr/>
              <w:t>Item 6.</w:t>
            </w:r>
          </w:p>
        </w:tc>
        <w:tc>
          <w:tcPr>
            <w:tcW w:w="9031"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4" w:type="dxa"/>
            <w:tcBorders/>
            <w:vAlign w:val="center"/>
          </w:tcPr>
          <w:p>
            <w:pPr>
              <w:pStyle w:val="TableContents"/>
              <w:bidi w:val="0"/>
              <w:spacing w:before="0" w:after="283"/>
              <w:jc w:val="left"/>
              <w:rPr/>
            </w:pPr>
            <w:r>
              <w:rPr/>
              <w:t> </w:t>
            </w:r>
          </w:p>
        </w:tc>
        <w:tc>
          <w:tcPr>
            <w:tcW w:w="9031" w:type="dxa"/>
            <w:tcBorders/>
            <w:vAlign w:val="center"/>
          </w:tcPr>
          <w:p>
            <w:pPr>
              <w:pStyle w:val="TableContents"/>
              <w:bidi w:val="0"/>
              <w:spacing w:before="0" w:after="0"/>
              <w:jc w:val="left"/>
              <w:rPr/>
            </w:pPr>
            <w:r>
              <w:rPr/>
              <w:t>Item 6 of the Schedule 13D is hereby amended and supplemented as follows: On October 20, 2026, the Investor Group and the Company entered into the Amended and Restated Rights Offering Backstop Agreement (the "A&amp;R Backstop Agreement"), which amended and restated the Rights Offering Backstop Agreement previously described in Amendment No. 2 to the Schedule 13D filed on September 11, 2026. The A&amp;R Backstop Agreement amended the Rights Offering Backstop Agreement such that the number of shares each member of the Investor Group would be required to purchase pursuant to the A&amp;R Backstop Agreement was reduced by the number of shares such investor acquired pursuant to the exercise of rights in the Issuer's Rights Offering.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signatureInfo"/>
      <w:bookmarkStart w:id="49" w:name="signatureInfo"/>
      <w:bookmarkEnd w:id="4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Gateway Runway,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1"/>
        <w:gridCol w:w="4184"/>
      </w:tblGrid>
      <w:tr>
        <w:trPr/>
        <w:tc>
          <w:tcPr>
            <w:tcW w:w="60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Damian Giangiacomo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Damian Giangiacomo,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84" w:type="dxa"/>
            <w:tcBorders/>
            <w:vAlign w:val="center"/>
          </w:tcPr>
          <w:p>
            <w:pPr>
              <w:pStyle w:val="TableContents"/>
              <w:bidi w:val="0"/>
              <w:spacing w:before="0" w:after="283"/>
              <w:jc w:val="left"/>
              <w:rPr>
                <w:sz w:val="4"/>
                <w:szCs w:val="4"/>
              </w:rPr>
            </w:pPr>
            <w:r>
              <w:rPr>
                <w:sz w:val="4"/>
                <w:szCs w:val="4"/>
              </w:rPr>
            </w:r>
          </w:p>
        </w:tc>
      </w:tr>
    </w:tbl>
    <w:tbl>
      <w:tblPr>
        <w:tblW w:w="9384" w:type="dxa"/>
        <w:jc w:val="left"/>
        <w:tblInd w:w="0" w:type="dxa"/>
        <w:tblLayout w:type="fixed"/>
        <w:tblCellMar>
          <w:top w:w="28" w:type="dxa"/>
          <w:left w:w="28" w:type="dxa"/>
          <w:bottom w:w="28" w:type="dxa"/>
          <w:right w:w="28" w:type="dxa"/>
        </w:tblCellMar>
      </w:tblPr>
      <w:tblGrid>
        <w:gridCol w:w="4692"/>
        <w:gridCol w:w="4692"/>
      </w:tblGrid>
      <w:tr>
        <w:trPr/>
        <w:tc>
          <w:tcPr>
            <w:tcW w:w="4692" w:type="dxa"/>
            <w:tcBorders/>
            <w:vAlign w:val="center"/>
          </w:tcPr>
          <w:p>
            <w:pPr>
              <w:pStyle w:val="TableContents"/>
              <w:bidi w:val="0"/>
              <w:spacing w:before="0" w:after="0"/>
              <w:jc w:val="left"/>
              <w:rPr/>
            </w:pPr>
            <w:r>
              <w:rPr/>
              <w:t> </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0"/>
                    <w:jc w:val="left"/>
                    <w:rPr/>
                  </w:pPr>
                  <w:r>
                    <w:rPr/>
                    <w:t>Gateway Runway Intermediate Holdings, Inc.</w:t>
                  </w:r>
                </w:p>
              </w:tc>
            </w:tr>
          </w:tbl>
          <w:p>
            <w:pPr>
              <w:pStyle w:val="TableContents"/>
              <w:bidi w:val="0"/>
              <w:spacing w:before="0" w:after="283"/>
              <w:jc w:val="left"/>
              <w:rPr/>
            </w:pPr>
            <w:r>
              <w:rPr/>
            </w:r>
          </w:p>
        </w:tc>
        <w:tc>
          <w:tcPr>
            <w:tcW w:w="46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1"/>
        <w:gridCol w:w="4184"/>
      </w:tblGrid>
      <w:tr>
        <w:trPr/>
        <w:tc>
          <w:tcPr>
            <w:tcW w:w="60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Damian Giangiacomo</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Damian Giangiacomo, President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84"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Nexus Special Situations III, L.P.</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Nexus Special Situations III (Cayman)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Nexus Capital Management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Nexus Special Situations GP III, L.P.</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5"/>
        <w:gridCol w:w="4190"/>
      </w:tblGrid>
      <w:tr>
        <w:trPr/>
        <w:tc>
          <w:tcPr>
            <w:tcW w:w="60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Damian Giangiacomo</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Damian Giangiacomo,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90"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Nexus Partners III, LLC</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19"/>
        <w:gridCol w:w="4186"/>
      </w:tblGrid>
      <w:tr>
        <w:trPr/>
        <w:tc>
          <w:tcPr>
            <w:tcW w:w="60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Damian Giangiacomo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Damian Giangiacomo,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86"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Damian Giangiacomo</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0"/>
        <w:gridCol w:w="4215"/>
      </w:tblGrid>
      <w:tr>
        <w:trPr/>
        <w:tc>
          <w:tcPr>
            <w:tcW w:w="59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Damian Giangiacomo</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Damian Giangiacomo</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215"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Michael Cohen</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Cohen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Cohen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Daniel Flesh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1"/>
        <w:gridCol w:w="4464"/>
      </w:tblGrid>
      <w:tr>
        <w:trPr/>
        <w:tc>
          <w:tcPr>
            <w:tcW w:w="57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Daniel Flesh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Daniel Flesh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4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2385</Words>
  <Characters>12431</Characters>
  <CharactersWithSpaces>14585</CharactersWithSpaces>
  <Paragraphs>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