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RULES 13d-1 (b), (c) AND (d)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AND AMENDMENTS THERETO FILED PURSUANT TO 13d-2 (b)</w:t>
      </w:r>
    </w:p>
    <w:p>
      <w:pPr>
        <w:spacing w:after="0" w:line="9"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76010Y103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right="9620" w:firstLine="8"/>
        <w:spacing w:after="0" w:line="225" w:lineRule="exact"/>
        <w:tabs>
          <w:tab w:leader="none" w:pos="5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of 1 of 12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Exhibit Index on Page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2 of 12</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Technology Crossover Management VIII, Ltd.</w:t>
            </w: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90"/>
              <w:spacing w:after="0" w:line="163" w:lineRule="exact"/>
              <w:rPr>
                <w:sz w:val="20"/>
                <w:szCs w:val="20"/>
                <w:color w:val="auto"/>
              </w:rPr>
            </w:pPr>
            <w:r>
              <w:rPr>
                <w:rFonts w:ascii="Arial" w:cs="Arial" w:eastAsia="Arial" w:hAnsi="Arial"/>
                <w:sz w:val="18"/>
                <w:szCs w:val="18"/>
                <w:b w:val="1"/>
                <w:bCs w:val="1"/>
                <w:color w:val="auto"/>
                <w:w w:val="79"/>
              </w:rPr>
              <w:t>2</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60" w:type="dxa"/>
            <w:vAlign w:val="bottom"/>
            <w:tcBorders>
              <w:left w:val="single" w:sz="8" w:color="auto"/>
              <w:right w:val="single" w:sz="8" w:color="auto"/>
            </w:tcBorders>
          </w:tcPr>
          <w:p>
            <w:pPr>
              <w:spacing w:after="0"/>
              <w:rPr>
                <w:sz w:val="24"/>
                <w:szCs w:val="24"/>
                <w:color w:val="auto"/>
              </w:rPr>
            </w:pPr>
          </w:p>
        </w:tc>
        <w:tc>
          <w:tcPr>
            <w:tcW w:w="1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3</w:t>
            </w:r>
          </w:p>
        </w:tc>
        <w:tc>
          <w:tcPr>
            <w:tcW w:w="17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79"/>
              </w:rPr>
              <w:t>4</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Cayman Islands</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3,949,669 shares of Class A Common Stock (A)</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vMerge w:val="continue"/>
          </w:tcPr>
          <w:p>
            <w:pPr>
              <w:spacing w:after="0"/>
              <w:rPr>
                <w:sz w:val="16"/>
                <w:szCs w:val="16"/>
                <w:color w:val="auto"/>
              </w:rPr>
            </w:pPr>
          </w:p>
        </w:tc>
        <w:tc>
          <w:tcPr>
            <w:tcW w:w="1780" w:type="dxa"/>
            <w:vAlign w:val="bottom"/>
          </w:tcPr>
          <w:p>
            <w:pPr>
              <w:ind w:left="860"/>
              <w:spacing w:after="0" w:line="195"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6"/>
                <w:szCs w:val="16"/>
                <w:color w:val="auto"/>
              </w:rPr>
            </w:pPr>
          </w:p>
        </w:tc>
        <w:tc>
          <w:tcPr>
            <w:tcW w:w="71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SHARES</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rPr>
              <w:t>BENEFICIALLY</w:t>
            </w: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82"/>
        </w:trPr>
        <w:tc>
          <w:tcPr>
            <w:tcW w:w="2060" w:type="dxa"/>
            <w:vAlign w:val="bottom"/>
            <w:tcBorders>
              <w:left w:val="single" w:sz="8" w:color="auto"/>
              <w:right w:val="single" w:sz="8" w:color="auto"/>
            </w:tcBorders>
          </w:tcPr>
          <w:p>
            <w:pPr>
              <w:jc w:val="center"/>
              <w:ind w:right="110"/>
              <w:spacing w:after="0" w:line="182" w:lineRule="exact"/>
              <w:rPr>
                <w:sz w:val="20"/>
                <w:szCs w:val="20"/>
                <w:color w:val="auto"/>
              </w:rPr>
            </w:pPr>
            <w:r>
              <w:rPr>
                <w:rFonts w:ascii="Arial" w:cs="Arial" w:eastAsia="Arial" w:hAnsi="Arial"/>
                <w:sz w:val="18"/>
                <w:szCs w:val="18"/>
                <w:color w:val="auto"/>
                <w:w w:val="97"/>
              </w:rPr>
              <w:t>OWNED BY EACH</w:t>
            </w:r>
          </w:p>
        </w:tc>
        <w:tc>
          <w:tcPr>
            <w:tcW w:w="1780" w:type="dxa"/>
            <w:vAlign w:val="bottom"/>
          </w:tcPr>
          <w:p>
            <w:pPr>
              <w:ind w:left="860"/>
              <w:spacing w:after="0" w:line="182" w:lineRule="exact"/>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15"/>
                <w:szCs w:val="15"/>
                <w:color w:val="auto"/>
              </w:rPr>
            </w:pPr>
          </w:p>
        </w:tc>
        <w:tc>
          <w:tcPr>
            <w:tcW w:w="716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REPORTING</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4"/>
              </w:rPr>
              <w:t>PERSON WITH</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3,949,669 shares of Class A Common Stock (A)</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tcPr>
          <w:p>
            <w:pPr>
              <w:jc w:val="center"/>
              <w:ind w:right="90"/>
              <w:spacing w:after="0" w:line="195" w:lineRule="exact"/>
              <w:rPr>
                <w:sz w:val="20"/>
                <w:szCs w:val="20"/>
                <w:color w:val="auto"/>
              </w:rPr>
            </w:pPr>
            <w:r>
              <w:rPr>
                <w:rFonts w:ascii="Arial" w:cs="Arial" w:eastAsia="Arial" w:hAnsi="Arial"/>
                <w:sz w:val="18"/>
                <w:szCs w:val="18"/>
                <w:b w:val="1"/>
                <w:bCs w:val="1"/>
                <w:color w:val="auto"/>
                <w:w w:val="79"/>
              </w:rPr>
              <w:t>9</w:t>
            </w:r>
          </w:p>
        </w:tc>
        <w:tc>
          <w:tcPr>
            <w:tcW w:w="202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6"/>
              </w:rPr>
              <w:t>AGGREGATE AMOUNT</w:t>
            </w:r>
          </w:p>
        </w:tc>
        <w:tc>
          <w:tcPr>
            <w:tcW w:w="7160" w:type="dxa"/>
            <w:vAlign w:val="bottom"/>
            <w:tcBorders>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BENEFICIALLY OWNED BY EACH REPORTING</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spacing w:after="0"/>
              <w:rPr>
                <w:sz w:val="20"/>
                <w:szCs w:val="20"/>
                <w:color w:val="auto"/>
              </w:rPr>
            </w:pPr>
          </w:p>
        </w:tc>
        <w:tc>
          <w:tcPr>
            <w:tcW w:w="1780" w:type="dxa"/>
            <w:vAlign w:val="bottom"/>
          </w:tcPr>
          <w:p>
            <w:pPr>
              <w:ind w:left="80"/>
              <w:spacing w:after="0"/>
              <w:rPr>
                <w:sz w:val="20"/>
                <w:szCs w:val="20"/>
                <w:color w:val="auto"/>
              </w:rPr>
            </w:pPr>
            <w:r>
              <w:rPr>
                <w:rFonts w:ascii="Arial" w:cs="Arial" w:eastAsia="Arial" w:hAnsi="Arial"/>
                <w:sz w:val="18"/>
                <w:szCs w:val="18"/>
                <w:color w:val="auto"/>
              </w:rPr>
              <w:t>PERSON</w:t>
            </w: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3,949,669 shares of Class A Common Stock (A)</w:t>
            </w: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110"/>
              <w:spacing w:after="0" w:line="163" w:lineRule="exact"/>
              <w:rPr>
                <w:sz w:val="20"/>
                <w:szCs w:val="20"/>
                <w:color w:val="auto"/>
              </w:rPr>
            </w:pPr>
            <w:r>
              <w:rPr>
                <w:rFonts w:ascii="Arial" w:cs="Arial" w:eastAsia="Arial" w:hAnsi="Arial"/>
                <w:sz w:val="18"/>
                <w:szCs w:val="18"/>
                <w:b w:val="1"/>
                <w:bCs w:val="1"/>
                <w:color w:val="auto"/>
                <w:w w:val="89"/>
              </w:rPr>
              <w:t>10</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63"/>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6.6% (A)</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12</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60" w:type="dxa"/>
            <w:vAlign w:val="bottom"/>
          </w:tcPr>
          <w:p>
            <w:pPr>
              <w:spacing w:after="0"/>
              <w:rPr>
                <w:sz w:val="20"/>
                <w:szCs w:val="20"/>
                <w:color w:val="auto"/>
              </w:rPr>
            </w:pPr>
            <w:r>
              <w:rPr>
                <w:rFonts w:ascii="Arial" w:cs="Arial" w:eastAsia="Arial" w:hAnsi="Arial"/>
                <w:sz w:val="18"/>
                <w:szCs w:val="18"/>
                <w:color w:val="auto"/>
              </w:rPr>
              <w:t>(A) Please see Item 4.</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3 of 12</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Technology Crossover Management VIII, L.P.</w:t>
            </w: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90"/>
              <w:spacing w:after="0" w:line="163" w:lineRule="exact"/>
              <w:rPr>
                <w:sz w:val="20"/>
                <w:szCs w:val="20"/>
                <w:color w:val="auto"/>
              </w:rPr>
            </w:pPr>
            <w:r>
              <w:rPr>
                <w:rFonts w:ascii="Arial" w:cs="Arial" w:eastAsia="Arial" w:hAnsi="Arial"/>
                <w:sz w:val="18"/>
                <w:szCs w:val="18"/>
                <w:b w:val="1"/>
                <w:bCs w:val="1"/>
                <w:color w:val="auto"/>
                <w:w w:val="79"/>
              </w:rPr>
              <w:t>2</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60" w:type="dxa"/>
            <w:vAlign w:val="bottom"/>
            <w:tcBorders>
              <w:left w:val="single" w:sz="8" w:color="auto"/>
              <w:right w:val="single" w:sz="8" w:color="auto"/>
            </w:tcBorders>
          </w:tcPr>
          <w:p>
            <w:pPr>
              <w:spacing w:after="0"/>
              <w:rPr>
                <w:sz w:val="24"/>
                <w:szCs w:val="24"/>
                <w:color w:val="auto"/>
              </w:rPr>
            </w:pPr>
          </w:p>
        </w:tc>
        <w:tc>
          <w:tcPr>
            <w:tcW w:w="1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3</w:t>
            </w:r>
          </w:p>
        </w:tc>
        <w:tc>
          <w:tcPr>
            <w:tcW w:w="17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4</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Cayman Islands</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3,749,123 shares of Class A Common Stock (A)</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vMerge w:val="continue"/>
          </w:tcPr>
          <w:p>
            <w:pPr>
              <w:spacing w:after="0"/>
              <w:rPr>
                <w:sz w:val="16"/>
                <w:szCs w:val="16"/>
                <w:color w:val="auto"/>
              </w:rPr>
            </w:pPr>
          </w:p>
        </w:tc>
        <w:tc>
          <w:tcPr>
            <w:tcW w:w="1780" w:type="dxa"/>
            <w:vAlign w:val="bottom"/>
          </w:tcPr>
          <w:p>
            <w:pPr>
              <w:ind w:left="860"/>
              <w:spacing w:after="0" w:line="195"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6"/>
                <w:szCs w:val="16"/>
                <w:color w:val="auto"/>
              </w:rPr>
            </w:pPr>
          </w:p>
        </w:tc>
        <w:tc>
          <w:tcPr>
            <w:tcW w:w="71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SHARES</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rPr>
              <w:t>BENEFICIALLY</w:t>
            </w: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82"/>
        </w:trPr>
        <w:tc>
          <w:tcPr>
            <w:tcW w:w="2060" w:type="dxa"/>
            <w:vAlign w:val="bottom"/>
            <w:tcBorders>
              <w:left w:val="single" w:sz="8" w:color="auto"/>
              <w:right w:val="single" w:sz="8" w:color="auto"/>
            </w:tcBorders>
          </w:tcPr>
          <w:p>
            <w:pPr>
              <w:jc w:val="center"/>
              <w:ind w:right="110"/>
              <w:spacing w:after="0" w:line="182" w:lineRule="exact"/>
              <w:rPr>
                <w:sz w:val="20"/>
                <w:szCs w:val="20"/>
                <w:color w:val="auto"/>
              </w:rPr>
            </w:pPr>
            <w:r>
              <w:rPr>
                <w:rFonts w:ascii="Arial" w:cs="Arial" w:eastAsia="Arial" w:hAnsi="Arial"/>
                <w:sz w:val="18"/>
                <w:szCs w:val="18"/>
                <w:color w:val="auto"/>
                <w:w w:val="97"/>
              </w:rPr>
              <w:t>OWNED BY EACH</w:t>
            </w:r>
          </w:p>
        </w:tc>
        <w:tc>
          <w:tcPr>
            <w:tcW w:w="1780" w:type="dxa"/>
            <w:vAlign w:val="bottom"/>
          </w:tcPr>
          <w:p>
            <w:pPr>
              <w:ind w:left="860"/>
              <w:spacing w:after="0" w:line="182" w:lineRule="exact"/>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15"/>
                <w:szCs w:val="15"/>
                <w:color w:val="auto"/>
              </w:rPr>
            </w:pPr>
          </w:p>
        </w:tc>
        <w:tc>
          <w:tcPr>
            <w:tcW w:w="716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REPORTING</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4"/>
              </w:rPr>
              <w:t>PERSON WITH</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3,749,123 shares of Class A Common Stock (A)</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9</w:t>
            </w:r>
          </w:p>
        </w:tc>
        <w:tc>
          <w:tcPr>
            <w:tcW w:w="2020" w:type="dxa"/>
            <w:vAlign w:val="bottom"/>
            <w:gridSpan w:val="2"/>
          </w:tcPr>
          <w:p>
            <w:pPr>
              <w:ind w:left="80"/>
              <w:spacing w:after="0"/>
              <w:rPr>
                <w:sz w:val="20"/>
                <w:szCs w:val="20"/>
                <w:color w:val="auto"/>
              </w:rPr>
            </w:pPr>
            <w:r>
              <w:rPr>
                <w:rFonts w:ascii="Arial" w:cs="Arial" w:eastAsia="Arial" w:hAnsi="Arial"/>
                <w:sz w:val="18"/>
                <w:szCs w:val="18"/>
                <w:color w:val="auto"/>
                <w:w w:val="96"/>
              </w:rPr>
              <w:t>AGGREGATE AMOUNT</w:t>
            </w:r>
          </w:p>
        </w:tc>
        <w:tc>
          <w:tcPr>
            <w:tcW w:w="7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3,749,123 shares of Class A Common Stock (A)</w:t>
            </w: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110"/>
              <w:spacing w:after="0" w:line="163" w:lineRule="exact"/>
              <w:rPr>
                <w:sz w:val="20"/>
                <w:szCs w:val="20"/>
                <w:color w:val="auto"/>
              </w:rPr>
            </w:pPr>
            <w:r>
              <w:rPr>
                <w:rFonts w:ascii="Arial" w:cs="Arial" w:eastAsia="Arial" w:hAnsi="Arial"/>
                <w:sz w:val="18"/>
                <w:szCs w:val="18"/>
                <w:b w:val="1"/>
                <w:bCs w:val="1"/>
                <w:color w:val="auto"/>
                <w:w w:val="89"/>
              </w:rPr>
              <w:t>10</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63"/>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6.2% (A)</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12</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60" w:type="dxa"/>
            <w:vAlign w:val="bottom"/>
          </w:tcPr>
          <w:p>
            <w:pPr>
              <w:spacing w:after="0"/>
              <w:rPr>
                <w:sz w:val="20"/>
                <w:szCs w:val="20"/>
                <w:color w:val="auto"/>
              </w:rPr>
            </w:pPr>
            <w:r>
              <w:rPr>
                <w:rFonts w:ascii="Arial" w:cs="Arial" w:eastAsia="Arial" w:hAnsi="Arial"/>
                <w:sz w:val="18"/>
                <w:szCs w:val="18"/>
                <w:color w:val="auto"/>
              </w:rPr>
              <w:t>(A) Please see Item 4.</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4 of 12</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TCV VIII, L.P.</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90"/>
              <w:spacing w:after="0" w:line="163" w:lineRule="exact"/>
              <w:rPr>
                <w:sz w:val="20"/>
                <w:szCs w:val="20"/>
                <w:color w:val="auto"/>
              </w:rPr>
            </w:pPr>
            <w:r>
              <w:rPr>
                <w:rFonts w:ascii="Arial" w:cs="Arial" w:eastAsia="Arial" w:hAnsi="Arial"/>
                <w:sz w:val="18"/>
                <w:szCs w:val="18"/>
                <w:b w:val="1"/>
                <w:bCs w:val="1"/>
                <w:color w:val="auto"/>
                <w:w w:val="79"/>
              </w:rPr>
              <w:t>2</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60" w:type="dxa"/>
            <w:vAlign w:val="bottom"/>
            <w:tcBorders>
              <w:left w:val="single" w:sz="8" w:color="auto"/>
              <w:right w:val="single" w:sz="8" w:color="auto"/>
            </w:tcBorders>
          </w:tcPr>
          <w:p>
            <w:pPr>
              <w:spacing w:after="0"/>
              <w:rPr>
                <w:sz w:val="24"/>
                <w:szCs w:val="24"/>
                <w:color w:val="auto"/>
              </w:rPr>
            </w:pPr>
          </w:p>
        </w:tc>
        <w:tc>
          <w:tcPr>
            <w:tcW w:w="1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3</w:t>
            </w:r>
          </w:p>
        </w:tc>
        <w:tc>
          <w:tcPr>
            <w:tcW w:w="17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4</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Cayman Islands</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2,815,128 shares of Class A Common Stock (A)</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vMerge w:val="continue"/>
          </w:tcPr>
          <w:p>
            <w:pPr>
              <w:spacing w:after="0"/>
              <w:rPr>
                <w:sz w:val="16"/>
                <w:szCs w:val="16"/>
                <w:color w:val="auto"/>
              </w:rPr>
            </w:pPr>
          </w:p>
        </w:tc>
        <w:tc>
          <w:tcPr>
            <w:tcW w:w="1780" w:type="dxa"/>
            <w:vAlign w:val="bottom"/>
          </w:tcPr>
          <w:p>
            <w:pPr>
              <w:ind w:left="860"/>
              <w:spacing w:after="0" w:line="195"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6"/>
                <w:szCs w:val="16"/>
                <w:color w:val="auto"/>
              </w:rPr>
            </w:pPr>
          </w:p>
        </w:tc>
        <w:tc>
          <w:tcPr>
            <w:tcW w:w="71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SHARES</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rPr>
              <w:t>BENEFICIALLY</w:t>
            </w: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82"/>
        </w:trPr>
        <w:tc>
          <w:tcPr>
            <w:tcW w:w="2060" w:type="dxa"/>
            <w:vAlign w:val="bottom"/>
            <w:tcBorders>
              <w:left w:val="single" w:sz="8" w:color="auto"/>
              <w:right w:val="single" w:sz="8" w:color="auto"/>
            </w:tcBorders>
          </w:tcPr>
          <w:p>
            <w:pPr>
              <w:jc w:val="center"/>
              <w:ind w:right="110"/>
              <w:spacing w:after="0" w:line="182" w:lineRule="exact"/>
              <w:rPr>
                <w:sz w:val="20"/>
                <w:szCs w:val="20"/>
                <w:color w:val="auto"/>
              </w:rPr>
            </w:pPr>
            <w:r>
              <w:rPr>
                <w:rFonts w:ascii="Arial" w:cs="Arial" w:eastAsia="Arial" w:hAnsi="Arial"/>
                <w:sz w:val="18"/>
                <w:szCs w:val="18"/>
                <w:color w:val="auto"/>
                <w:w w:val="97"/>
              </w:rPr>
              <w:t>OWNED BY EACH</w:t>
            </w:r>
          </w:p>
        </w:tc>
        <w:tc>
          <w:tcPr>
            <w:tcW w:w="1780" w:type="dxa"/>
            <w:vAlign w:val="bottom"/>
          </w:tcPr>
          <w:p>
            <w:pPr>
              <w:ind w:left="860"/>
              <w:spacing w:after="0" w:line="182" w:lineRule="exact"/>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15"/>
                <w:szCs w:val="15"/>
                <w:color w:val="auto"/>
              </w:rPr>
            </w:pPr>
          </w:p>
        </w:tc>
        <w:tc>
          <w:tcPr>
            <w:tcW w:w="716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REPORTING</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4"/>
              </w:rPr>
              <w:t>PERSON WITH</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2,815,128 shares of Class A Common Stock (A)</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9</w:t>
            </w:r>
          </w:p>
        </w:tc>
        <w:tc>
          <w:tcPr>
            <w:tcW w:w="2020" w:type="dxa"/>
            <w:vAlign w:val="bottom"/>
            <w:gridSpan w:val="2"/>
          </w:tcPr>
          <w:p>
            <w:pPr>
              <w:ind w:left="80"/>
              <w:spacing w:after="0"/>
              <w:rPr>
                <w:sz w:val="20"/>
                <w:szCs w:val="20"/>
                <w:color w:val="auto"/>
              </w:rPr>
            </w:pPr>
            <w:r>
              <w:rPr>
                <w:rFonts w:ascii="Arial" w:cs="Arial" w:eastAsia="Arial" w:hAnsi="Arial"/>
                <w:sz w:val="18"/>
                <w:szCs w:val="18"/>
                <w:color w:val="auto"/>
                <w:w w:val="96"/>
              </w:rPr>
              <w:t>AGGREGATE AMOUNT</w:t>
            </w:r>
          </w:p>
        </w:tc>
        <w:tc>
          <w:tcPr>
            <w:tcW w:w="7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2,815,128 shares of Class A Common Stock (A)</w:t>
            </w: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110"/>
              <w:spacing w:after="0" w:line="163" w:lineRule="exact"/>
              <w:rPr>
                <w:sz w:val="20"/>
                <w:szCs w:val="20"/>
                <w:color w:val="auto"/>
              </w:rPr>
            </w:pPr>
            <w:r>
              <w:rPr>
                <w:rFonts w:ascii="Arial" w:cs="Arial" w:eastAsia="Arial" w:hAnsi="Arial"/>
                <w:sz w:val="18"/>
                <w:szCs w:val="18"/>
                <w:b w:val="1"/>
                <w:bCs w:val="1"/>
                <w:color w:val="auto"/>
                <w:w w:val="89"/>
              </w:rPr>
              <w:t>10</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63"/>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4.7% (A)</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12</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60" w:type="dxa"/>
            <w:vAlign w:val="bottom"/>
          </w:tcPr>
          <w:p>
            <w:pPr>
              <w:spacing w:after="0"/>
              <w:rPr>
                <w:sz w:val="20"/>
                <w:szCs w:val="20"/>
                <w:color w:val="auto"/>
              </w:rPr>
            </w:pPr>
            <w:r>
              <w:rPr>
                <w:rFonts w:ascii="Arial" w:cs="Arial" w:eastAsia="Arial" w:hAnsi="Arial"/>
                <w:sz w:val="18"/>
                <w:szCs w:val="18"/>
                <w:color w:val="auto"/>
              </w:rPr>
              <w:t>(A) Please see Item 4.</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5 of 12</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TCV VIII (A), L.P.</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90"/>
              <w:spacing w:after="0" w:line="163" w:lineRule="exact"/>
              <w:rPr>
                <w:sz w:val="20"/>
                <w:szCs w:val="20"/>
                <w:color w:val="auto"/>
              </w:rPr>
            </w:pPr>
            <w:r>
              <w:rPr>
                <w:rFonts w:ascii="Arial" w:cs="Arial" w:eastAsia="Arial" w:hAnsi="Arial"/>
                <w:sz w:val="18"/>
                <w:szCs w:val="18"/>
                <w:b w:val="1"/>
                <w:bCs w:val="1"/>
                <w:color w:val="auto"/>
                <w:w w:val="79"/>
              </w:rPr>
              <w:t>2</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60" w:type="dxa"/>
            <w:vAlign w:val="bottom"/>
            <w:tcBorders>
              <w:left w:val="single" w:sz="8" w:color="auto"/>
              <w:right w:val="single" w:sz="8" w:color="auto"/>
            </w:tcBorders>
          </w:tcPr>
          <w:p>
            <w:pPr>
              <w:spacing w:after="0"/>
              <w:rPr>
                <w:sz w:val="24"/>
                <w:szCs w:val="24"/>
                <w:color w:val="auto"/>
              </w:rPr>
            </w:pPr>
          </w:p>
        </w:tc>
        <w:tc>
          <w:tcPr>
            <w:tcW w:w="1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3</w:t>
            </w:r>
          </w:p>
        </w:tc>
        <w:tc>
          <w:tcPr>
            <w:tcW w:w="17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4</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Cayman Islands</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759,152 shares of Class A Common Stock (A)</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vMerge w:val="continue"/>
          </w:tcPr>
          <w:p>
            <w:pPr>
              <w:spacing w:after="0"/>
              <w:rPr>
                <w:sz w:val="16"/>
                <w:szCs w:val="16"/>
                <w:color w:val="auto"/>
              </w:rPr>
            </w:pPr>
          </w:p>
        </w:tc>
        <w:tc>
          <w:tcPr>
            <w:tcW w:w="1780" w:type="dxa"/>
            <w:vAlign w:val="bottom"/>
          </w:tcPr>
          <w:p>
            <w:pPr>
              <w:ind w:left="860"/>
              <w:spacing w:after="0" w:line="195"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6"/>
                <w:szCs w:val="16"/>
                <w:color w:val="auto"/>
              </w:rPr>
            </w:pPr>
          </w:p>
        </w:tc>
        <w:tc>
          <w:tcPr>
            <w:tcW w:w="71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SHARES</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rPr>
              <w:t>BENEFICIALLY</w:t>
            </w: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82"/>
        </w:trPr>
        <w:tc>
          <w:tcPr>
            <w:tcW w:w="2060" w:type="dxa"/>
            <w:vAlign w:val="bottom"/>
            <w:tcBorders>
              <w:left w:val="single" w:sz="8" w:color="auto"/>
              <w:right w:val="single" w:sz="8" w:color="auto"/>
            </w:tcBorders>
          </w:tcPr>
          <w:p>
            <w:pPr>
              <w:jc w:val="center"/>
              <w:ind w:right="110"/>
              <w:spacing w:after="0" w:line="182" w:lineRule="exact"/>
              <w:rPr>
                <w:sz w:val="20"/>
                <w:szCs w:val="20"/>
                <w:color w:val="auto"/>
              </w:rPr>
            </w:pPr>
            <w:r>
              <w:rPr>
                <w:rFonts w:ascii="Arial" w:cs="Arial" w:eastAsia="Arial" w:hAnsi="Arial"/>
                <w:sz w:val="18"/>
                <w:szCs w:val="18"/>
                <w:color w:val="auto"/>
                <w:w w:val="97"/>
              </w:rPr>
              <w:t>OWNED BY EACH</w:t>
            </w:r>
          </w:p>
        </w:tc>
        <w:tc>
          <w:tcPr>
            <w:tcW w:w="1780" w:type="dxa"/>
            <w:vAlign w:val="bottom"/>
          </w:tcPr>
          <w:p>
            <w:pPr>
              <w:ind w:left="860"/>
              <w:spacing w:after="0" w:line="182" w:lineRule="exact"/>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15"/>
                <w:szCs w:val="15"/>
                <w:color w:val="auto"/>
              </w:rPr>
            </w:pPr>
          </w:p>
        </w:tc>
        <w:tc>
          <w:tcPr>
            <w:tcW w:w="716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REPORTING</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4"/>
              </w:rPr>
              <w:t>PERSON WITH</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759,152 shares of Class A Common Stock (A)</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9</w:t>
            </w:r>
          </w:p>
        </w:tc>
        <w:tc>
          <w:tcPr>
            <w:tcW w:w="2020" w:type="dxa"/>
            <w:vAlign w:val="bottom"/>
            <w:gridSpan w:val="2"/>
          </w:tcPr>
          <w:p>
            <w:pPr>
              <w:ind w:left="80"/>
              <w:spacing w:after="0"/>
              <w:rPr>
                <w:sz w:val="20"/>
                <w:szCs w:val="20"/>
                <w:color w:val="auto"/>
              </w:rPr>
            </w:pPr>
            <w:r>
              <w:rPr>
                <w:rFonts w:ascii="Arial" w:cs="Arial" w:eastAsia="Arial" w:hAnsi="Arial"/>
                <w:sz w:val="18"/>
                <w:szCs w:val="18"/>
                <w:color w:val="auto"/>
                <w:w w:val="96"/>
              </w:rPr>
              <w:t>AGGREGATE AMOUNT</w:t>
            </w:r>
          </w:p>
        </w:tc>
        <w:tc>
          <w:tcPr>
            <w:tcW w:w="7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759,152 shares of Class A Common Stock (A)</w:t>
            </w: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110"/>
              <w:spacing w:after="0" w:line="163" w:lineRule="exact"/>
              <w:rPr>
                <w:sz w:val="20"/>
                <w:szCs w:val="20"/>
                <w:color w:val="auto"/>
              </w:rPr>
            </w:pPr>
            <w:r>
              <w:rPr>
                <w:rFonts w:ascii="Arial" w:cs="Arial" w:eastAsia="Arial" w:hAnsi="Arial"/>
                <w:sz w:val="18"/>
                <w:szCs w:val="18"/>
                <w:b w:val="1"/>
                <w:bCs w:val="1"/>
                <w:color w:val="auto"/>
                <w:w w:val="89"/>
              </w:rPr>
              <w:t>10</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63"/>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1.3% (A)</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12</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60" w:type="dxa"/>
            <w:vAlign w:val="bottom"/>
          </w:tcPr>
          <w:p>
            <w:pPr>
              <w:spacing w:after="0"/>
              <w:rPr>
                <w:sz w:val="20"/>
                <w:szCs w:val="20"/>
                <w:color w:val="auto"/>
              </w:rPr>
            </w:pPr>
            <w:r>
              <w:rPr>
                <w:rFonts w:ascii="Arial" w:cs="Arial" w:eastAsia="Arial" w:hAnsi="Arial"/>
                <w:sz w:val="18"/>
                <w:szCs w:val="18"/>
                <w:color w:val="auto"/>
              </w:rPr>
              <w:t>(A) Please see Item 4.</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6 of 12</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TCV VIII (B), L.P.</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90"/>
              <w:spacing w:after="0" w:line="163" w:lineRule="exact"/>
              <w:rPr>
                <w:sz w:val="20"/>
                <w:szCs w:val="20"/>
                <w:color w:val="auto"/>
              </w:rPr>
            </w:pPr>
            <w:r>
              <w:rPr>
                <w:rFonts w:ascii="Arial" w:cs="Arial" w:eastAsia="Arial" w:hAnsi="Arial"/>
                <w:sz w:val="18"/>
                <w:szCs w:val="18"/>
                <w:b w:val="1"/>
                <w:bCs w:val="1"/>
                <w:color w:val="auto"/>
                <w:w w:val="79"/>
              </w:rPr>
              <w:t>2</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60" w:type="dxa"/>
            <w:vAlign w:val="bottom"/>
            <w:tcBorders>
              <w:left w:val="single" w:sz="8" w:color="auto"/>
              <w:right w:val="single" w:sz="8" w:color="auto"/>
            </w:tcBorders>
          </w:tcPr>
          <w:p>
            <w:pPr>
              <w:spacing w:after="0"/>
              <w:rPr>
                <w:sz w:val="24"/>
                <w:szCs w:val="24"/>
                <w:color w:val="auto"/>
              </w:rPr>
            </w:pPr>
          </w:p>
        </w:tc>
        <w:tc>
          <w:tcPr>
            <w:tcW w:w="1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3</w:t>
            </w:r>
          </w:p>
        </w:tc>
        <w:tc>
          <w:tcPr>
            <w:tcW w:w="17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4</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Cayman Islands</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174,843 shares of Class A Common Stock (A)</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vMerge w:val="continue"/>
          </w:tcPr>
          <w:p>
            <w:pPr>
              <w:spacing w:after="0"/>
              <w:rPr>
                <w:sz w:val="16"/>
                <w:szCs w:val="16"/>
                <w:color w:val="auto"/>
              </w:rPr>
            </w:pPr>
          </w:p>
        </w:tc>
        <w:tc>
          <w:tcPr>
            <w:tcW w:w="1780" w:type="dxa"/>
            <w:vAlign w:val="bottom"/>
          </w:tcPr>
          <w:p>
            <w:pPr>
              <w:ind w:left="860"/>
              <w:spacing w:after="0" w:line="195"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6"/>
                <w:szCs w:val="16"/>
                <w:color w:val="auto"/>
              </w:rPr>
            </w:pPr>
          </w:p>
        </w:tc>
        <w:tc>
          <w:tcPr>
            <w:tcW w:w="71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SHARES</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rPr>
              <w:t>BENEFICIALLY</w:t>
            </w: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82"/>
        </w:trPr>
        <w:tc>
          <w:tcPr>
            <w:tcW w:w="2060" w:type="dxa"/>
            <w:vAlign w:val="bottom"/>
            <w:tcBorders>
              <w:left w:val="single" w:sz="8" w:color="auto"/>
              <w:right w:val="single" w:sz="8" w:color="auto"/>
            </w:tcBorders>
          </w:tcPr>
          <w:p>
            <w:pPr>
              <w:jc w:val="center"/>
              <w:ind w:right="110"/>
              <w:spacing w:after="0" w:line="182" w:lineRule="exact"/>
              <w:rPr>
                <w:sz w:val="20"/>
                <w:szCs w:val="20"/>
                <w:color w:val="auto"/>
              </w:rPr>
            </w:pPr>
            <w:r>
              <w:rPr>
                <w:rFonts w:ascii="Arial" w:cs="Arial" w:eastAsia="Arial" w:hAnsi="Arial"/>
                <w:sz w:val="18"/>
                <w:szCs w:val="18"/>
                <w:color w:val="auto"/>
                <w:w w:val="97"/>
              </w:rPr>
              <w:t>OWNED BY EACH</w:t>
            </w:r>
          </w:p>
        </w:tc>
        <w:tc>
          <w:tcPr>
            <w:tcW w:w="1780" w:type="dxa"/>
            <w:vAlign w:val="bottom"/>
          </w:tcPr>
          <w:p>
            <w:pPr>
              <w:ind w:left="860"/>
              <w:spacing w:after="0" w:line="182" w:lineRule="exact"/>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15"/>
                <w:szCs w:val="15"/>
                <w:color w:val="auto"/>
              </w:rPr>
            </w:pPr>
          </w:p>
        </w:tc>
        <w:tc>
          <w:tcPr>
            <w:tcW w:w="716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REPORTING</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4"/>
              </w:rPr>
              <w:t>PERSON WITH</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174,843 shares of Class A Common Stock (A)</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9</w:t>
            </w:r>
          </w:p>
        </w:tc>
        <w:tc>
          <w:tcPr>
            <w:tcW w:w="2020" w:type="dxa"/>
            <w:vAlign w:val="bottom"/>
            <w:gridSpan w:val="2"/>
          </w:tcPr>
          <w:p>
            <w:pPr>
              <w:ind w:left="80"/>
              <w:spacing w:after="0"/>
              <w:rPr>
                <w:sz w:val="20"/>
                <w:szCs w:val="20"/>
                <w:color w:val="auto"/>
              </w:rPr>
            </w:pPr>
            <w:r>
              <w:rPr>
                <w:rFonts w:ascii="Arial" w:cs="Arial" w:eastAsia="Arial" w:hAnsi="Arial"/>
                <w:sz w:val="18"/>
                <w:szCs w:val="18"/>
                <w:color w:val="auto"/>
                <w:w w:val="96"/>
              </w:rPr>
              <w:t>AGGREGATE AMOUNT</w:t>
            </w:r>
          </w:p>
        </w:tc>
        <w:tc>
          <w:tcPr>
            <w:tcW w:w="7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174,843 shares of Class A Common Stock (A)</w:t>
            </w: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110"/>
              <w:spacing w:after="0" w:line="163" w:lineRule="exact"/>
              <w:rPr>
                <w:sz w:val="20"/>
                <w:szCs w:val="20"/>
                <w:color w:val="auto"/>
              </w:rPr>
            </w:pPr>
            <w:r>
              <w:rPr>
                <w:rFonts w:ascii="Arial" w:cs="Arial" w:eastAsia="Arial" w:hAnsi="Arial"/>
                <w:sz w:val="18"/>
                <w:szCs w:val="18"/>
                <w:b w:val="1"/>
                <w:bCs w:val="1"/>
                <w:color w:val="auto"/>
                <w:w w:val="89"/>
              </w:rPr>
              <w:t>10</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63"/>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17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0.3% (A)</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12</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60" w:type="dxa"/>
            <w:vAlign w:val="bottom"/>
          </w:tcPr>
          <w:p>
            <w:pPr>
              <w:spacing w:after="0"/>
              <w:rPr>
                <w:sz w:val="20"/>
                <w:szCs w:val="20"/>
                <w:color w:val="auto"/>
              </w:rPr>
            </w:pPr>
            <w:r>
              <w:rPr>
                <w:rFonts w:ascii="Arial" w:cs="Arial" w:eastAsia="Arial" w:hAnsi="Arial"/>
                <w:sz w:val="18"/>
                <w:szCs w:val="18"/>
                <w:color w:val="auto"/>
              </w:rPr>
              <w:t>(A) Please see Item 4.</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4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7 of 12</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auto"/>
            </w:tcBorders>
          </w:tcPr>
          <w:p>
            <w:pPr>
              <w:spacing w:after="0"/>
              <w:rPr>
                <w:sz w:val="18"/>
                <w:szCs w:val="18"/>
                <w:color w:val="auto"/>
              </w:rPr>
            </w:pPr>
          </w:p>
        </w:tc>
        <w:tc>
          <w:tcPr>
            <w:tcW w:w="91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7"/>
              </w:rPr>
              <w:t>TCV Member Fund, L.P.</w:t>
            </w: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90"/>
              <w:spacing w:after="0" w:line="163" w:lineRule="exact"/>
              <w:rPr>
                <w:sz w:val="20"/>
                <w:szCs w:val="20"/>
                <w:color w:val="auto"/>
              </w:rPr>
            </w:pPr>
            <w:r>
              <w:rPr>
                <w:rFonts w:ascii="Arial" w:cs="Arial" w:eastAsia="Arial" w:hAnsi="Arial"/>
                <w:sz w:val="18"/>
                <w:szCs w:val="18"/>
                <w:b w:val="1"/>
                <w:bCs w:val="1"/>
                <w:color w:val="auto"/>
                <w:w w:val="79"/>
              </w:rPr>
              <w:t>2</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060" w:type="dxa"/>
            <w:vAlign w:val="bottom"/>
            <w:tcBorders>
              <w:left w:val="single" w:sz="8" w:color="auto"/>
              <w:right w:val="single" w:sz="8" w:color="auto"/>
            </w:tcBorders>
          </w:tcPr>
          <w:p>
            <w:pPr>
              <w:spacing w:after="0"/>
              <w:rPr>
                <w:sz w:val="24"/>
                <w:szCs w:val="24"/>
                <w:color w:val="auto"/>
              </w:rPr>
            </w:pPr>
          </w:p>
        </w:tc>
        <w:tc>
          <w:tcPr>
            <w:tcW w:w="202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46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gridSpan w:val="2"/>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3</w:t>
            </w:r>
          </w:p>
        </w:tc>
        <w:tc>
          <w:tcPr>
            <w:tcW w:w="20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346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4</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Cayman Islands</w:t>
            </w: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200,546 shares of Class A Common Stock (A)</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vMerge w:val="continue"/>
          </w:tcPr>
          <w:p>
            <w:pPr>
              <w:spacing w:after="0"/>
              <w:rPr>
                <w:sz w:val="16"/>
                <w:szCs w:val="16"/>
                <w:color w:val="auto"/>
              </w:rPr>
            </w:pPr>
          </w:p>
        </w:tc>
        <w:tc>
          <w:tcPr>
            <w:tcW w:w="1780" w:type="dxa"/>
            <w:vAlign w:val="bottom"/>
          </w:tcPr>
          <w:p>
            <w:pPr>
              <w:ind w:left="860"/>
              <w:spacing w:after="0" w:line="195" w:lineRule="exact"/>
              <w:rPr>
                <w:sz w:val="20"/>
                <w:szCs w:val="20"/>
                <w:color w:val="auto"/>
              </w:rPr>
            </w:pPr>
            <w:r>
              <w:rPr>
                <w:rFonts w:ascii="Arial" w:cs="Arial" w:eastAsia="Arial" w:hAnsi="Arial"/>
                <w:sz w:val="18"/>
                <w:szCs w:val="18"/>
                <w:b w:val="1"/>
                <w:bCs w:val="1"/>
                <w:color w:val="auto"/>
              </w:rPr>
              <w:t>6</w:t>
            </w:r>
          </w:p>
        </w:tc>
        <w:tc>
          <w:tcPr>
            <w:tcW w:w="240" w:type="dxa"/>
            <w:vAlign w:val="bottom"/>
            <w:tcBorders>
              <w:right w:val="single" w:sz="8" w:color="auto"/>
            </w:tcBorders>
          </w:tcPr>
          <w:p>
            <w:pPr>
              <w:spacing w:after="0"/>
              <w:rPr>
                <w:sz w:val="16"/>
                <w:szCs w:val="16"/>
                <w:color w:val="auto"/>
              </w:rPr>
            </w:pPr>
          </w:p>
        </w:tc>
        <w:tc>
          <w:tcPr>
            <w:tcW w:w="71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SHARES</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rPr>
              <w:t>BENEFICIALLY</w:t>
            </w: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82"/>
        </w:trPr>
        <w:tc>
          <w:tcPr>
            <w:tcW w:w="2060" w:type="dxa"/>
            <w:vAlign w:val="bottom"/>
            <w:tcBorders>
              <w:left w:val="single" w:sz="8" w:color="auto"/>
              <w:right w:val="single" w:sz="8" w:color="auto"/>
            </w:tcBorders>
          </w:tcPr>
          <w:p>
            <w:pPr>
              <w:jc w:val="center"/>
              <w:ind w:right="110"/>
              <w:spacing w:after="0" w:line="182" w:lineRule="exact"/>
              <w:rPr>
                <w:sz w:val="20"/>
                <w:szCs w:val="20"/>
                <w:color w:val="auto"/>
              </w:rPr>
            </w:pPr>
            <w:r>
              <w:rPr>
                <w:rFonts w:ascii="Arial" w:cs="Arial" w:eastAsia="Arial" w:hAnsi="Arial"/>
                <w:sz w:val="18"/>
                <w:szCs w:val="18"/>
                <w:color w:val="auto"/>
                <w:w w:val="97"/>
              </w:rPr>
              <w:t>OWNED BY EACH</w:t>
            </w:r>
          </w:p>
        </w:tc>
        <w:tc>
          <w:tcPr>
            <w:tcW w:w="1780" w:type="dxa"/>
            <w:vAlign w:val="bottom"/>
          </w:tcPr>
          <w:p>
            <w:pPr>
              <w:ind w:left="860"/>
              <w:spacing w:after="0" w:line="182" w:lineRule="exact"/>
              <w:rPr>
                <w:sz w:val="20"/>
                <w:szCs w:val="20"/>
                <w:color w:val="auto"/>
              </w:rPr>
            </w:pPr>
            <w:r>
              <w:rPr>
                <w:rFonts w:ascii="Arial" w:cs="Arial" w:eastAsia="Arial" w:hAnsi="Arial"/>
                <w:sz w:val="18"/>
                <w:szCs w:val="18"/>
                <w:b w:val="1"/>
                <w:bCs w:val="1"/>
                <w:color w:val="auto"/>
              </w:rPr>
              <w:t>7</w:t>
            </w:r>
          </w:p>
        </w:tc>
        <w:tc>
          <w:tcPr>
            <w:tcW w:w="240" w:type="dxa"/>
            <w:vAlign w:val="bottom"/>
            <w:tcBorders>
              <w:right w:val="single" w:sz="8" w:color="auto"/>
            </w:tcBorders>
          </w:tcPr>
          <w:p>
            <w:pPr>
              <w:spacing w:after="0"/>
              <w:rPr>
                <w:sz w:val="15"/>
                <w:szCs w:val="15"/>
                <w:color w:val="auto"/>
              </w:rPr>
            </w:pPr>
          </w:p>
        </w:tc>
        <w:tc>
          <w:tcPr>
            <w:tcW w:w="7160" w:type="dxa"/>
            <w:vAlign w:val="bottom"/>
            <w:tcBorders>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3"/>
              </w:rPr>
              <w:t>REPORTING</w:t>
            </w:r>
          </w:p>
        </w:tc>
        <w:tc>
          <w:tcPr>
            <w:tcW w:w="1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4"/>
              </w:rPr>
              <w:t>PERSON WITH</w:t>
            </w:r>
          </w:p>
        </w:tc>
        <w:tc>
          <w:tcPr>
            <w:tcW w:w="17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200,546 shares of Class A Common Stock (A)</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Pr>
          <w:p>
            <w:pPr>
              <w:ind w:left="860"/>
              <w:spacing w:after="0"/>
              <w:rPr>
                <w:sz w:val="20"/>
                <w:szCs w:val="20"/>
                <w:color w:val="auto"/>
              </w:rPr>
            </w:pPr>
            <w:r>
              <w:rPr>
                <w:rFonts w:ascii="Arial" w:cs="Arial" w:eastAsia="Arial" w:hAnsi="Arial"/>
                <w:sz w:val="18"/>
                <w:szCs w:val="18"/>
                <w:b w:val="1"/>
                <w:bCs w:val="1"/>
                <w:color w:val="auto"/>
              </w:rPr>
              <w:t>8</w:t>
            </w:r>
          </w:p>
        </w:tc>
        <w:tc>
          <w:tcPr>
            <w:tcW w:w="240" w:type="dxa"/>
            <w:vAlign w:val="bottom"/>
            <w:tcBorders>
              <w:right w:val="single" w:sz="8" w:color="auto"/>
            </w:tcBorders>
          </w:tcPr>
          <w:p>
            <w:pPr>
              <w:spacing w:after="0"/>
              <w:rPr>
                <w:sz w:val="19"/>
                <w:szCs w:val="19"/>
                <w:color w:val="auto"/>
              </w:rPr>
            </w:pPr>
          </w:p>
        </w:tc>
        <w:tc>
          <w:tcPr>
            <w:tcW w:w="71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9</w:t>
            </w:r>
          </w:p>
        </w:tc>
        <w:tc>
          <w:tcPr>
            <w:tcW w:w="2020" w:type="dxa"/>
            <w:vAlign w:val="bottom"/>
            <w:gridSpan w:val="2"/>
          </w:tcPr>
          <w:p>
            <w:pPr>
              <w:ind w:left="80"/>
              <w:spacing w:after="0"/>
              <w:rPr>
                <w:sz w:val="20"/>
                <w:szCs w:val="20"/>
                <w:color w:val="auto"/>
              </w:rPr>
            </w:pPr>
            <w:r>
              <w:rPr>
                <w:rFonts w:ascii="Arial" w:cs="Arial" w:eastAsia="Arial" w:hAnsi="Arial"/>
                <w:sz w:val="18"/>
                <w:szCs w:val="18"/>
                <w:color w:val="auto"/>
                <w:w w:val="96"/>
              </w:rPr>
              <w:t>AGGREGATE AMOUNT</w:t>
            </w:r>
          </w:p>
        </w:tc>
        <w:tc>
          <w:tcPr>
            <w:tcW w:w="7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200,546 shares of Class A Common Stock (A)</w:t>
            </w: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right w:val="single" w:sz="8" w:color="auto"/>
            </w:tcBorders>
          </w:tcPr>
          <w:p>
            <w:pPr>
              <w:jc w:val="center"/>
              <w:ind w:right="110"/>
              <w:spacing w:after="0" w:line="163" w:lineRule="exact"/>
              <w:rPr>
                <w:sz w:val="20"/>
                <w:szCs w:val="20"/>
                <w:color w:val="auto"/>
              </w:rPr>
            </w:pPr>
            <w:r>
              <w:rPr>
                <w:rFonts w:ascii="Arial" w:cs="Arial" w:eastAsia="Arial" w:hAnsi="Arial"/>
                <w:sz w:val="18"/>
                <w:szCs w:val="18"/>
                <w:b w:val="1"/>
                <w:bCs w:val="1"/>
                <w:color w:val="auto"/>
                <w:w w:val="89"/>
              </w:rPr>
              <w:t>10</w:t>
            </w:r>
          </w:p>
        </w:tc>
        <w:tc>
          <w:tcPr>
            <w:tcW w:w="918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63"/>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20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Borders>
              <w:bottom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11</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0.3% (A)</w:t>
            </w: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12</w:t>
            </w:r>
          </w:p>
        </w:tc>
        <w:tc>
          <w:tcPr>
            <w:tcW w:w="91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60" w:type="dxa"/>
            <w:vAlign w:val="bottom"/>
          </w:tcPr>
          <w:p>
            <w:pPr>
              <w:spacing w:after="0"/>
              <w:rPr>
                <w:sz w:val="20"/>
                <w:szCs w:val="20"/>
                <w:color w:val="auto"/>
              </w:rPr>
            </w:pPr>
            <w:r>
              <w:rPr>
                <w:rFonts w:ascii="Arial" w:cs="Arial" w:eastAsia="Arial" w:hAnsi="Arial"/>
                <w:sz w:val="18"/>
                <w:szCs w:val="18"/>
                <w:color w:val="auto"/>
              </w:rPr>
              <w:t>(A) Please see Item 4.</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8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2"/>
              </w:rPr>
              <w:t>CUSIP # 76010Y103</w:t>
            </w:r>
          </w:p>
        </w:tc>
        <w:tc>
          <w:tcPr>
            <w:tcW w:w="21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8 of 12</w:t>
            </w:r>
          </w:p>
        </w:tc>
      </w:tr>
      <w:tr>
        <w:trPr>
          <w:trHeight w:val="426"/>
        </w:trPr>
        <w:tc>
          <w:tcPr>
            <w:tcW w:w="16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Name of Issuer</w:t>
            </w:r>
          </w:p>
        </w:tc>
      </w:tr>
      <w:tr>
        <w:trPr>
          <w:trHeight w:val="432"/>
        </w:trPr>
        <w:tc>
          <w:tcPr>
            <w:tcW w:w="1680" w:type="dxa"/>
            <w:vAlign w:val="bottom"/>
          </w:tcPr>
          <w:p>
            <w:pPr>
              <w:spacing w:after="0"/>
              <w:rPr>
                <w:sz w:val="24"/>
                <w:szCs w:val="24"/>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Rent the Runway, Inc. (the “Issuer”)</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680" w:type="dxa"/>
            <w:vAlign w:val="bottom"/>
          </w:tcPr>
          <w:p>
            <w:pPr>
              <w:spacing w:after="0"/>
              <w:rPr>
                <w:sz w:val="24"/>
                <w:szCs w:val="24"/>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10 Jay Street</w:t>
            </w:r>
          </w:p>
        </w:tc>
      </w:tr>
      <w:tr>
        <w:trPr>
          <w:trHeight w:val="230"/>
        </w:trPr>
        <w:tc>
          <w:tcPr>
            <w:tcW w:w="1680" w:type="dxa"/>
            <w:vAlign w:val="bottom"/>
          </w:tcPr>
          <w:p>
            <w:pPr>
              <w:spacing w:after="0"/>
              <w:rPr>
                <w:sz w:val="20"/>
                <w:szCs w:val="20"/>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Brooklyn, NY 11201</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Name of Persons Filing</w:t>
            </w:r>
          </w:p>
        </w:tc>
      </w:tr>
      <w:tr>
        <w:trPr>
          <w:trHeight w:val="418"/>
        </w:trPr>
        <w:tc>
          <w:tcPr>
            <w:tcW w:w="1680" w:type="dxa"/>
            <w:vAlign w:val="bottom"/>
          </w:tcPr>
          <w:p>
            <w:pPr>
              <w:spacing w:after="0"/>
              <w:rPr>
                <w:sz w:val="24"/>
                <w:szCs w:val="24"/>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w w:val="99"/>
              </w:rPr>
              <w:t>This statement is being filed by (1) Technology Crossover Management VIII, Ltd., a Cayman Islands exempted company</w:t>
            </w:r>
          </w:p>
        </w:tc>
      </w:tr>
      <w:tr>
        <w:trPr>
          <w:trHeight w:val="216"/>
        </w:trPr>
        <w:tc>
          <w:tcPr>
            <w:tcW w:w="1680" w:type="dxa"/>
            <w:vAlign w:val="bottom"/>
          </w:tcPr>
          <w:p>
            <w:pPr>
              <w:spacing w:after="0"/>
              <w:rPr>
                <w:sz w:val="18"/>
                <w:szCs w:val="18"/>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w w:val="94"/>
              </w:rPr>
              <w:t>(“Management VIII”), (2) Technology Crossover Management VIII, L.P, a Cayman Islands exempted limited partnership (“TCM</w:t>
            </w:r>
          </w:p>
        </w:tc>
      </w:tr>
      <w:tr>
        <w:trPr>
          <w:trHeight w:val="216"/>
        </w:trPr>
        <w:tc>
          <w:tcPr>
            <w:tcW w:w="1680" w:type="dxa"/>
            <w:vAlign w:val="bottom"/>
          </w:tcPr>
          <w:p>
            <w:pPr>
              <w:spacing w:after="0"/>
              <w:rPr>
                <w:sz w:val="18"/>
                <w:szCs w:val="18"/>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w w:val="94"/>
              </w:rPr>
              <w:t>VIII”), (3) TCV VIII, L.P., a Cayman Islands exempted limited partnership (“TCV VIII”), (4) TCV VIII (A), L.P., a Cayman Islands</w:t>
            </w:r>
          </w:p>
        </w:tc>
      </w:tr>
      <w:tr>
        <w:trPr>
          <w:trHeight w:val="216"/>
        </w:trPr>
        <w:tc>
          <w:tcPr>
            <w:tcW w:w="1680" w:type="dxa"/>
            <w:vAlign w:val="bottom"/>
          </w:tcPr>
          <w:p>
            <w:pPr>
              <w:spacing w:after="0"/>
              <w:rPr>
                <w:sz w:val="18"/>
                <w:szCs w:val="18"/>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w w:val="97"/>
              </w:rPr>
              <w:t>exempted limited partnership (“TCV VIII (A)”), (5) TCV VIII (B), L.P., a Cayman Islands exempted limited partnership (“TCV</w:t>
            </w:r>
          </w:p>
        </w:tc>
      </w:tr>
      <w:tr>
        <w:trPr>
          <w:trHeight w:val="216"/>
        </w:trPr>
        <w:tc>
          <w:tcPr>
            <w:tcW w:w="1680" w:type="dxa"/>
            <w:vAlign w:val="bottom"/>
          </w:tcPr>
          <w:p>
            <w:pPr>
              <w:spacing w:after="0"/>
              <w:rPr>
                <w:sz w:val="18"/>
                <w:szCs w:val="18"/>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w w:val="96"/>
              </w:rPr>
              <w:t>VIII (B)”), and (6) TCV Member Fund, L.P., a Cayman Islands exempted limited partnership (“Member Fund”). The foregoing</w:t>
            </w:r>
          </w:p>
        </w:tc>
      </w:tr>
      <w:tr>
        <w:trPr>
          <w:trHeight w:val="230"/>
        </w:trPr>
        <w:tc>
          <w:tcPr>
            <w:tcW w:w="1680" w:type="dxa"/>
            <w:vAlign w:val="bottom"/>
          </w:tcPr>
          <w:p>
            <w:pPr>
              <w:spacing w:after="0"/>
              <w:rPr>
                <w:sz w:val="20"/>
                <w:szCs w:val="20"/>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entities are collectively referred to herein as the “Reporting Persons.”</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Address of Principal Business Office</w:t>
            </w:r>
          </w:p>
        </w:tc>
      </w:tr>
      <w:tr>
        <w:trPr>
          <w:trHeight w:val="418"/>
        </w:trPr>
        <w:tc>
          <w:tcPr>
            <w:tcW w:w="1680" w:type="dxa"/>
            <w:vAlign w:val="bottom"/>
          </w:tcPr>
          <w:p>
            <w:pPr>
              <w:spacing w:after="0"/>
              <w:rPr>
                <w:sz w:val="24"/>
                <w:szCs w:val="24"/>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The mailing address for each of the Reporting Persons is:</w:t>
            </w:r>
          </w:p>
        </w:tc>
      </w:tr>
      <w:tr>
        <w:trPr>
          <w:trHeight w:val="216"/>
        </w:trPr>
        <w:tc>
          <w:tcPr>
            <w:tcW w:w="1680" w:type="dxa"/>
            <w:vAlign w:val="bottom"/>
          </w:tcPr>
          <w:p>
            <w:pPr>
              <w:spacing w:after="0"/>
              <w:rPr>
                <w:sz w:val="18"/>
                <w:szCs w:val="18"/>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c/o TCV</w:t>
            </w:r>
          </w:p>
        </w:tc>
      </w:tr>
      <w:tr>
        <w:trPr>
          <w:trHeight w:val="216"/>
        </w:trPr>
        <w:tc>
          <w:tcPr>
            <w:tcW w:w="1680" w:type="dxa"/>
            <w:vAlign w:val="bottom"/>
          </w:tcPr>
          <w:p>
            <w:pPr>
              <w:spacing w:after="0"/>
              <w:rPr>
                <w:sz w:val="18"/>
                <w:szCs w:val="18"/>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250 Middlefield Road</w:t>
            </w:r>
          </w:p>
        </w:tc>
      </w:tr>
      <w:tr>
        <w:trPr>
          <w:trHeight w:val="230"/>
        </w:trPr>
        <w:tc>
          <w:tcPr>
            <w:tcW w:w="1680" w:type="dxa"/>
            <w:vAlign w:val="bottom"/>
          </w:tcPr>
          <w:p>
            <w:pPr>
              <w:spacing w:after="0"/>
              <w:rPr>
                <w:sz w:val="20"/>
                <w:szCs w:val="20"/>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Menlo Park, California 94025</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Citizenship</w:t>
            </w:r>
          </w:p>
        </w:tc>
      </w:tr>
      <w:tr>
        <w:trPr>
          <w:trHeight w:val="418"/>
        </w:trPr>
        <w:tc>
          <w:tcPr>
            <w:tcW w:w="1680" w:type="dxa"/>
            <w:vAlign w:val="bottom"/>
          </w:tcPr>
          <w:p>
            <w:pPr>
              <w:spacing w:after="0"/>
              <w:rPr>
                <w:sz w:val="24"/>
                <w:szCs w:val="24"/>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Management VIII is a Cayman Islands exempted company. Each of TCM VIII, TCV VIII, TCV VIII (A), TCV VIII (B) and</w:t>
            </w:r>
          </w:p>
        </w:tc>
      </w:tr>
      <w:tr>
        <w:trPr>
          <w:trHeight w:val="230"/>
        </w:trPr>
        <w:tc>
          <w:tcPr>
            <w:tcW w:w="1680" w:type="dxa"/>
            <w:vAlign w:val="bottom"/>
          </w:tcPr>
          <w:p>
            <w:pPr>
              <w:spacing w:after="0"/>
              <w:rPr>
                <w:sz w:val="20"/>
                <w:szCs w:val="20"/>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Member Fund is a Cayman Islands exempted limited partnership.</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Item 2(d) and 2(e).</w:t>
            </w: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Title of Class of Securities and CUSIP Number</w:t>
            </w:r>
          </w:p>
        </w:tc>
      </w:tr>
      <w:tr>
        <w:trPr>
          <w:trHeight w:val="418"/>
        </w:trPr>
        <w:tc>
          <w:tcPr>
            <w:tcW w:w="1680" w:type="dxa"/>
            <w:vAlign w:val="bottom"/>
          </w:tcPr>
          <w:p>
            <w:pPr>
              <w:spacing w:after="0"/>
              <w:rPr>
                <w:sz w:val="24"/>
                <w:szCs w:val="24"/>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Class A Common Stock, par value $0.001 per share (“Class A Common Stock”)</w:t>
            </w:r>
          </w:p>
        </w:tc>
      </w:tr>
      <w:tr>
        <w:trPr>
          <w:trHeight w:val="230"/>
        </w:trPr>
        <w:tc>
          <w:tcPr>
            <w:tcW w:w="1680" w:type="dxa"/>
            <w:vAlign w:val="bottom"/>
          </w:tcPr>
          <w:p>
            <w:pPr>
              <w:spacing w:after="0"/>
              <w:rPr>
                <w:sz w:val="20"/>
                <w:szCs w:val="20"/>
                <w:color w:val="auto"/>
              </w:rPr>
            </w:pP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CUSIP Number: 76010Y103</w:t>
            </w:r>
          </w:p>
        </w:tc>
      </w:tr>
      <w:tr>
        <w:trPr>
          <w:trHeight w:val="702"/>
        </w:trPr>
        <w:tc>
          <w:tcPr>
            <w:tcW w:w="1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8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2"/>
              </w:rPr>
              <w:t>CUSIP # 76010Y103</w:t>
            </w:r>
          </w:p>
        </w:tc>
        <w:tc>
          <w:tcPr>
            <w:tcW w:w="21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9 of 12</w:t>
            </w:r>
          </w:p>
        </w:tc>
      </w:tr>
      <w:tr>
        <w:trPr>
          <w:trHeight w:val="426"/>
        </w:trPr>
        <w:tc>
          <w:tcPr>
            <w:tcW w:w="16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56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60" w:type="dxa"/>
            <w:vAlign w:val="bottom"/>
            <w:gridSpan w:val="3"/>
          </w:tcPr>
          <w:p>
            <w:pPr>
              <w:ind w:left="20"/>
              <w:spacing w:after="0"/>
              <w:rPr>
                <w:sz w:val="20"/>
                <w:szCs w:val="20"/>
                <w:color w:val="auto"/>
              </w:rPr>
            </w:pPr>
            <w:r>
              <w:rPr>
                <w:rFonts w:ascii="Arial" w:cs="Arial" w:eastAsia="Arial" w:hAnsi="Arial"/>
                <w:sz w:val="18"/>
                <w:szCs w:val="18"/>
                <w:b w:val="1"/>
                <w:bCs w:val="1"/>
                <w:color w:val="auto"/>
              </w:rPr>
              <w:t>Ownership</w:t>
            </w:r>
          </w:p>
        </w:tc>
      </w:tr>
    </w:tbl>
    <w:p>
      <w:pPr>
        <w:spacing w:after="0" w:line="202"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responses of the Reporting Persons to Rows (5) through (9) and (11) of the cover pages of this Schedule 13G as of December 31, 2021 are incorporated herein by reference.</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information with respect to the percentage of Class A Common Stock beneficially owned by each Reporting Person is based on 60,096,327 shares of Class A Common Stock outstanding as of December 7, 2021, as reported in the Form 10-Q filed by the Issuer with the Securities and Exchange Commission on December 10, 2021.</w:t>
      </w:r>
    </w:p>
    <w:p>
      <w:pPr>
        <w:spacing w:after="0" w:line="184"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Each of TCV VIII, TCV VIII (A), TCV VIII (B) and Member Fund (collectively, the “TCV Entities”) has the sole power to dispose or direct the disposition of the shares of Class A Common Stock that it holds directly and has the sole power to vote or direct the vote of such shares.</w:t>
      </w:r>
    </w:p>
    <w:p>
      <w:pPr>
        <w:spacing w:after="0" w:line="14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Management VIII and TCM VIII disclaims beneficial ownership of the shares of Class A Common Stock owned by the TCV Entities, except to the extent of their respective pecuniary interest therein.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Reporting Persons may be deemed to be acting as a group in relation to their respective holdings in the Issuer but do not affirm the existence of any such group.</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Except as set forth in this Item 4, each of the Reporting Persons disclaims beneficial ownership of any shares of Class A Common Stock owned beneficially or of record by any 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8"/>
                <w:szCs w:val="18"/>
                <w:color w:val="auto"/>
                <w:w w:val="94"/>
              </w:rPr>
              <w:t>Page 10 of 12</w:t>
            </w:r>
          </w:p>
        </w:tc>
      </w:tr>
    </w:tbl>
    <w:p>
      <w:pPr>
        <w:spacing w:after="0" w:line="19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700" w:right="220" w:hanging="1686"/>
        <w:spacing w:after="0" w:line="282" w:lineRule="auto"/>
        <w:tabs>
          <w:tab w:leader="none" w:pos="1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4 above.</w:t>
      </w:r>
    </w:p>
    <w:p>
      <w:pPr>
        <w:spacing w:after="0" w:line="22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8"/>
                <w:szCs w:val="18"/>
                <w:color w:val="auto"/>
                <w:w w:val="94"/>
              </w:rPr>
              <w:t>Page 11 of 12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our knowledge and belief, we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Technology Crossover Management VIII, Ltd.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Technology Crossover Management VIII,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TCV VIII, L.P.</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TCV VIII (A), L.P.</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TCV VIII (B), L.P.</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TCV MEMBER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c>
          <w:tcPr>
            <w:tcW w:w="560" w:type="dxa"/>
            <w:vAlign w:val="bottom"/>
          </w:tcPr>
          <w:p>
            <w:pPr>
              <w:spacing w:after="0"/>
              <w:rPr>
                <w:sz w:val="20"/>
                <w:szCs w:val="20"/>
                <w:color w:val="auto"/>
              </w:rPr>
            </w:pP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c>
          <w:tcPr>
            <w:tcW w:w="560" w:type="dxa"/>
            <w:vAlign w:val="bottom"/>
          </w:tcPr>
          <w:p>
            <w:pPr>
              <w:spacing w:after="0"/>
              <w:rPr>
                <w:sz w:val="17"/>
                <w:szCs w:val="17"/>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c>
          <w:tcPr>
            <w:tcW w:w="560" w:type="dxa"/>
            <w:vAlign w:val="bottom"/>
          </w:tcPr>
          <w:p>
            <w:pPr>
              <w:spacing w:after="0"/>
              <w:rPr>
                <w:sz w:val="20"/>
                <w:szCs w:val="20"/>
                <w:color w:val="auto"/>
              </w:rPr>
            </w:pPr>
          </w:p>
        </w:tc>
      </w:tr>
      <w:tr>
        <w:trPr>
          <w:trHeight w:val="675"/>
        </w:trPr>
        <w:tc>
          <w:tcPr>
            <w:tcW w:w="6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 76010Y103</w:t>
            </w: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8"/>
                <w:szCs w:val="18"/>
                <w:color w:val="auto"/>
                <w:w w:val="94"/>
              </w:rPr>
              <w:t>Page 12 of 12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Exhibit</w:t>
      </w:r>
    </w:p>
    <w:p>
      <w:pPr>
        <w:spacing w:after="0" w:line="23" w:lineRule="exact"/>
        <w:rPr>
          <w:sz w:val="20"/>
          <w:szCs w:val="20"/>
          <w:color w:val="auto"/>
        </w:rPr>
      </w:pPr>
    </w:p>
    <w:p>
      <w:pPr>
        <w:spacing w:after="0"/>
        <w:tabs>
          <w:tab w:leader="none" w:pos="1680" w:val="left"/>
        </w:tabs>
        <w:rPr>
          <w:rFonts w:ascii="Arial" w:cs="Arial" w:eastAsia="Arial" w:hAnsi="Arial"/>
          <w:sz w:val="16"/>
          <w:szCs w:val="16"/>
          <w:u w:val="single" w:color="auto"/>
          <w:color w:val="0000EE"/>
        </w:rPr>
      </w:pPr>
      <w:hyperlink w:anchor="page13">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13">
        <w:r>
          <w:rPr>
            <w:rFonts w:ascii="Arial" w:cs="Arial" w:eastAsia="Arial" w:hAnsi="Arial"/>
            <w:sz w:val="16"/>
            <w:szCs w:val="16"/>
            <w:u w:val="single" w:color="auto"/>
            <w:color w:val="0000EE"/>
          </w:rPr>
          <w:t>Agreement of Joint Filing dated February 8, 2022.</w:t>
        </w:r>
      </w:hyperlink>
    </w:p>
    <w:p>
      <w:pPr>
        <w:spacing w:after="0" w:line="9" w:lineRule="exact"/>
        <w:rPr>
          <w:sz w:val="20"/>
          <w:szCs w:val="20"/>
          <w:color w:val="auto"/>
        </w:rPr>
      </w:pPr>
    </w:p>
    <w:p>
      <w:pPr>
        <w:ind w:left="1700" w:right="200" w:hanging="1686"/>
        <w:spacing w:after="0" w:line="290" w:lineRule="auto"/>
        <w:tabs>
          <w:tab w:leader="none" w:pos="1680" w:val="left"/>
        </w:tabs>
        <w:rPr>
          <w:rFonts w:ascii="Arial" w:cs="Arial" w:eastAsia="Arial" w:hAnsi="Arial"/>
          <w:sz w:val="17"/>
          <w:szCs w:val="17"/>
          <w:u w:val="single" w:color="auto"/>
          <w:color w:val="0000EE"/>
        </w:rPr>
      </w:pPr>
      <w:hyperlink r:id="rId19">
        <w:r>
          <w:rPr>
            <w:rFonts w:ascii="Arial" w:cs="Arial" w:eastAsia="Arial" w:hAnsi="Arial"/>
            <w:sz w:val="18"/>
            <w:szCs w:val="18"/>
            <w:u w:val="single" w:color="auto"/>
            <w:color w:val="0000EE"/>
          </w:rPr>
          <w:t>Exhibit 99.2:</w:t>
        </w:r>
      </w:hyperlink>
      <w:r>
        <w:rPr>
          <w:rFonts w:ascii="Arial" w:cs="Arial" w:eastAsia="Arial" w:hAnsi="Arial"/>
          <w:sz w:val="18"/>
          <w:szCs w:val="18"/>
          <w:u w:val="single" w:color="auto"/>
          <w:color w:val="0000EE"/>
        </w:rPr>
        <w:tab/>
      </w:r>
      <w:hyperlink r:id="rId19">
        <w:r>
          <w:rPr>
            <w:rFonts w:ascii="Arial" w:cs="Arial" w:eastAsia="Arial" w:hAnsi="Arial"/>
            <w:sz w:val="17"/>
            <w:szCs w:val="17"/>
            <w:u w:val="single" w:color="auto"/>
            <w:color w:val="0000EE"/>
          </w:rPr>
          <w:t>Statement Appointing Designated Filer and Authorized Signatories dated February 14, 2019 (incorporated by reference to Exhibit</w:t>
        </w:r>
      </w:hyperlink>
      <w:r>
        <w:rPr>
          <w:rFonts w:ascii="Arial" w:cs="Arial" w:eastAsia="Arial" w:hAnsi="Arial"/>
          <w:sz w:val="17"/>
          <w:szCs w:val="17"/>
          <w:u w:val="single" w:color="auto"/>
          <w:color w:val="0000EE"/>
        </w:rPr>
        <w:t xml:space="preserve"> </w:t>
      </w:r>
      <w:hyperlink r:id="rId19">
        <w:r>
          <w:rPr>
            <w:rFonts w:ascii="Arial" w:cs="Arial" w:eastAsia="Arial" w:hAnsi="Arial"/>
            <w:sz w:val="17"/>
            <w:szCs w:val="17"/>
            <w:u w:val="single" w:color="auto"/>
            <w:color w:val="0000EE"/>
          </w:rPr>
          <w:t>99.2 to the Schedule 13G relating to the Ordinary Shares of Spotify Technology S.A. filed on February 14,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Common Stock, par value $0.001 per share, of Rent the Runway, Inc., a Delaware corporation, and that this Agreement may be included as an Exhibit to such joint filing. This Agreement may be executed in any number of counterparts, all of which taken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as of the 8th day of February,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Technology Crossover Management VIII, Ltd.</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Technology Crossover Management VIII,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acting by 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Technology Crossover Management VIII,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TCV VIII,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acting by 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Technology Crossover Management VIII,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limited partnership, acting by its general</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Technology Crossover Management VIII,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c>
          <w:tcPr>
            <w:tcW w:w="560" w:type="dxa"/>
            <w:vAlign w:val="bottom"/>
          </w:tcPr>
          <w:p>
            <w:pPr>
              <w:spacing w:after="0"/>
              <w:rPr>
                <w:sz w:val="20"/>
                <w:szCs w:val="20"/>
                <w:color w:val="auto"/>
              </w:rPr>
            </w:pP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c>
          <w:tcPr>
            <w:tcW w:w="560" w:type="dxa"/>
            <w:vAlign w:val="bottom"/>
          </w:tcPr>
          <w:p>
            <w:pPr>
              <w:spacing w:after="0"/>
              <w:rPr>
                <w:sz w:val="17"/>
                <w:szCs w:val="17"/>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c>
          <w:tcPr>
            <w:tcW w:w="560" w:type="dxa"/>
            <w:vAlign w:val="bottom"/>
          </w:tcPr>
          <w:p>
            <w:pPr>
              <w:spacing w:after="0"/>
              <w:rPr>
                <w:sz w:val="20"/>
                <w:szCs w:val="20"/>
                <w:color w:val="auto"/>
              </w:rPr>
            </w:pPr>
          </w:p>
        </w:tc>
      </w:tr>
      <w:tr>
        <w:trPr>
          <w:trHeight w:val="675"/>
        </w:trPr>
        <w:tc>
          <w:tcPr>
            <w:tcW w:w="6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ind w:left="5640"/>
        <w:spacing w:after="0"/>
        <w:rPr>
          <w:sz w:val="20"/>
          <w:szCs w:val="20"/>
          <w:color w:val="auto"/>
        </w:rPr>
      </w:pPr>
      <w:r>
        <w:rPr>
          <w:rFonts w:ascii="Arial" w:cs="Arial" w:eastAsia="Arial" w:hAnsi="Arial"/>
          <w:sz w:val="18"/>
          <w:szCs w:val="18"/>
          <w:b w:val="1"/>
          <w:bCs w:val="1"/>
          <w:color w:val="auto"/>
        </w:rPr>
        <w:t>TCV VIII (A),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acting by 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Technology Crossover Management VIII,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limited partnership, acting by its general</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Technology Crossover Management VIII,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TCV VIII (B),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acting by 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Technology Crossover Management VIII,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limited partnership, acting by its general</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Technology Crossover Management VIII,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TCV MEMBER FUND,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acting by 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Technology Crossover Management VIII,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D. Fenton</w:t>
            </w:r>
          </w:p>
        </w:tc>
        <w:tc>
          <w:tcPr>
            <w:tcW w:w="560" w:type="dxa"/>
            <w:vAlign w:val="bottom"/>
          </w:tcPr>
          <w:p>
            <w:pPr>
              <w:spacing w:after="0"/>
              <w:rPr>
                <w:sz w:val="20"/>
                <w:szCs w:val="20"/>
                <w:color w:val="auto"/>
              </w:rPr>
            </w:pP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Frederic D. Fenton</w:t>
            </w:r>
          </w:p>
        </w:tc>
        <w:tc>
          <w:tcPr>
            <w:tcW w:w="560" w:type="dxa"/>
            <w:vAlign w:val="bottom"/>
          </w:tcPr>
          <w:p>
            <w:pPr>
              <w:spacing w:after="0"/>
              <w:rPr>
                <w:sz w:val="17"/>
                <w:szCs w:val="17"/>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Authorized Signatory</w:t>
            </w:r>
          </w:p>
        </w:tc>
        <w:tc>
          <w:tcPr>
            <w:tcW w:w="560" w:type="dxa"/>
            <w:vAlign w:val="bottom"/>
          </w:tcPr>
          <w:p>
            <w:pPr>
              <w:spacing w:after="0"/>
              <w:rPr>
                <w:sz w:val="20"/>
                <w:szCs w:val="20"/>
                <w:color w:val="auto"/>
              </w:rPr>
            </w:pPr>
          </w:p>
        </w:tc>
      </w:tr>
      <w:tr>
        <w:trPr>
          <w:trHeight w:val="675"/>
        </w:trPr>
        <w:tc>
          <w:tcPr>
            <w:tcW w:w="6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19" Type="http://schemas.openxmlformats.org/officeDocument/2006/relationships/hyperlink" Target="https://www.sec.gov/Archives/edgar/data/1420295/000114420419008250/tv513684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2022-02-08T15:52:37Z</dcterms:created>
  <dcterms:modified xsi:type="dcterms:W3CDTF">2022-02-08T15:52:37Z</dcterms:modified>
</cp:coreProperties>
</file>