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line="230"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0"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21, 2025</w:t>
      </w:r>
    </w:p>
    <w:p>
      <w:pPr>
        <w:ind w:left="4580"/>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Rent the Runway,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Borders>
              <w:top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Borders>
              <w:top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3840" w:type="dxa"/>
            <w:vAlign w:val="bottom"/>
            <w:tcBorders>
              <w:top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80-0376379</w:t>
            </w:r>
          </w:p>
        </w:tc>
      </w:tr>
      <w:tr>
        <w:trPr>
          <w:trHeight w:val="238"/>
        </w:trPr>
        <w:tc>
          <w:tcPr>
            <w:tcW w:w="41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8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524-6860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___________________</w:t>
      </w: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300" w:hanging="25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00" w:hanging="25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00" w:hanging="25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00" w:hanging="25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shd w:val="clear" w:color="auto" w:fill="FEFEFE"/>
          </w:tcPr>
          <w:p>
            <w:pPr>
              <w:spacing w:after="0"/>
              <w:rPr>
                <w:sz w:val="18"/>
                <w:szCs w:val="18"/>
                <w:color w:val="auto"/>
              </w:rPr>
            </w:pPr>
          </w:p>
        </w:tc>
        <w:tc>
          <w:tcPr>
            <w:tcW w:w="1680" w:type="dxa"/>
            <w:vAlign w:val="bottom"/>
            <w:gridSpan w:val="2"/>
            <w:shd w:val="clear" w:color="auto" w:fill="FEFEFE"/>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518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Borders>
              <w:top w:val="single" w:sz="8" w:color="FEFEFE"/>
            </w:tcBorders>
            <w:shd w:val="clear" w:color="auto" w:fill="FEFEFE"/>
          </w:tcPr>
          <w:p>
            <w:pPr>
              <w:spacing w:after="0"/>
              <w:rPr>
                <w:sz w:val="18"/>
                <w:szCs w:val="18"/>
                <w:color w:val="auto"/>
              </w:rPr>
            </w:pPr>
          </w:p>
        </w:tc>
        <w:tc>
          <w:tcPr>
            <w:tcW w:w="15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tcBorders>
              <w:top w:val="single" w:sz="8" w:color="FEFEFE"/>
            </w:tcBorders>
            <w:shd w:val="clear" w:color="auto" w:fill="FEFEFE"/>
          </w:tcPr>
          <w:p>
            <w:pPr>
              <w:spacing w:after="0"/>
              <w:rPr>
                <w:sz w:val="18"/>
                <w:szCs w:val="18"/>
                <w:color w:val="auto"/>
              </w:rPr>
            </w:pPr>
          </w:p>
        </w:tc>
        <w:tc>
          <w:tcPr>
            <w:tcW w:w="42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described under Item 5.07 below, Rent the Runway, Inc. (the “Company”) held a Special Meeting of Stockholders on October 21, 2025 (the “Special Meeting”). At the Special Meeting, the stockholders of the Company approved the Second Amended and Restated 2021 Incentive Award Plan (the “2021 Plan”) (i) to increase the number of shares of Class A common stock, par value $0.001 per share (the “Class A Common Stock”), reserved for issuance thereunder by the number of shares equal to 18.3% of the shares of Class A Common Stock outstanding immediately following the closing of the transactions contemplated by the Exchange Agreement, dated August 20, 2025, by and between the Company and CHS US Investments LLC (the transaction closing date, the “Closing Date”) and (ii) to extend the expiration date of the 2021 Plan to the tenth anniversary of the Closing Date. The Board of Directors (the “Board”) of the Company previously approved the adoption of the 2021 Plan (as recommended by the compensation committee of the Board), subject to approval by the Company’s stockholders at the Special Meeting.</w:t>
      </w:r>
    </w:p>
    <w:p>
      <w:pPr>
        <w:spacing w:after="0" w:line="19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principal features of the 2021 Plan are described in detail under “Proposal No. 3 – The Plan Amendment Proposal” of the Company’s Definitive Proxy Statement filed with the Securities and Exchange Commission on September 29, 2025 (the “Proxy Statement”), which descriptions are incorporated herein by reference.</w:t>
      </w:r>
    </w:p>
    <w:p>
      <w:pPr>
        <w:spacing w:after="0" w:line="17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of the 2021 Plan does not purport to be complete and is subject to and qualified in its entirety by reference to the text of the 2021 Plan, a copy of which is included in the Proxy Statement as Exhibit F.</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At the Special Meeting, a total of 1,594,589 shares of Class A Common Stock and 155,699 shares of Class B common stock, par value $0.001 per share (the “Class B Common Stock” and, together with the Class A Common Stock, the “Common Stock”), representing 3,113,980 votes, were present in person or represented by proxy at the meeting, representing approximately 66.52% of the combined voting power of the Company’s outstanding Common Stock as of the September 23, 2025 record date. The following are the voting results for the proposals considered and voted upon at the meeting, each of which was described in the Proxy Statement.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Item 1 - Approval, for purposes of complying with the listing rules of the Nasdaq Global Market (the “Nasdaq Listing Rules”), including, but not limited to, Rule 5635(b), of the issuance of shares of Class A Common Stock upon the Term Loan Conversion (as defined in the Proxy Statement).</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Votes FOR</w:t>
            </w:r>
          </w:p>
        </w:tc>
        <w:tc>
          <w:tcPr>
            <w:tcW w:w="3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28"/>
        </w:trPr>
        <w:tc>
          <w:tcPr>
            <w:tcW w:w="28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4,700,944</w:t>
            </w:r>
          </w:p>
        </w:tc>
        <w:tc>
          <w:tcPr>
            <w:tcW w:w="360" w:type="dxa"/>
            <w:vAlign w:val="bottom"/>
          </w:tcPr>
          <w:p>
            <w:pPr>
              <w:spacing w:after="0"/>
              <w:rPr>
                <w:sz w:val="19"/>
                <w:szCs w:val="19"/>
                <w:color w:val="auto"/>
              </w:rPr>
            </w:pPr>
          </w:p>
        </w:tc>
        <w:tc>
          <w:tcPr>
            <w:tcW w:w="270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7,031</w:t>
            </w:r>
          </w:p>
        </w:tc>
        <w:tc>
          <w:tcPr>
            <w:tcW w:w="360" w:type="dxa"/>
            <w:vAlign w:val="bottom"/>
          </w:tcPr>
          <w:p>
            <w:pPr>
              <w:spacing w:after="0"/>
              <w:rPr>
                <w:sz w:val="19"/>
                <w:szCs w:val="19"/>
                <w:color w:val="auto"/>
              </w:rPr>
            </w:pPr>
          </w:p>
        </w:tc>
        <w:tc>
          <w:tcPr>
            <w:tcW w:w="2680" w:type="dxa"/>
            <w:vAlign w:val="bottom"/>
            <w:tcBorders>
              <w:top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594</w:t>
            </w:r>
          </w:p>
        </w:tc>
      </w:tr>
    </w:tbl>
    <w:p>
      <w:pPr>
        <w:spacing w:after="0" w:line="1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Item 2 - Approval, for purposes of complying with the Nasdaq Listing Rules, including, but not limited to, Rules 5635(b) and (d), of the issuance of shares of Class A Common Stock pursuant to the Rights Offering Backstop Agreement, dated as of August 20, 2025, by and among the Company, CHS US Investments LLC, Gateway Runway, LLC and S3 RR Aggregator, LLC.</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Votes FOR</w:t>
            </w:r>
          </w:p>
        </w:tc>
        <w:tc>
          <w:tcPr>
            <w:tcW w:w="3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28"/>
        </w:trPr>
        <w:tc>
          <w:tcPr>
            <w:tcW w:w="28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4,700,819</w:t>
            </w:r>
          </w:p>
        </w:tc>
        <w:tc>
          <w:tcPr>
            <w:tcW w:w="360" w:type="dxa"/>
            <w:vAlign w:val="bottom"/>
          </w:tcPr>
          <w:p>
            <w:pPr>
              <w:spacing w:after="0"/>
              <w:rPr>
                <w:sz w:val="19"/>
                <w:szCs w:val="19"/>
                <w:color w:val="auto"/>
              </w:rPr>
            </w:pPr>
          </w:p>
        </w:tc>
        <w:tc>
          <w:tcPr>
            <w:tcW w:w="270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7,183</w:t>
            </w:r>
          </w:p>
        </w:tc>
        <w:tc>
          <w:tcPr>
            <w:tcW w:w="360" w:type="dxa"/>
            <w:vAlign w:val="bottom"/>
          </w:tcPr>
          <w:p>
            <w:pPr>
              <w:spacing w:after="0"/>
              <w:rPr>
                <w:sz w:val="19"/>
                <w:szCs w:val="19"/>
                <w:color w:val="auto"/>
              </w:rPr>
            </w:pPr>
          </w:p>
        </w:tc>
        <w:tc>
          <w:tcPr>
            <w:tcW w:w="2680" w:type="dxa"/>
            <w:vAlign w:val="bottom"/>
            <w:tcBorders>
              <w:top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567</w:t>
            </w:r>
          </w:p>
        </w:tc>
      </w:tr>
    </w:tbl>
    <w:p>
      <w:pPr>
        <w:spacing w:after="0" w:line="1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Item 3 - Approval, for purposes of complying with Nasdaq Listing Rules, including, but not limited to, Rule 5635(c), of the amendment and restatement of the 2021 Plan to increase the maximum number of shares of Class A Common Stock authorized for issuance under the 2021 Plan and extend the expiration date of the 2021 Plan.</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Votes FOR</w:t>
            </w:r>
          </w:p>
        </w:tc>
        <w:tc>
          <w:tcPr>
            <w:tcW w:w="3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28"/>
        </w:trPr>
        <w:tc>
          <w:tcPr>
            <w:tcW w:w="28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4,673,091</w:t>
            </w:r>
          </w:p>
        </w:tc>
        <w:tc>
          <w:tcPr>
            <w:tcW w:w="360" w:type="dxa"/>
            <w:vAlign w:val="bottom"/>
          </w:tcPr>
          <w:p>
            <w:pPr>
              <w:spacing w:after="0"/>
              <w:rPr>
                <w:sz w:val="19"/>
                <w:szCs w:val="19"/>
                <w:color w:val="auto"/>
              </w:rPr>
            </w:pPr>
          </w:p>
        </w:tc>
        <w:tc>
          <w:tcPr>
            <w:tcW w:w="270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34,910</w:t>
            </w:r>
          </w:p>
        </w:tc>
        <w:tc>
          <w:tcPr>
            <w:tcW w:w="360" w:type="dxa"/>
            <w:vAlign w:val="bottom"/>
          </w:tcPr>
          <w:p>
            <w:pPr>
              <w:spacing w:after="0"/>
              <w:rPr>
                <w:sz w:val="19"/>
                <w:szCs w:val="19"/>
                <w:color w:val="auto"/>
              </w:rPr>
            </w:pPr>
          </w:p>
        </w:tc>
        <w:tc>
          <w:tcPr>
            <w:tcW w:w="2680" w:type="dxa"/>
            <w:vAlign w:val="bottom"/>
            <w:tcBorders>
              <w:top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568</w:t>
            </w:r>
          </w:p>
        </w:tc>
      </w:tr>
    </w:tbl>
    <w:p>
      <w:pPr>
        <w:spacing w:after="0" w:line="1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Item 4 - Approval of the amendment and restatement of the Company’s Twelfth Amended and Restated Certificate of Incorporation in connection with the entry into the Exchange Agreement, dated as of August 20, 2025, by and between the Company and CHS US Investments LLC, in the form of the Thirteenth Amended and Restated Certificate of Incorporation attached to the Proxy Statement as Exhibit E.</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Votes FOR</w:t>
            </w:r>
          </w:p>
        </w:tc>
        <w:tc>
          <w:tcPr>
            <w:tcW w:w="3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r>
      <w:tr>
        <w:trPr>
          <w:trHeight w:val="228"/>
        </w:trPr>
        <w:tc>
          <w:tcPr>
            <w:tcW w:w="28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4,699,836</w:t>
            </w:r>
          </w:p>
        </w:tc>
        <w:tc>
          <w:tcPr>
            <w:tcW w:w="360" w:type="dxa"/>
            <w:vAlign w:val="bottom"/>
          </w:tcPr>
          <w:p>
            <w:pPr>
              <w:spacing w:after="0"/>
              <w:rPr>
                <w:sz w:val="19"/>
                <w:szCs w:val="19"/>
                <w:color w:val="auto"/>
              </w:rPr>
            </w:pPr>
          </w:p>
        </w:tc>
        <w:tc>
          <w:tcPr>
            <w:tcW w:w="270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8,256</w:t>
            </w:r>
          </w:p>
        </w:tc>
        <w:tc>
          <w:tcPr>
            <w:tcW w:w="360" w:type="dxa"/>
            <w:vAlign w:val="bottom"/>
          </w:tcPr>
          <w:p>
            <w:pPr>
              <w:spacing w:after="0"/>
              <w:rPr>
                <w:sz w:val="19"/>
                <w:szCs w:val="19"/>
                <w:color w:val="auto"/>
              </w:rPr>
            </w:pPr>
          </w:p>
        </w:tc>
        <w:tc>
          <w:tcPr>
            <w:tcW w:w="2680" w:type="dxa"/>
            <w:vAlign w:val="bottom"/>
            <w:tcBorders>
              <w:top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477</w:t>
            </w:r>
          </w:p>
        </w:tc>
      </w:tr>
    </w:tbl>
    <w:p>
      <w:pPr>
        <w:spacing w:after="0" w:line="1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Item 5 - Approval of an adjournment of the Special Meeting, if necessary, to solicit additional proxies if there are not sufficient votes at the time of the Special Meeting to approve Items 1, 2, 3 and 4 above.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7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Votes FOR</w:t>
            </w:r>
          </w:p>
        </w:tc>
        <w:tc>
          <w:tcPr>
            <w:tcW w:w="25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Votes AGAINST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120" w:type="dxa"/>
            <w:vAlign w:val="bottom"/>
          </w:tcPr>
          <w:p>
            <w:pPr>
              <w:spacing w:after="0"/>
              <w:rPr>
                <w:sz w:val="20"/>
                <w:szCs w:val="20"/>
                <w:color w:val="auto"/>
              </w:rPr>
            </w:pPr>
          </w:p>
        </w:tc>
      </w:tr>
      <w:tr>
        <w:trPr>
          <w:trHeight w:val="228"/>
        </w:trPr>
        <w:tc>
          <w:tcPr>
            <w:tcW w:w="1140" w:type="dxa"/>
            <w:vAlign w:val="bottom"/>
          </w:tcPr>
          <w:p>
            <w:pPr>
              <w:spacing w:after="0"/>
              <w:rPr>
                <w:sz w:val="19"/>
                <w:szCs w:val="19"/>
                <w:color w:val="auto"/>
              </w:rPr>
            </w:pPr>
          </w:p>
        </w:tc>
        <w:tc>
          <w:tcPr>
            <w:tcW w:w="288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4,674,154</w:t>
            </w:r>
          </w:p>
        </w:tc>
        <w:tc>
          <w:tcPr>
            <w:tcW w:w="3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33,825</w:t>
            </w:r>
          </w:p>
        </w:tc>
        <w:tc>
          <w:tcPr>
            <w:tcW w:w="360" w:type="dxa"/>
            <w:vAlign w:val="bottom"/>
          </w:tcPr>
          <w:p>
            <w:pPr>
              <w:spacing w:after="0"/>
              <w:rPr>
                <w:sz w:val="19"/>
                <w:szCs w:val="19"/>
                <w:color w:val="auto"/>
              </w:rPr>
            </w:pPr>
          </w:p>
        </w:tc>
        <w:tc>
          <w:tcPr>
            <w:tcW w:w="2680" w:type="dxa"/>
            <w:vAlign w:val="bottom"/>
            <w:tcBorders>
              <w:top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590</w:t>
            </w:r>
          </w:p>
        </w:tc>
        <w:tc>
          <w:tcPr>
            <w:tcW w:w="1120" w:type="dxa"/>
            <w:vAlign w:val="bottom"/>
          </w:tcPr>
          <w:p>
            <w:pPr>
              <w:spacing w:after="0"/>
              <w:rPr>
                <w:sz w:val="19"/>
                <w:szCs w:val="19"/>
                <w:color w:val="auto"/>
              </w:rPr>
            </w:pPr>
          </w:p>
        </w:tc>
      </w:tr>
      <w:tr>
        <w:trPr>
          <w:trHeight w:val="414"/>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Based on the foregoing votes, Items 1, 2, 3 and 5 were approved.</w:t>
            </w: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26"/>
        </w:trPr>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20"/>
        <w:spacing w:after="0"/>
        <w:tabs>
          <w:tab w:leader="none" w:pos="7860" w:val="left"/>
        </w:tabs>
        <w:rPr>
          <w:sz w:val="20"/>
          <w:szCs w:val="20"/>
          <w:color w:val="auto"/>
        </w:rPr>
      </w:pPr>
      <w:r>
        <w:rPr>
          <w:rFonts w:ascii="Times New Roman" w:cs="Times New Roman" w:eastAsia="Times New Roman" w:hAnsi="Times New Roman"/>
          <w:sz w:val="18"/>
          <w:szCs w:val="18"/>
          <w:color w:val="auto"/>
        </w:rPr>
        <w:t>Name:</w:t>
        <w:tab/>
        <w:t>Siddharth Thacker</w:t>
      </w:r>
    </w:p>
    <w:p>
      <w:pPr>
        <w:spacing w:after="0" w:line="23" w:lineRule="exact"/>
        <w:rPr>
          <w:sz w:val="20"/>
          <w:szCs w:val="20"/>
          <w:color w:val="auto"/>
        </w:rPr>
      </w:pPr>
    </w:p>
    <w:p>
      <w:pPr>
        <w:ind w:left="72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53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2025-10-22T15:38:24Z</dcterms:created>
  <dcterms:modified xsi:type="dcterms:W3CDTF">2025-10-22T15:38:24Z</dcterms:modified>
</cp:coreProperties>
</file>