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NOVA DANIEL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10/26/2021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HIGHLAND CAPITAL</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PARTNERS</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BROADWAY, 16TH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Rent the Runway,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RENT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38,906</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909,974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(3)</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2,509,453</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(4)</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2,541</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59,422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(3)</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163,867</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(4)</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2,706</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63,285</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(3)</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D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174,522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(4)</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1,962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45,897</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(3)</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E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8"/>
              </w:rPr>
              <w:t>126,571</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(4)</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200" w:type="dxa"/>
            <w:vAlign w:val="bottom"/>
            <w:vMerge w:val="restart"/>
          </w:tcPr>
          <w:p>
            <w:pPr>
              <w:jc w:val="center"/>
              <w:spacing w:after="0"/>
              <w:rPr>
                <w:sz w:val="20"/>
                <w:szCs w:val="20"/>
                <w:color w:val="auto"/>
              </w:rPr>
            </w:pPr>
            <w:r>
              <w:rPr>
                <w:rFonts w:ascii="Arial" w:cs="Arial" w:eastAsia="Arial" w:hAnsi="Arial"/>
                <w:sz w:val="20"/>
                <w:szCs w:val="20"/>
                <w:color w:val="0000FF"/>
                <w:w w:val="87"/>
              </w:rPr>
              <w:t>1,007</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680" w:type="dxa"/>
            <w:vAlign w:val="bottom"/>
          </w:tcPr>
          <w:p>
            <w:pPr>
              <w:ind w:left="240"/>
              <w:spacing w:after="0" w:line="283" w:lineRule="exact"/>
              <w:rPr>
                <w:sz w:val="20"/>
                <w:szCs w:val="20"/>
                <w:color w:val="auto"/>
              </w:rPr>
            </w:pPr>
            <w:r>
              <w:rPr>
                <w:rFonts w:ascii="Arial" w:cs="Arial" w:eastAsia="Arial" w:hAnsi="Arial"/>
                <w:sz w:val="20"/>
                <w:szCs w:val="20"/>
                <w:color w:val="0000FF"/>
                <w:w w:val="94"/>
              </w:rPr>
              <w:t>See Footnotes</w:t>
            </w:r>
            <w:r>
              <w:rPr>
                <w:rFonts w:ascii="Arial" w:cs="Arial" w:eastAsia="Arial" w:hAnsi="Arial"/>
                <w:sz w:val="25"/>
                <w:szCs w:val="25"/>
                <w:color w:val="008000"/>
                <w:w w:val="94"/>
                <w:vertAlign w:val="superscript"/>
              </w:rPr>
              <w:t>(2)</w:t>
            </w:r>
          </w:p>
        </w:tc>
        <w:tc>
          <w:tcPr>
            <w:tcW w:w="0" w:type="dxa"/>
            <w:vAlign w:val="bottom"/>
          </w:tcPr>
          <w:p>
            <w:pPr>
              <w:spacing w:after="0"/>
              <w:rPr>
                <w:sz w:val="1"/>
                <w:szCs w:val="1"/>
                <w:color w:val="auto"/>
              </w:rPr>
            </w:pPr>
          </w:p>
        </w:tc>
      </w:tr>
      <w:tr>
        <w:trPr>
          <w:trHeight w:val="89"/>
        </w:trPr>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6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3233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3233420"/>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0000FF"/>
                <w:w w:val="88"/>
              </w:rPr>
              <w:t>23,542</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F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0000FF"/>
                <w:w w:val="88"/>
              </w:rPr>
              <w:t>64,922</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(4)</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0000FF"/>
                <w:w w:val="83"/>
              </w:rPr>
              <w:t>763</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0000FF"/>
                <w:w w:val="88"/>
              </w:rPr>
              <w:t>17,850</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Arial" w:cs="Arial" w:eastAsia="Arial" w:hAnsi="Arial"/>
                <w:sz w:val="20"/>
                <w:szCs w:val="20"/>
                <w:color w:val="0000FF"/>
              </w:rPr>
              <w:t>Series G Preferred Stock</w:t>
            </w:r>
          </w:p>
        </w:tc>
        <w:tc>
          <w:tcPr>
            <w:tcW w:w="118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vMerge w:val="restart"/>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0000FF"/>
                <w:w w:val="88"/>
              </w:rPr>
              <w:t>49,225</w:t>
            </w: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700" w:type="dxa"/>
            <w:vAlign w:val="bottom"/>
            <w:gridSpan w:val="2"/>
          </w:tcPr>
          <w:p>
            <w:pPr>
              <w:ind w:left="240"/>
              <w:spacing w:after="0" w:line="283" w:lineRule="exact"/>
              <w:rPr>
                <w:sz w:val="20"/>
                <w:szCs w:val="20"/>
                <w:color w:val="auto"/>
              </w:rPr>
            </w:pPr>
            <w:r>
              <w:rPr>
                <w:rFonts w:ascii="Arial" w:cs="Arial" w:eastAsia="Arial" w:hAnsi="Arial"/>
                <w:sz w:val="20"/>
                <w:szCs w:val="20"/>
                <w:color w:val="0000FF"/>
                <w:w w:val="95"/>
              </w:rPr>
              <w:t>See Footnotes</w:t>
            </w:r>
            <w:r>
              <w:rPr>
                <w:rFonts w:ascii="Arial" w:cs="Arial" w:eastAsia="Arial" w:hAnsi="Arial"/>
                <w:sz w:val="25"/>
                <w:szCs w:val="25"/>
                <w:color w:val="008000"/>
                <w:w w:val="95"/>
                <w:vertAlign w:val="superscript"/>
              </w:rPr>
              <w:t>(4)</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680" w:type="dxa"/>
            <w:vAlign w:val="bottom"/>
            <w:vMerge w:val="restart"/>
          </w:tcPr>
          <w:p>
            <w:pPr>
              <w:ind w:left="240"/>
              <w:spacing w:after="0"/>
              <w:rPr>
                <w:sz w:val="20"/>
                <w:szCs w:val="20"/>
                <w:color w:val="auto"/>
              </w:rPr>
            </w:pPr>
            <w:r>
              <w:rPr>
                <w:rFonts w:ascii="Arial" w:cs="Arial" w:eastAsia="Arial" w:hAnsi="Arial"/>
                <w:sz w:val="13"/>
                <w:szCs w:val="13"/>
                <w:color w:val="008000"/>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G Preferred Stock</w:t>
            </w:r>
          </w:p>
        </w:tc>
        <w:tc>
          <w:tcPr>
            <w:tcW w:w="1180" w:type="dxa"/>
            <w:vAlign w:val="bottom"/>
            <w:tcBorders>
              <w:bottom w:val="single" w:sz="8" w:color="2C2C2C"/>
            </w:tcBorders>
          </w:tcPr>
          <w:p>
            <w:pPr>
              <w:jc w:val="right"/>
              <w:ind w:right="337"/>
              <w:spacing w:after="0"/>
              <w:rPr>
                <w:sz w:val="20"/>
                <w:szCs w:val="20"/>
                <w:color w:val="auto"/>
              </w:rPr>
            </w:pPr>
            <w:r>
              <w:rPr>
                <w:rFonts w:ascii="Arial" w:cs="Arial" w:eastAsia="Arial" w:hAnsi="Arial"/>
                <w:sz w:val="13"/>
                <w:szCs w:val="13"/>
                <w:color w:val="008000"/>
              </w:rPr>
              <w:t>(1)</w:t>
            </w:r>
          </w:p>
        </w:tc>
        <w:tc>
          <w:tcPr>
            <w:tcW w:w="860" w:type="dxa"/>
            <w:vAlign w:val="bottom"/>
            <w:tcBorders>
              <w:bottom w:val="single" w:sz="8" w:color="2C2C2C"/>
            </w:tcBorders>
          </w:tcPr>
          <w:p>
            <w:pPr>
              <w:jc w:val="right"/>
              <w:ind w:right="257"/>
              <w:spacing w:after="0"/>
              <w:rPr>
                <w:sz w:val="20"/>
                <w:szCs w:val="20"/>
                <w:color w:val="auto"/>
              </w:rPr>
            </w:pPr>
            <w:r>
              <w:rPr>
                <w:rFonts w:ascii="Arial" w:cs="Arial" w:eastAsia="Arial" w:hAnsi="Arial"/>
                <w:sz w:val="13"/>
                <w:szCs w:val="13"/>
                <w:color w:val="008000"/>
              </w:rPr>
              <w:t>(1)</w:t>
            </w:r>
          </w:p>
        </w:tc>
        <w:tc>
          <w:tcPr>
            <w:tcW w:w="1780" w:type="dxa"/>
            <w:vAlign w:val="bottom"/>
            <w:tcBorders>
              <w:bottom w:val="single" w:sz="8" w:color="2C2C2C"/>
            </w:tcBorders>
          </w:tcPr>
          <w:p>
            <w:pPr>
              <w:ind w:left="340"/>
              <w:spacing w:after="0"/>
              <w:rPr>
                <w:sz w:val="20"/>
                <w:szCs w:val="20"/>
                <w:color w:val="auto"/>
              </w:rPr>
            </w:pPr>
            <w:r>
              <w:rPr>
                <w:rFonts w:ascii="Arial" w:cs="Arial" w:eastAsia="Arial" w:hAnsi="Arial"/>
                <w:sz w:val="20"/>
                <w:szCs w:val="20"/>
                <w:color w:val="0000FF"/>
              </w:rPr>
              <w:t>Common Stock</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8"/>
              </w:rPr>
              <w:t>847,978</w:t>
            </w:r>
          </w:p>
        </w:tc>
        <w:tc>
          <w:tcPr>
            <w:tcW w:w="860" w:type="dxa"/>
            <w:vAlign w:val="bottom"/>
            <w:tcBorders>
              <w:bottom w:val="single" w:sz="8" w:color="2C2C2C"/>
            </w:tcBorders>
          </w:tcPr>
          <w:p>
            <w:pPr>
              <w:jc w:val="right"/>
              <w:ind w:right="357"/>
              <w:spacing w:after="0"/>
              <w:rPr>
                <w:sz w:val="20"/>
                <w:szCs w:val="20"/>
                <w:color w:val="auto"/>
              </w:rPr>
            </w:pPr>
            <w:r>
              <w:rPr>
                <w:rFonts w:ascii="Arial" w:cs="Arial" w:eastAsia="Arial" w:hAnsi="Arial"/>
                <w:sz w:val="13"/>
                <w:szCs w:val="13"/>
                <w:color w:val="008000"/>
              </w:rPr>
              <w:t>(1)</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700" w:type="dxa"/>
            <w:vAlign w:val="bottom"/>
            <w:tcBorders>
              <w:bottom w:val="single" w:sz="8" w:color="2C2C2C"/>
            </w:tcBorders>
            <w:gridSpan w:val="2"/>
          </w:tcPr>
          <w:p>
            <w:pPr>
              <w:ind w:left="24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right="80" w:firstLine="5"/>
        <w:spacing w:after="0" w:line="288"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the Issuer's preferred stock have no expiration date and are convertible at the holder's election into Issuer's Common Stock at a conversion ratio of 1-to-1. The preferred stock will automatically convert into shares of the Issuer's Common Stock, for no additional consideration, upon the closing of the Issuer's initial public offering.</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VIII-B Limited Partnership ("Highland Capital VIII-B").</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VIII-C Limited Partnership ("Highland Capital VIII-C").</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shares are held of record by Highland Capital Partners VIII Limited Partnership ("Highland Capital VIII").</w:t>
      </w:r>
    </w:p>
    <w:p>
      <w:pPr>
        <w:spacing w:after="0" w:line="52" w:lineRule="exact"/>
        <w:rPr>
          <w:rFonts w:ascii="Arial" w:cs="Arial" w:eastAsia="Arial" w:hAnsi="Arial"/>
          <w:sz w:val="15"/>
          <w:szCs w:val="15"/>
          <w:color w:val="008000"/>
        </w:rPr>
      </w:pPr>
    </w:p>
    <w:p>
      <w:pPr>
        <w:ind w:left="40" w:right="60" w:firstLine="5"/>
        <w:spacing w:after="0" w:line="235"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Highland Management Partners VIII Limited ("HMP VIII Ltd") is the general partner of Highland Management Partners VIII Limited Partnership ("HMP VIII LP"), which is the general partner of each of Highland Capital VIII-B, Highland Capital VIII-C and Highland Capital VIII (collectively, the "Highland VIII Funds"). The Reporting Person is a Director of HMP VIII Ltd and may be deemed to have voting and dispositive power over the shares held by each of the Highland VIII Funds. The Reporting Person disclaims beneficial ownership of the securities held by each of the Highland VIII Funds,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37" w:lineRule="exact"/>
        <w:rPr>
          <w:rFonts w:ascii="Arial" w:cs="Arial" w:eastAsia="Arial" w:hAnsi="Arial"/>
          <w:sz w:val="15"/>
          <w:szCs w:val="15"/>
          <w:color w:val="008000"/>
        </w:rPr>
      </w:pPr>
    </w:p>
    <w:p>
      <w:pPr>
        <w:ind w:left="40" w:right="6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shares are held of record by Highland Leaders Fund I, L.P. ("HLF I"). The general partner of HLF I is Highland Leaders Fund I GP, L.P. ("HLF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held by HLF I,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84" w:lineRule="exact"/>
        <w:rPr>
          <w:sz w:val="20"/>
          <w:szCs w:val="20"/>
          <w:color w:val="auto"/>
        </w:rPr>
      </w:pPr>
    </w:p>
    <w:p>
      <w:pPr>
        <w:ind w:left="6580"/>
        <w:spacing w:after="0"/>
        <w:rPr>
          <w:sz w:val="20"/>
          <w:szCs w:val="20"/>
          <w:color w:val="auto"/>
        </w:rPr>
      </w:pPr>
      <w:r>
        <w:rPr>
          <w:rFonts w:ascii="Arial" w:cs="Arial" w:eastAsia="Arial" w:hAnsi="Arial"/>
          <w:sz w:val="20"/>
          <w:szCs w:val="20"/>
          <w:color w:val="0000FF"/>
        </w:rPr>
        <w:t>/s/ Cara Schembri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217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Daniel 10/26/2021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J.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784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8460" cy="9525"/>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4"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3, 2021.</w:t>
      </w:r>
    </w:p>
    <w:p>
      <w:pPr>
        <w:spacing w:after="0" w:line="224" w:lineRule="exact"/>
        <w:rPr>
          <w:sz w:val="20"/>
          <w:szCs w:val="20"/>
          <w:color w:val="auto"/>
        </w:rPr>
      </w:pPr>
    </w:p>
    <w:p>
      <w:pPr>
        <w:ind w:left="4680"/>
        <w:spacing w:after="0"/>
        <w:tabs>
          <w:tab w:leader="none" w:pos="5240" w:val="left"/>
        </w:tabs>
        <w:rPr>
          <w:sz w:val="20"/>
          <w:szCs w:val="20"/>
          <w:color w:val="auto"/>
        </w:rPr>
      </w:pP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Dan Nova</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Dan Nova</w:t>
      </w:r>
    </w:p>
    <w:p>
      <w:pPr>
        <w:spacing w:after="0" w:line="225"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027730"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2021-10-26T20:03:48Z</dcterms:created>
  <dcterms:modified xsi:type="dcterms:W3CDTF">2021-10-26T20:03:48Z</dcterms:modified>
</cp:coreProperties>
</file>