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Jay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New York 11201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Rent the Runway,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0001468327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Hyman: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July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Cover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your prospectus cover and in your prospectus summary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regarding the ownership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Class B common stock to clarify that your founders,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directors, and their affiliates will hold Class B common stock, as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disclosed in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161 that your Amended Charter will waive the corporate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 doctrine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non-employee directors. Please provide risk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20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conflicts of interest and any other risks to investors related Jennifer Y. Hyman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13,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this provision.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Amended Charter will designate the Court of Chancery of the State of Delaware..., page 64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exclusive forum provision will require Securities 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 to be litigated in U.S. federal court, yet you also note that Section 22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creates concurrent jurisdiction for federal and state courts over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claims. Please revise your disclosure to state that there is uncertainty as to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 court would enforce such provision, given this concurrent jurisdiction.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 helping investors understand your total, active and paused subscriber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numbers, please clarify the durations for which customers are permitted to pause their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8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subscriptions, and whether the terms of your paused subscriber program have changed over the years, including in response to the COVID-19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pandemic. For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we note that you disclose that in response to the COVID-19 pandemic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[m]ade it easy for customers to pause, rather than cancel, their subscriptions to encourage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retention during the COVID-19 pandemic; however, it is unclear if you extended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customers could pause their subscriptions. In addition, tell us whether management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tracks paused subscribers, and what consideration you gave to disclosing any related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metrics in the filing.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Our Performance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Subscribers and Customers, page 82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growth is in part dependent on retaining existing customers and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"assess the strong retention of [y]our subscribers and customers by analyzing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 performance of [y]our historical customer cohorts over time." However, it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clear from your current presentation how customer retention is reflected.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number of customers comprising each cohort for each year presented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retention by cohort by year. In your presentation of Subscriber Cohorts, please quantify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 of current and previous subscribers and tell us why you have not included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2016 and 2017 cohorts that you have included in the Cumulative Revenue Per Customer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Cohort graph on page 83.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your subscriber cohort discussion with a discussion of subscription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cancellations, or tell us why this not material information. Please discuss any known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 or uncertainties regarding customer retention and subscription cancellation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LastNameJennifer Y. Hyman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had or that you reasonably expect will have a material favorable or unfavorable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NameRent</w:t>
      </w:r>
    </w:p>
    <w:p>
      <w:pPr>
        <w:ind w:left="740"/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Runway,</w:t>
      </w:r>
    </w:p>
    <w:p>
      <w:pPr>
        <w:ind w:left="1580"/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net sales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Inc.or income from continuing operations.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Item</w:t>
      </w:r>
    </w:p>
    <w:p>
      <w:pPr>
        <w:ind w:left="2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revenues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August303(b)(2)(ii) of 2Regulation S-K.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13, 2021 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spacing w:after="0"/>
        <w:tabs>
          <w:tab w:leader="none" w:pos="114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LastNameJennifer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Y. Hyman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  <w:tab/>
        <w:t>13, NameRent</w:t>
      </w:r>
    </w:p>
    <w:p>
      <w:pPr>
        <w:ind w:left="12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Runway,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13,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of COVID-19 on Our Business, page 85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consumer demand decreases were closely tied to COVID-19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positivity rates and social distancing and shelter-at-home restrictions and that as COVID-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 restrictions have been relaxed and virus positivity rates have declined, you have seen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demand for your offerings. Please discuss if, and to what extent, the recent rise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positivity rates due to circulation of the Delta variant has changed management 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expectations with respect to demand for your offerings.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Agility and Resilience During COVID-19, page 86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significant reduction in your operating expenses and workforce in response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COVID-19 pandemic, please discuss whether management expects difficulties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 the expected increased demand for your offerings. Key Business and Financial Metrics, page 88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your discussion of your key business and financial metrics by identifying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risks or limitations in using those particular metrics, as applicable.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 appropriate place in your prospectus, clearly define the term "total subscribers,"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the term includes those who initially subscribe and cancel within the same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year, but cancel prior to the last day of that year. Non-GAAP Financial Metrics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EBITDA, page 94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determined that the write-off of liquidated assets is not a normal,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recurring cash operating cost since this appears to represent the remaining capitalized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for products sold at the end of their lifecycle. Refer to Question 100.01 of the SEC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Staff's Compliance and Disclosure Interpretations on Non-GAAP Financial Measures.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 and Qualitative Disclosure About Market Risk, page 98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your exposure to interest rate risk so that it is presented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one of the suggested formats outlined in Item 305(a)(1) of Regulation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Share-Based Compensation, page 100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100 indicates that certain RSUs will vest only upon satisfaction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both time-based service and performance-based conditions. You also indicate that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period in which a qualifying event, such as an initial public offering becomes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probable, you will record a cumulative one-time share-based compensation expense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using the grant-date fair values. Please revise to disclose the amount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expense that will be recognized in your financial statements once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5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public offering is determined to be probable. Jennifer Y. Hyman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 August 13, 2021 Page 4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102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present certain business metrics in this section, please include figures for both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years 2019 and 2020. For example, you disclose that in fiscal year 2019, you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top 30% of distribution partners, by revenue, for 64% of your brands, but you do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provide comparable disclosure for 2020. This is just one example. Trends in Our Favor, page 104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this disclosure with disclosure regarding the trends that may continue as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of the COVID-19 pandemic. For example, you disclose on page 26 that as a result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changes to daily life due to the COVID-19 pandemic, including increased rates of</w:t>
      </w:r>
    </w:p>
    <w:p>
      <w:pPr>
        <w:ind w:left="960"/>
        <w:spacing w:after="0"/>
        <w:tabs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working remotely from home, many customers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demand for a variety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apparel was, and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future may be, reduced or eliminated.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Unique Brand Partner Approach, page 112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are shifting to acquire more products through Share by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RTR and Exclusive Designs and that you sourced approximately 54% of your products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Share by RTR and Exclusive Designs in fiscal year 2020 compared to 26% in fiscal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2019. Please include more detailed disclosure regarding the general revenue sharing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with your brand partners under these sourcing strategies and how the shift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sharing may impact your revenues in future periods.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Technology and Logistics Advantage, page 117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33 that the substantial majority of your inbound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shipments from customers are currently returned through a single vendor. Please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have any agreements with that vendor, the material terms of any agreement,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file the agreement as an exhibit to the registration statement. Alternatively, please tell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you are not required to do so. Refer to Item 601(b)(10) of Regulation S-K.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 Consolidated Financial Statements Notes to Consolidated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Redeemable Preferred Stock, page F-30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in Note 11 indicates that you have various series of outstanding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redeemable preferred shares that have carrying values which differ from their liquidation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values as of January 31, 2021. Please revise your financial statements to explain how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LastNameJennifer Y. Hyman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to account for differences between the carrying values and the liquidation values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NameRent</w:t>
      </w:r>
    </w:p>
    <w:p>
      <w:pPr>
        <w:ind w:left="74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event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Runway,</w:t>
      </w:r>
    </w:p>
    <w:p>
      <w:pPr>
        <w:ind w:left="180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becomes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probableInc.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preferred shares will be redeemed.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</w:t>
      </w:r>
    </w:p>
    <w:p>
      <w:pPr>
        <w:ind w:left="740"/>
        <w:spacing w:after="0" w:line="238" w:lineRule="auto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</w:t>
        <w:tab/>
        <w:t>in paragraph</w:t>
      </w:r>
    </w:p>
    <w:p>
      <w:pPr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13, 2021 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15 of ASC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spacing w:after="0"/>
        <w:tabs>
          <w:tab w:leader="none" w:pos="114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LastNameJennifer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Y. Hyman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  <w:tab/>
        <w:t>13, NameRent</w:t>
      </w:r>
    </w:p>
    <w:p>
      <w:pPr>
        <w:ind w:left="128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Runway,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480-10-S99-3A.</w:t>
      </w:r>
    </w:p>
    <w:p>
      <w:pPr>
        <w:spacing w:after="0" w:line="143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220" w:space="220"/>
            <w:col w:w="5699"/>
          </w:cols>
          <w:pgMar w:left="320" w:top="142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August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13, 2021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 commissioned the LCA Study conducted by SgT Group and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Story Inc. and cite that study in your filing. Please file consents from SgT Group and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Story Inc. as exhibits to the registration statement in accordance with Rule 436, or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do not believe you are required to do so.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Please contact the staff member associated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review of this filing to discuss how to submit the materials, if any, to us for 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Blaise Rhodes at 202-551-3774 or Linda Cvrkel at 202-551-3813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Taylor Beech at 202-551-4515 or Jacqueline Kaufman at 202-551-3797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bookmarkStart w:id="4" w:name="page5"/>
    <w:bookmarkEnd w:id="4"/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Marc D. Jaffe, Esq.</w:t>
      </w:r>
    </w:p>
    <w:sectPr>
      <w:pgSz w:w="11900" w:h="16838" w:orient="portrait"/>
      <w:cols w:equalWidth="0" w:num="1">
        <w:col w:w="10139"/>
      </w:cols>
      <w:pgMar w:left="320" w:top="5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507ED7AB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EB141F2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1B71EFB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79E2A9E3"/>
    <w:multiLevelType w:val="hybridMultilevel"/>
    <w:lvl w:ilvl="0">
      <w:lvlJc w:val="left"/>
      <w:lvlText w:val="%1."/>
      <w:numFmt w:val="decimal"/>
      <w:start w:val="8"/>
    </w:lvl>
  </w:abstractNum>
  <w:abstractNum w:abstractNumId="5">
    <w:nsid w:val="7545E146"/>
    <w:multiLevelType w:val="hybridMultilevel"/>
    <w:lvl w:ilvl="0">
      <w:lvlJc w:val="left"/>
      <w:lvlText w:val="%1."/>
      <w:numFmt w:val="decimal"/>
      <w:start w:val="16"/>
    </w:lvl>
  </w:abstractNum>
  <w:abstractNum w:abstractNumId="6">
    <w:nsid w:val="515F007C"/>
    <w:multiLevelType w:val="hybridMultilevel"/>
    <w:lvl w:ilvl="0">
      <w:lvlJc w:val="left"/>
      <w:lvlText w:val="%1."/>
      <w:numFmt w:val="decimal"/>
      <w:start w:val="17"/>
    </w:lvl>
  </w:abstractNum>
  <w:abstractNum w:abstractNumId="7">
    <w:nsid w:val="5BD062C2"/>
    <w:multiLevelType w:val="hybridMultilevel"/>
    <w:lvl w:ilvl="0">
      <w:lvlJc w:val="left"/>
      <w:lvlText w:val="%1."/>
      <w:numFmt w:val="decimal"/>
      <w:start w:val="11"/>
    </w:lvl>
  </w:abstractNum>
  <w:abstractNum w:abstractNumId="8">
    <w:nsid w:val="12200854"/>
    <w:multiLevelType w:val="hybridMultilevel"/>
    <w:lvl w:ilvl="0">
      <w:lvlJc w:val="left"/>
      <w:lvlText w:val="%1."/>
      <w:numFmt w:val="decimal"/>
      <w:start w:val="18"/>
    </w:lvl>
  </w:abstractNum>
  <w:abstractNum w:abstractNumId="9">
    <w:nsid w:val="4DB127F8"/>
    <w:multiLevelType w:val="hybridMultilevel"/>
    <w:lvl w:ilvl="0">
      <w:lvlJc w:val="left"/>
      <w:lvlText w:val="%1."/>
      <w:numFmt w:val="decimal"/>
      <w:start w:val="1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2022-03-08T21:51:29Z</dcterms:created>
  <dcterms:modified xsi:type="dcterms:W3CDTF">2022-03-08T21:51:29Z</dcterms:modified>
</cp:coreProperties>
</file>