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7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70485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53340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5"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34"/>
          <w:szCs w:val="34"/>
          <w:b w:val="1"/>
          <w:bCs w:val="1"/>
          <w:color w:val="auto"/>
        </w:rPr>
        <w:t>Rent the Runway, Inc.</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5"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2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001-40958</w:t>
            </w:r>
          </w:p>
        </w:tc>
        <w:tc>
          <w:tcPr>
            <w:tcW w:w="720" w:type="dxa"/>
            <w:vAlign w:val="bottom"/>
          </w:tcPr>
          <w:p>
            <w:pPr>
              <w:spacing w:after="0"/>
              <w:rPr>
                <w:sz w:val="16"/>
                <w:szCs w:val="16"/>
                <w:color w:val="auto"/>
              </w:rPr>
            </w:pP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80-0376379</w:t>
            </w:r>
          </w:p>
        </w:tc>
      </w:tr>
      <w:tr>
        <w:trPr>
          <w:trHeight w:val="140"/>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31"/>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60" w:type="dxa"/>
            <w:vAlign w:val="bottom"/>
            <w:gridSpan w:val="2"/>
          </w:tcPr>
          <w:p>
            <w:pPr>
              <w:jc w:val="center"/>
              <w:ind w:right="7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Brooklyn, New York 11201</w:t>
            </w:r>
          </w:p>
        </w:tc>
        <w:tc>
          <w:tcPr>
            <w:tcW w:w="17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252"/>
        </w:trPr>
        <w:tc>
          <w:tcPr>
            <w:tcW w:w="1860" w:type="dxa"/>
            <w:vAlign w:val="bottom"/>
          </w:tcPr>
          <w:p>
            <w:pPr>
              <w:spacing w:after="0"/>
              <w:rPr>
                <w:sz w:val="21"/>
                <w:szCs w:val="21"/>
                <w:color w:val="auto"/>
              </w:rPr>
            </w:pPr>
          </w:p>
        </w:tc>
        <w:tc>
          <w:tcPr>
            <w:tcW w:w="5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524-6860</w:t>
            </w:r>
          </w:p>
        </w:tc>
        <w:tc>
          <w:tcPr>
            <w:tcW w:w="1700" w:type="dxa"/>
            <w:vAlign w:val="bottom"/>
          </w:tcPr>
          <w:p>
            <w:pPr>
              <w:spacing w:after="0"/>
              <w:rPr>
                <w:sz w:val="21"/>
                <w:szCs w:val="21"/>
                <w:color w:val="auto"/>
              </w:rPr>
            </w:pPr>
          </w:p>
        </w:tc>
      </w:tr>
      <w:tr>
        <w:trPr>
          <w:trHeight w:val="344"/>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70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64"/>
        </w:trPr>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ectPr>
          <w:pgSz w:w="11900" w:h="16838" w:orient="portrait"/>
          <w:cols w:equalWidth="0" w:num="1">
            <w:col w:w="10700"/>
          </w:cols>
          <w:pgMar w:left="300" w:top="897" w:right="899" w:bottom="1440" w:gutter="0" w:footer="0" w:header="0"/>
        </w:sectPr>
      </w:pPr>
    </w:p>
    <w:p>
      <w:pPr>
        <w:spacing w:after="0" w:line="200" w:lineRule="exact"/>
        <w:rPr>
          <w:sz w:val="24"/>
          <w:szCs w:val="2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r>
      <w:tr>
        <w:trPr>
          <w:trHeight w:val="18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r>
      <w:tr>
        <w:trPr>
          <w:trHeight w:val="186"/>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RENT</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-478155</wp:posOffset>
            </wp:positionH>
            <wp:positionV relativeFrom="paragraph">
              <wp:posOffset>26035</wp:posOffset>
            </wp:positionV>
            <wp:extent cx="22840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4095" cy="6985"/>
                    </a:xfrm>
                    <a:prstGeom prst="rect">
                      <a:avLst/>
                    </a:prstGeom>
                    <a:noFill/>
                  </pic:spPr>
                </pic:pic>
              </a:graphicData>
            </a:graphic>
          </wp:anchor>
        </w:drawing>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p>
      <w:pPr>
        <w:spacing w:after="0" w:line="170" w:lineRule="exact"/>
        <w:rPr>
          <w:sz w:val="24"/>
          <w:szCs w:val="24"/>
          <w:color w:val="auto"/>
        </w:rPr>
      </w:pPr>
    </w:p>
    <w:p>
      <w:pPr>
        <w:sectPr>
          <w:pgSz w:w="11900" w:h="16838" w:orient="portrait"/>
          <w:cols w:equalWidth="0" w:num="2">
            <w:col w:w="7720" w:space="720"/>
            <w:col w:w="2260"/>
          </w:cols>
          <w:pgMar w:left="300" w:top="897" w:right="899" w:bottom="1440" w:gutter="0" w:footer="0" w:header="0"/>
          <w:type w:val="continuous"/>
        </w:sect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393065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897" w:right="899" w:bottom="1440" w:gutter="0" w:footer="0" w:header="0"/>
          <w:type w:val="continuous"/>
        </w:sectPr>
      </w:pPr>
    </w:p>
    <w:bookmarkStart w:id="1" w:name="page2"/>
    <w:bookmarkEnd w:id="1"/>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705485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60"/>
          </w:cols>
          <w:pgMar w:left="300" w:top="719" w:right="539" w:bottom="1440" w:gutter="0" w:footer="0" w:header="0"/>
        </w:sectPr>
      </w:pPr>
    </w:p>
    <w:bookmarkStart w:id="2" w:name="page3"/>
    <w:bookmarkEnd w:id="2"/>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 Amendment</w:t>
      </w:r>
    </w:p>
    <w:p>
      <w:pPr>
        <w:spacing w:after="0" w:line="19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On January 31, 2023, Rent the Runway, Inc. (the “Company”) entered into an Ninth Amendment (the “Credit Facility Amendment”) to its term loan agreement dated as of July 23, 2018, as amended to date, with Double Helix Pte Ltd. (“Double Helix”), an indirectly wholly-owned subsidiary of Temasek Holdings (Private) Limited, as administrative agent for the lenders party thereto (the “Lenders”) which is referred to herein as the Credit Facility (as amended by the Credit Facility Amendment, the “Amended Credit Facility”). The Credit Facility Amendment provides for, among other things, (i) an extension of the maturity of the Amended Credit Facility to October 29, 2026, (ii) a reduction of the cash portion of the interest rate to 2.00% per annum through July 31, 2024, increasing to 5.00% per annum for the duration of the Amended Credit Facility (with the remainder of the total interest in each period to be paid in kind) and (iii) a 1.00% increase in the total interest rate on February 1, 2024 and on each subsequent one-year anniversary thereof for the duration of the Amended Credit Facility.</w:t>
      </w:r>
    </w:p>
    <w:p>
      <w:pPr>
        <w:spacing w:after="0" w:line="161"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A copy of the Credit Facility Amendment is included as Exhibit 10.1 to this Current Report on Form 8-K, and is incorporated herein by reference. The foregoing description does not purport to be complete and is subject and qualified in its entirety by reference to the Credit Facility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Double Helix Warrant</w:t>
      </w:r>
    </w:p>
    <w:p>
      <w:pPr>
        <w:spacing w:after="0" w:line="1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In connection with and as consideration for entering into the Credit Facility Amendment, on January 31, 2023, the Company granted a warrant to Double Helix to purchase up to 2 million shares of the Company’s Class A common stock, par value $0.001 per share (the “Warrant Shares”) at an exercise price of $5.00 per share (the “Warrant”). The Warrant will expire on January 31, 2030 and may be net exercised at the holder’s election.</w:t>
      </w:r>
    </w:p>
    <w:p>
      <w:pPr>
        <w:spacing w:after="0" w:line="15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The Warrant is exempt from registration pursuant to Section 4(a)(2) of the Securities Act of 1933, as amended, and corresponding provisions of state securities or “blue sky” laws, as a transaction by an issuer not involving a public offering. Double Helix represented that it was acquiring the Warrant and shares of Class A common stock issuable upon exercise of the Warrant for investment for Double Helix’s account, not as a nominee or agent, and not with a view to the public resale or distribution within the meaning of the Securities Act of 1933, as amended (the “Securities Act”). Accordingly, neither the Warrant nor the shares of Class A common stock issuable upon exercise of the Warrant have been registered under the Securities Act and such securities may not be offered or sold in the United States absent registration or an exemption from registration under the Securities Act and any applicable state securities laws. Appropriate legends have been affixed to the securities issued in this transaction.</w:t>
      </w:r>
    </w:p>
    <w:p>
      <w:pPr>
        <w:spacing w:after="0" w:line="16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Warrant does not purport to be complete and is qualified in its entirety by reference to the full text of the Class A Common Stock Warrant which is filed as Exhibit 4.1 to this Current Report on Form 8-K and incorporated herein by reference.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3.02. Unregistered Sales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in Item 1.01 of this Current Report on Form 8-K is incorporated by reference into this Item 3.02.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On January 30, 2023, Dan Rosensweig tendered his resignation to be effective as of April 1, 2023 from the Company’s Board of Directors in order to reduce his time commitment and avoid overboarding concerns under proxy advisor and other institutional investor policies and not as a result of any disagreement with the Company on any matter related to the Company’s operations, policies or practices. Mr. Rosensweig currently serves as President, Chief Executive Officer and Chairman of Chegg.com and as a director of Adobe Inc. Beginning April 1, 2023, Mr. Rosensweig will serve in an advisory role to the Company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961390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2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00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340" w:type="dxa"/>
            <w:vAlign w:val="bottom"/>
          </w:tcPr>
          <w:p>
            <w:pPr>
              <w:spacing w:after="0"/>
              <w:rPr>
                <w:sz w:val="13"/>
                <w:szCs w:val="13"/>
                <w:color w:val="auto"/>
              </w:rPr>
            </w:pPr>
          </w:p>
        </w:tc>
      </w:tr>
      <w:tr>
        <w:trPr>
          <w:trHeight w:val="233"/>
        </w:trPr>
        <w:tc>
          <w:tcPr>
            <w:tcW w:w="1480" w:type="dxa"/>
            <w:vAlign w:val="bottom"/>
          </w:tcPr>
          <w:p>
            <w:pPr>
              <w:jc w:val="right"/>
              <w:ind w:right="574"/>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20"/>
                <w:szCs w:val="20"/>
                <w:color w:val="auto"/>
              </w:rPr>
            </w:pPr>
          </w:p>
        </w:tc>
        <w:tc>
          <w:tcPr>
            <w:tcW w:w="3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Class A Common Stock Warrant, dated January 31, 2023</w:t>
            </w:r>
          </w:p>
        </w:tc>
        <w:tc>
          <w:tcPr>
            <w:tcW w:w="6340" w:type="dxa"/>
            <w:vAlign w:val="bottom"/>
            <w:gridSpan w:val="3"/>
          </w:tcPr>
          <w:p>
            <w:pPr>
              <w:spacing w:after="0"/>
              <w:rPr>
                <w:sz w:val="20"/>
                <w:szCs w:val="20"/>
                <w:color w:val="auto"/>
              </w:rPr>
            </w:pPr>
          </w:p>
        </w:tc>
      </w:tr>
      <w:tr>
        <w:trPr>
          <w:trHeight w:val="266"/>
        </w:trPr>
        <w:tc>
          <w:tcPr>
            <w:tcW w:w="148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23"/>
                <w:szCs w:val="23"/>
                <w:color w:val="auto"/>
              </w:rPr>
            </w:pPr>
          </w:p>
        </w:tc>
        <w:tc>
          <w:tcPr>
            <w:tcW w:w="95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Ninth Amendment to the Credit Agreement, dated as of January 31, 2023, by and among the Company, the lenders from time to time party thereto and Double</w:t>
            </w:r>
          </w:p>
        </w:tc>
      </w:tr>
      <w:tr>
        <w:trPr>
          <w:trHeight w:val="139"/>
        </w:trPr>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980" w:type="dxa"/>
            <w:vAlign w:val="bottom"/>
            <w:tcBorders>
              <w:top w:val="single" w:sz="8" w:color="0000FF"/>
            </w:tcBorders>
            <w:gridSpan w:val="3"/>
          </w:tcPr>
          <w:p>
            <w:pPr>
              <w:spacing w:after="0" w:line="139" w:lineRule="exact"/>
              <w:rPr>
                <w:sz w:val="20"/>
                <w:szCs w:val="20"/>
                <w:color w:val="auto"/>
              </w:rPr>
            </w:pPr>
            <w:r>
              <w:rPr>
                <w:rFonts w:ascii="Times New Roman" w:cs="Times New Roman" w:eastAsia="Times New Roman" w:hAnsi="Times New Roman"/>
                <w:sz w:val="14"/>
                <w:szCs w:val="14"/>
                <w:color w:val="0000FF"/>
              </w:rPr>
              <w:t>Helix Pte Ltd., as administrative agent.</w:t>
            </w:r>
          </w:p>
        </w:tc>
        <w:tc>
          <w:tcPr>
            <w:tcW w:w="600" w:type="dxa"/>
            <w:vAlign w:val="bottom"/>
            <w:gridSpan w:val="2"/>
          </w:tcPr>
          <w:p>
            <w:pPr>
              <w:spacing w:after="0"/>
              <w:rPr>
                <w:sz w:val="12"/>
                <w:szCs w:val="12"/>
                <w:color w:val="auto"/>
              </w:rPr>
            </w:pPr>
          </w:p>
        </w:tc>
      </w:tr>
      <w:tr>
        <w:trPr>
          <w:trHeight w:val="1074"/>
        </w:trPr>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top w:val="single" w:sz="8" w:color="0000FF"/>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4" w:name="page5"/>
    <w:bookmarkEnd w:id="4"/>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RENT THE RUNWAY, INC.</w:t>
      </w:r>
    </w:p>
    <w:p>
      <w:pPr>
        <w:spacing w:after="0" w:line="106" w:lineRule="exact"/>
        <w:rPr>
          <w:sz w:val="20"/>
          <w:szCs w:val="20"/>
          <w:color w:val="auto"/>
        </w:rPr>
      </w:pPr>
    </w:p>
    <w:p>
      <w:pPr>
        <w:ind w:left="340"/>
        <w:spacing w:after="0"/>
        <w:tabs>
          <w:tab w:leader="none" w:pos="5540" w:val="left"/>
          <w:tab w:leader="none" w:pos="6160" w:val="left"/>
        </w:tabs>
        <w:rPr>
          <w:sz w:val="20"/>
          <w:szCs w:val="20"/>
          <w:color w:val="auto"/>
        </w:rPr>
      </w:pPr>
      <w:r>
        <w:rPr>
          <w:rFonts w:ascii="Times New Roman" w:cs="Times New Roman" w:eastAsia="Times New Roman" w:hAnsi="Times New Roman"/>
          <w:sz w:val="14"/>
          <w:szCs w:val="14"/>
          <w:color w:val="auto"/>
        </w:rPr>
        <w:t>Date: January 31, 2023</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4040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Scarlett O’Sullivan</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700"/>
          </w:cols>
          <w:pgMar w:left="300" w:top="632" w:right="8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2023-01-31T06:36:43Z</dcterms:created>
  <dcterms:modified xsi:type="dcterms:W3CDTF">2023-01-31T06:36:43Z</dcterms:modified>
</cp:coreProperties>
</file>