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Donato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Revenue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34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ind w:right="9"/>
              <w:spacing w:after="0"/>
              <w:rPr>
                <w:sz w:val="20"/>
                <w:szCs w:val="20"/>
                <w:color w:val="auto"/>
              </w:rPr>
            </w:pPr>
            <w:r>
              <w:rPr>
                <w:rFonts w:ascii="Times New Roman" w:cs="Times New Roman" w:eastAsia="Times New Roman" w:hAnsi="Times New Roman"/>
                <w:sz w:val="17"/>
                <w:szCs w:val="17"/>
                <w:color w:val="0000FF"/>
              </w:rPr>
              <w:t>9,658</w:t>
            </w:r>
            <w:r>
              <w:rPr>
                <w:rFonts w:ascii="Times New Roman" w:cs="Times New Roman" w:eastAsia="Times New Roman" w:hAnsi="Times New Roman"/>
                <w:sz w:val="22"/>
                <w:szCs w:val="22"/>
                <w:color w:val="008000"/>
                <w:vertAlign w:val="superscript"/>
              </w:rPr>
              <w:t>(2)</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0.4867</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654,595</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02/05/2024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(5)</w:t>
            </w:r>
          </w:p>
        </w:tc>
        <w:tc>
          <w:tcPr>
            <w:tcW w:w="7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3,173</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0.4902</w:t>
            </w:r>
            <w:r>
              <w:rPr>
                <w:rFonts w:ascii="Times New Roman" w:cs="Times New Roman" w:eastAsia="Times New Roman" w:hAnsi="Times New Roman"/>
                <w:sz w:val="22"/>
                <w:szCs w:val="22"/>
                <w:color w:val="008000"/>
                <w:vertAlign w:val="superscript"/>
              </w:rPr>
              <w:t>(6)</w:t>
            </w:r>
          </w:p>
        </w:tc>
        <w:tc>
          <w:tcPr>
            <w:tcW w:w="1140" w:type="dxa"/>
            <w:vAlign w:val="bottom"/>
            <w:tcBorders>
              <w:bottom w:val="single" w:sz="8" w:color="2C2C2C"/>
            </w:tcBorders>
          </w:tcPr>
          <w:p>
            <w:pPr>
              <w:jc w:val="right"/>
              <w:ind w:right="214"/>
              <w:spacing w:after="0"/>
              <w:rPr>
                <w:sz w:val="20"/>
                <w:szCs w:val="20"/>
                <w:color w:val="auto"/>
              </w:rPr>
            </w:pPr>
            <w:r>
              <w:rPr>
                <w:rFonts w:ascii="Times New Roman" w:cs="Times New Roman" w:eastAsia="Times New Roman" w:hAnsi="Times New Roman"/>
                <w:sz w:val="17"/>
                <w:szCs w:val="17"/>
                <w:color w:val="0000FF"/>
              </w:rPr>
              <w:t>651,422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April 27,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$0.475 to $0.4938,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Form 4s subsequent to February 1, 2023 understated the number of shares of Class A common stock held by the Reporting Person by 368 shares, which has been corrected herein.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dated April 26, 2023.</w:t>
      </w:r>
    </w:p>
    <w:p>
      <w:pPr>
        <w:spacing w:after="0" w:line="50" w:lineRule="exact"/>
        <w:rPr>
          <w:rFonts w:ascii="Times New Roman" w:cs="Times New Roman" w:eastAsia="Times New Roman" w:hAnsi="Times New Roman"/>
          <w:sz w:val="13"/>
          <w:szCs w:val="13"/>
          <w:color w:val="008000"/>
        </w:rPr>
      </w:pPr>
    </w:p>
    <w:p>
      <w:pPr>
        <w:ind w:left="40" w:right="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These shares were sold in multiple transactions at prices ranging from $0.4901 to $0.4941,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02/07/2024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Brian Donato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6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66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87453"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2024-02-07T20:18:46Z</dcterms:created>
  <dcterms:modified xsi:type="dcterms:W3CDTF">2024-02-07T20:18:46Z</dcterms:modified>
</cp:coreProperties>
</file>