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dp254079_424b3.htm"/>
      <w:bookmarkStart w:id="1" w:name="ksdp254079_424b3"/>
      <w:bookmarkEnd w:id="0"/>
      <w:bookmarkEnd w:id="1"/>
      <w:r>
        <w:rPr>
          <w:rFonts w:ascii="Times New Roman;Times;Serif" w:hAnsi="Times New Roman;Times;Serif"/>
          <w:b w:val="false"/>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333-298871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0962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1114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RENT THE RUNWAY,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Subscription Rights to Purchase up to 4,225,352 Shares of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 at $3.55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distributing, at no charge, to the holders of our Class A Common Stock, par value $0.001 per share (the “Class A Common Stock”) transferable subscription rights to purchase up to an aggregate of 4,225,352 shares of our Class A Common Stock, at a subscription price of $3.55 per share, which corresponds to the previously announced formulation of the greater of (i) $3.55, representing the volume weighted average price of our Class A Common Stock for the 15-day trading period ending on the second trading day preceding the date of the Backstop Agreement (as defined below) and (ii) $2.26, representing the volume weighted average price of our Class A Common Stock for the 15-day trading period through and including the Record Date (as defined below), in each case, per whole share of Class A Common Stock. We are offering to each of our stockholders one right for each share of Class A Common Stock owned by such stockholder as of 5:00 p.m., New York City time, on September 25, 2026 (the “Record Date”). Each right will entitle its holder to purchase additional shares of Class A Common Stock on a pro rata basis relative to their ownership interest in us as of the Record Date;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As of September 25, 2026, we had outstanding 33,774,121 shares of Class A Common Stock. As a result, each right entitles its holder to approximately 0.1251 shares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of shares of our Class A Common Stock offered hereby will be up to $15 million. To the extent a stockholder properly exercises its oversubscription privilege for an amount of shares of Class A Common Stock that exceeds the number of the unsubscribed shares of Class A Common Stock available, Broadridge Corporate Issuer Solutions, LLC (the “Subscription Agent”) will return any excess subscription payments, without interest or penalty, as soon as practicable following the expiration of this offering. We are not requiring a minimum individual or overall subscription to complete this offering. The Subscription Agent will hold in escrow the funds we receive from subscribing stockholders until we complete or terminate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may only be exercised in aggregate whole numbers of our Class A Common Stock, and no fractional shares of Class A Common Stock will be issued. Any fractional shares of Class A Common Stock resulting from the exercise of the rights will be rounded down to the nearest whole share, with such adjustments as may be necessary to ensure that we offer up to 4,225,352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commence on September 30, 2026 and we will not distribute any rights prior to such date. The rights will expire if they are not exercised by 5:00 p.m., New York City time, on October 14, 2026, unless extended as described herein (the “Expiration Date”). Any exercise of rights by a holder may not be revoked. The rights are transferable, subject to the conditions described herein. Rights that are not exercised prior to the Expiration Date will expire and have no value. There is no minimum number of shares of Class A Common Stock that we must sell to complete this offering. The completion of this offering is subject to certain conditions. See “Description of the Rights Offering—Conditions, Amendment, Withdrawal and 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 rights offering backstop agreement, dated September 11, 2026 (the “Backstop Agreement”), with CHS US Investments LLC (“CHS”), Gateway Runway, LLC (“Nexus”) and S3 RR Aggregator, LLC (“STORY3” and, collectively with CHS and Nexus, the “Investor Group”). 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our board of directors makes any recommendation to holders regarding whether they should exercise or sell their rights. As a result of the terms of this offering, stockholders who do not fully exercise their rights will own, upon completion of this offering, a smaller proportional interest in our Class A Common Stock than otherwise would be the case had they fully exercised their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traded on the Nasdaq Global Market (the “Nasdaq”) under the symbol “RENT.” The rights will not be listed for trading on Nasdaq or any other exchange or market. On September 25, 2026, the last reported sale price of our shares of Class A Common Stock on the Nasdaq was $1.67 per share.</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Common Stock involves significant risks. See “Risk Factors” beginning on page 8 of this prospectus and those identified under “Risk Factors” in our Quarterly Report on Form 10-Q, as filed with the Securities and Exchange Commission (the “SEC”) on September 11, 2026, and incorporated by reference herein.</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3960" w:right="0" w:hanging="0"/>
        <w:jc w:val="left"/>
        <w:rPr>
          <w:caps w:val="false"/>
          <w:smallCaps w:val="false"/>
        </w:rPr>
      </w:pPr>
      <w:r>
        <w:rPr>
          <w:caps w:val="false"/>
          <w:smallCaps w:val="false"/>
        </w:rPr>
        <w:t> </w:t>
      </w:r>
    </w:p>
    <w:tbl>
      <w:tblPr>
        <w:tblW w:w="8560" w:type="dxa"/>
        <w:jc w:val="left"/>
        <w:tblInd w:w="0" w:type="dxa"/>
        <w:tblLayout w:type="fixed"/>
        <w:tblCellMar>
          <w:top w:w="60" w:type="dxa"/>
          <w:left w:w="60" w:type="dxa"/>
          <w:bottom w:w="60" w:type="dxa"/>
          <w:right w:w="60" w:type="dxa"/>
        </w:tblCellMar>
      </w:tblPr>
      <w:tblGrid>
        <w:gridCol w:w="8165"/>
        <w:gridCol w:w="395"/>
      </w:tblGrid>
      <w:tr>
        <w:trPr/>
        <w:tc>
          <w:tcPr>
            <w:tcW w:w="8165" w:type="dxa"/>
            <w:tcBorders/>
            <w:vAlign w:val="center"/>
          </w:tcPr>
          <w:p>
            <w:pPr>
              <w:pStyle w:val="TableContents"/>
              <w:bidi w:val="0"/>
              <w:spacing w:before="0" w:after="283"/>
              <w:jc w:val="left"/>
              <w:rPr/>
            </w:pPr>
            <w:hyperlink w:anchor="a_001">
              <w:r>
                <w:rPr>
                  <w:rStyle w:val="InternetLink"/>
                </w:rPr>
                <w:t>SUMMARY</w:t>
              </w:r>
            </w:hyperlink>
          </w:p>
        </w:tc>
        <w:tc>
          <w:tcPr>
            <w:tcW w:w="395" w:type="dxa"/>
            <w:tcBorders/>
            <w:vAlign w:val="center"/>
          </w:tcPr>
          <w:p>
            <w:pPr>
              <w:pStyle w:val="TableContents"/>
              <w:bidi w:val="0"/>
              <w:spacing w:before="0" w:after="283"/>
              <w:jc w:val="right"/>
              <w:rPr/>
            </w:pPr>
            <w:hyperlink w:anchor="a_001">
              <w:r>
                <w:rPr>
                  <w:rStyle w:val="InternetLink"/>
                </w:rPr>
                <w:t>1</w:t>
              </w:r>
            </w:hyperlink>
          </w:p>
        </w:tc>
      </w:tr>
      <w:tr>
        <w:trPr/>
        <w:tc>
          <w:tcPr>
            <w:tcW w:w="8165" w:type="dxa"/>
            <w:tcBorders/>
            <w:vAlign w:val="center"/>
          </w:tcPr>
          <w:p>
            <w:pPr>
              <w:pStyle w:val="TableContents"/>
              <w:bidi w:val="0"/>
              <w:spacing w:before="0" w:after="283"/>
              <w:jc w:val="left"/>
              <w:rPr/>
            </w:pPr>
            <w:hyperlink w:anchor="a_002">
              <w:r>
                <w:rPr>
                  <w:rStyle w:val="InternetLink"/>
                </w:rPr>
                <w:t>RISK FACTORS</w:t>
              </w:r>
            </w:hyperlink>
          </w:p>
        </w:tc>
        <w:tc>
          <w:tcPr>
            <w:tcW w:w="395" w:type="dxa"/>
            <w:tcBorders/>
            <w:vAlign w:val="center"/>
          </w:tcPr>
          <w:p>
            <w:pPr>
              <w:pStyle w:val="TableContents"/>
              <w:bidi w:val="0"/>
              <w:spacing w:before="0" w:after="283"/>
              <w:jc w:val="right"/>
              <w:rPr/>
            </w:pPr>
            <w:hyperlink w:anchor="a_002">
              <w:r>
                <w:rPr>
                  <w:rStyle w:val="InternetLink"/>
                </w:rPr>
                <w:t>8</w:t>
              </w:r>
            </w:hyperlink>
          </w:p>
        </w:tc>
      </w:tr>
      <w:tr>
        <w:trPr/>
        <w:tc>
          <w:tcPr>
            <w:tcW w:w="8165" w:type="dxa"/>
            <w:tcBorders/>
            <w:vAlign w:val="center"/>
          </w:tcPr>
          <w:p>
            <w:pPr>
              <w:pStyle w:val="TableContents"/>
              <w:bidi w:val="0"/>
              <w:spacing w:before="0" w:after="283"/>
              <w:jc w:val="left"/>
              <w:rPr/>
            </w:pPr>
            <w:hyperlink w:anchor="a_003">
              <w:r>
                <w:rPr>
                  <w:rStyle w:val="InternetLink"/>
                </w:rPr>
                <w:t>CAUTIONARY NOTE REGARDING FORWARD-LOOKING STATEMENTS</w:t>
              </w:r>
            </w:hyperlink>
          </w:p>
        </w:tc>
        <w:tc>
          <w:tcPr>
            <w:tcW w:w="395" w:type="dxa"/>
            <w:tcBorders/>
            <w:vAlign w:val="center"/>
          </w:tcPr>
          <w:p>
            <w:pPr>
              <w:pStyle w:val="TableContents"/>
              <w:bidi w:val="0"/>
              <w:spacing w:before="0" w:after="283"/>
              <w:jc w:val="right"/>
              <w:rPr/>
            </w:pPr>
            <w:hyperlink w:anchor="a_003">
              <w:r>
                <w:rPr>
                  <w:rStyle w:val="InternetLink"/>
                </w:rPr>
                <w:t>10</w:t>
              </w:r>
            </w:hyperlink>
          </w:p>
        </w:tc>
      </w:tr>
      <w:tr>
        <w:trPr/>
        <w:tc>
          <w:tcPr>
            <w:tcW w:w="8165" w:type="dxa"/>
            <w:tcBorders/>
            <w:vAlign w:val="center"/>
          </w:tcPr>
          <w:p>
            <w:pPr>
              <w:pStyle w:val="TableContents"/>
              <w:bidi w:val="0"/>
              <w:spacing w:before="0" w:after="283"/>
              <w:jc w:val="left"/>
              <w:rPr/>
            </w:pPr>
            <w:hyperlink w:anchor="a_004">
              <w:r>
                <w:rPr>
                  <w:rStyle w:val="InternetLink"/>
                </w:rPr>
                <w:t>USE OF PROCEEDS</w:t>
              </w:r>
            </w:hyperlink>
          </w:p>
        </w:tc>
        <w:tc>
          <w:tcPr>
            <w:tcW w:w="395" w:type="dxa"/>
            <w:tcBorders/>
            <w:vAlign w:val="center"/>
          </w:tcPr>
          <w:p>
            <w:pPr>
              <w:pStyle w:val="TableContents"/>
              <w:bidi w:val="0"/>
              <w:spacing w:before="0" w:after="283"/>
              <w:jc w:val="right"/>
              <w:rPr/>
            </w:pPr>
            <w:hyperlink w:anchor="a_004">
              <w:r>
                <w:rPr>
                  <w:rStyle w:val="InternetLink"/>
                </w:rPr>
                <w:t>11</w:t>
              </w:r>
            </w:hyperlink>
          </w:p>
        </w:tc>
      </w:tr>
      <w:tr>
        <w:trPr/>
        <w:tc>
          <w:tcPr>
            <w:tcW w:w="8165" w:type="dxa"/>
            <w:tcBorders/>
            <w:vAlign w:val="center"/>
          </w:tcPr>
          <w:p>
            <w:pPr>
              <w:pStyle w:val="TableContents"/>
              <w:bidi w:val="0"/>
              <w:spacing w:before="0" w:after="283"/>
              <w:jc w:val="left"/>
              <w:rPr/>
            </w:pPr>
            <w:hyperlink w:anchor="a_005">
              <w:r>
                <w:rPr>
                  <w:rStyle w:val="InternetLink"/>
                </w:rPr>
                <w:t>CAPITALIZATION</w:t>
              </w:r>
            </w:hyperlink>
          </w:p>
        </w:tc>
        <w:tc>
          <w:tcPr>
            <w:tcW w:w="395" w:type="dxa"/>
            <w:tcBorders/>
            <w:vAlign w:val="center"/>
          </w:tcPr>
          <w:p>
            <w:pPr>
              <w:pStyle w:val="TableContents"/>
              <w:bidi w:val="0"/>
              <w:spacing w:before="0" w:after="283"/>
              <w:jc w:val="right"/>
              <w:rPr/>
            </w:pPr>
            <w:hyperlink w:anchor="a_005">
              <w:r>
                <w:rPr>
                  <w:rStyle w:val="InternetLink"/>
                </w:rPr>
                <w:t>12</w:t>
              </w:r>
            </w:hyperlink>
          </w:p>
        </w:tc>
      </w:tr>
      <w:tr>
        <w:trPr/>
        <w:tc>
          <w:tcPr>
            <w:tcW w:w="8165" w:type="dxa"/>
            <w:tcBorders/>
            <w:vAlign w:val="center"/>
          </w:tcPr>
          <w:p>
            <w:pPr>
              <w:pStyle w:val="TableContents"/>
              <w:bidi w:val="0"/>
              <w:spacing w:before="0" w:after="283"/>
              <w:jc w:val="left"/>
              <w:rPr/>
            </w:pPr>
            <w:hyperlink w:anchor="a_006">
              <w:r>
                <w:rPr>
                  <w:rStyle w:val="InternetLink"/>
                </w:rPr>
                <w:t>DILUTION</w:t>
              </w:r>
            </w:hyperlink>
          </w:p>
        </w:tc>
        <w:tc>
          <w:tcPr>
            <w:tcW w:w="395" w:type="dxa"/>
            <w:tcBorders/>
            <w:vAlign w:val="center"/>
          </w:tcPr>
          <w:p>
            <w:pPr>
              <w:pStyle w:val="TableContents"/>
              <w:bidi w:val="0"/>
              <w:spacing w:before="0" w:after="283"/>
              <w:jc w:val="right"/>
              <w:rPr/>
            </w:pPr>
            <w:hyperlink w:anchor="a_006">
              <w:r>
                <w:rPr>
                  <w:rStyle w:val="InternetLink"/>
                </w:rPr>
                <w:t>13</w:t>
              </w:r>
            </w:hyperlink>
          </w:p>
        </w:tc>
      </w:tr>
      <w:tr>
        <w:trPr/>
        <w:tc>
          <w:tcPr>
            <w:tcW w:w="8165" w:type="dxa"/>
            <w:tcBorders/>
            <w:vAlign w:val="center"/>
          </w:tcPr>
          <w:p>
            <w:pPr>
              <w:pStyle w:val="TableContents"/>
              <w:bidi w:val="0"/>
              <w:spacing w:before="0" w:after="283"/>
              <w:jc w:val="left"/>
              <w:rPr/>
            </w:pPr>
            <w:hyperlink w:anchor="a_007">
              <w:r>
                <w:rPr>
                  <w:rStyle w:val="InternetLink"/>
                </w:rPr>
                <w:t>DESCRIPTION OF THE RIGHTS OFFERING</w:t>
              </w:r>
            </w:hyperlink>
          </w:p>
        </w:tc>
        <w:tc>
          <w:tcPr>
            <w:tcW w:w="395" w:type="dxa"/>
            <w:tcBorders/>
            <w:vAlign w:val="center"/>
          </w:tcPr>
          <w:p>
            <w:pPr>
              <w:pStyle w:val="TableContents"/>
              <w:bidi w:val="0"/>
              <w:spacing w:before="0" w:after="283"/>
              <w:jc w:val="right"/>
              <w:rPr/>
            </w:pPr>
            <w:hyperlink w:anchor="a_007">
              <w:r>
                <w:rPr>
                  <w:rStyle w:val="InternetLink"/>
                </w:rPr>
                <w:t>14</w:t>
              </w:r>
            </w:hyperlink>
          </w:p>
        </w:tc>
      </w:tr>
      <w:tr>
        <w:trPr/>
        <w:tc>
          <w:tcPr>
            <w:tcW w:w="8165" w:type="dxa"/>
            <w:tcBorders/>
            <w:vAlign w:val="center"/>
          </w:tcPr>
          <w:p>
            <w:pPr>
              <w:pStyle w:val="TableContents"/>
              <w:bidi w:val="0"/>
              <w:spacing w:before="0" w:after="283"/>
              <w:jc w:val="left"/>
              <w:rPr/>
            </w:pPr>
            <w:hyperlink w:anchor="a_008">
              <w:r>
                <w:rPr>
                  <w:rStyle w:val="InternetLink"/>
                </w:rPr>
                <w:t>MATERIAL U.S. FEDERAL INCOME TAX CONSEQUENCES</w:t>
              </w:r>
            </w:hyperlink>
          </w:p>
        </w:tc>
        <w:tc>
          <w:tcPr>
            <w:tcW w:w="395" w:type="dxa"/>
            <w:tcBorders/>
            <w:vAlign w:val="center"/>
          </w:tcPr>
          <w:p>
            <w:pPr>
              <w:pStyle w:val="TableContents"/>
              <w:bidi w:val="0"/>
              <w:spacing w:before="0" w:after="283"/>
              <w:jc w:val="right"/>
              <w:rPr/>
            </w:pPr>
            <w:hyperlink w:anchor="a_008">
              <w:r>
                <w:rPr>
                  <w:rStyle w:val="InternetLink"/>
                </w:rPr>
                <w:t>25</w:t>
              </w:r>
            </w:hyperlink>
          </w:p>
        </w:tc>
      </w:tr>
      <w:tr>
        <w:trPr/>
        <w:tc>
          <w:tcPr>
            <w:tcW w:w="8165" w:type="dxa"/>
            <w:tcBorders/>
            <w:vAlign w:val="center"/>
          </w:tcPr>
          <w:p>
            <w:pPr>
              <w:pStyle w:val="TableContents"/>
              <w:bidi w:val="0"/>
              <w:spacing w:before="0" w:after="283"/>
              <w:jc w:val="left"/>
              <w:rPr/>
            </w:pPr>
            <w:hyperlink w:anchor="a_009">
              <w:r>
                <w:rPr>
                  <w:rStyle w:val="InternetLink"/>
                </w:rPr>
                <w:t>PLAN OF DISTRIBUTION</w:t>
              </w:r>
            </w:hyperlink>
          </w:p>
        </w:tc>
        <w:tc>
          <w:tcPr>
            <w:tcW w:w="395" w:type="dxa"/>
            <w:tcBorders/>
            <w:vAlign w:val="center"/>
          </w:tcPr>
          <w:p>
            <w:pPr>
              <w:pStyle w:val="TableContents"/>
              <w:bidi w:val="0"/>
              <w:spacing w:before="0" w:after="283"/>
              <w:jc w:val="right"/>
              <w:rPr/>
            </w:pPr>
            <w:hyperlink w:anchor="a_009">
              <w:r>
                <w:rPr>
                  <w:rStyle w:val="InternetLink"/>
                </w:rPr>
                <w:t>31</w:t>
              </w:r>
            </w:hyperlink>
          </w:p>
        </w:tc>
      </w:tr>
      <w:tr>
        <w:trPr/>
        <w:tc>
          <w:tcPr>
            <w:tcW w:w="8165" w:type="dxa"/>
            <w:tcBorders/>
            <w:vAlign w:val="center"/>
          </w:tcPr>
          <w:p>
            <w:pPr>
              <w:pStyle w:val="TableContents"/>
              <w:bidi w:val="0"/>
              <w:spacing w:before="0" w:after="283"/>
              <w:jc w:val="left"/>
              <w:rPr/>
            </w:pPr>
            <w:hyperlink w:anchor="a_010">
              <w:r>
                <w:rPr>
                  <w:rStyle w:val="InternetLink"/>
                </w:rPr>
                <w:t>LEGAL MATTERS</w:t>
              </w:r>
            </w:hyperlink>
          </w:p>
        </w:tc>
        <w:tc>
          <w:tcPr>
            <w:tcW w:w="395" w:type="dxa"/>
            <w:tcBorders/>
            <w:vAlign w:val="center"/>
          </w:tcPr>
          <w:p>
            <w:pPr>
              <w:pStyle w:val="TableContents"/>
              <w:bidi w:val="0"/>
              <w:spacing w:before="0" w:after="283"/>
              <w:jc w:val="right"/>
              <w:rPr/>
            </w:pPr>
            <w:hyperlink w:anchor="a_010">
              <w:r>
                <w:rPr>
                  <w:rStyle w:val="InternetLink"/>
                </w:rPr>
                <w:t>32</w:t>
              </w:r>
            </w:hyperlink>
          </w:p>
        </w:tc>
      </w:tr>
      <w:tr>
        <w:trPr/>
        <w:tc>
          <w:tcPr>
            <w:tcW w:w="8165" w:type="dxa"/>
            <w:tcBorders/>
            <w:vAlign w:val="center"/>
          </w:tcPr>
          <w:p>
            <w:pPr>
              <w:pStyle w:val="TableContents"/>
              <w:bidi w:val="0"/>
              <w:spacing w:before="0" w:after="283"/>
              <w:jc w:val="left"/>
              <w:rPr/>
            </w:pPr>
            <w:hyperlink w:anchor="a_011">
              <w:r>
                <w:rPr>
                  <w:rStyle w:val="InternetLink"/>
                </w:rPr>
                <w:t>EXPERTS</w:t>
              </w:r>
            </w:hyperlink>
          </w:p>
        </w:tc>
        <w:tc>
          <w:tcPr>
            <w:tcW w:w="395" w:type="dxa"/>
            <w:tcBorders/>
            <w:vAlign w:val="center"/>
          </w:tcPr>
          <w:p>
            <w:pPr>
              <w:pStyle w:val="TableContents"/>
              <w:bidi w:val="0"/>
              <w:spacing w:before="0" w:after="283"/>
              <w:jc w:val="right"/>
              <w:rPr/>
            </w:pPr>
            <w:hyperlink w:anchor="a_011">
              <w:r>
                <w:rPr>
                  <w:rStyle w:val="InternetLink"/>
                </w:rPr>
                <w:t>32</w:t>
              </w:r>
            </w:hyperlink>
          </w:p>
        </w:tc>
      </w:tr>
      <w:tr>
        <w:trPr/>
        <w:tc>
          <w:tcPr>
            <w:tcW w:w="8165" w:type="dxa"/>
            <w:tcBorders/>
            <w:vAlign w:val="center"/>
          </w:tcPr>
          <w:p>
            <w:pPr>
              <w:pStyle w:val="TableContents"/>
              <w:bidi w:val="0"/>
              <w:spacing w:before="0" w:after="283"/>
              <w:jc w:val="left"/>
              <w:rPr/>
            </w:pPr>
            <w:hyperlink w:anchor="a_012">
              <w:r>
                <w:rPr>
                  <w:rStyle w:val="InternetLink"/>
                </w:rPr>
                <w:t>WHERE YOU CAN FIND MORE INFORMATION</w:t>
              </w:r>
            </w:hyperlink>
          </w:p>
        </w:tc>
        <w:tc>
          <w:tcPr>
            <w:tcW w:w="395" w:type="dxa"/>
            <w:tcBorders/>
            <w:vAlign w:val="center"/>
          </w:tcPr>
          <w:p>
            <w:pPr>
              <w:pStyle w:val="TableContents"/>
              <w:bidi w:val="0"/>
              <w:spacing w:before="0" w:after="283"/>
              <w:jc w:val="right"/>
              <w:rPr/>
            </w:pPr>
            <w:hyperlink w:anchor="a_012">
              <w:r>
                <w:rPr>
                  <w:rStyle w:val="InternetLink"/>
                </w:rPr>
                <w:t>33</w:t>
              </w:r>
            </w:hyperlink>
          </w:p>
        </w:tc>
      </w:tr>
    </w:tbl>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The exhibits to the registration statement contain the full text of certain contracts and other important documents we have summarized in this prospectus. Because these summaries may not contain all the information that you may find important in deciding whether to subscribe for shares of our Class A Common Stock, you should review the full text of these documents. The registration statement and the exhibits can be obtained from the SEC as indicated under the section entitled “Where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“Rent the Runway,” “RTR,” the “company,” “we,” “us” and “our” refer to Rent the Runway, Inc. and its consolidated subsidiaries. We have not authorized anyone to provide any information or to make any representations other than those contained in this prospectus. We take no responsibility for, and can provide no assurance as to the reliability of, any other information that others may provide you. We are offering to sell, and seeking offers to buy, securities only in jurisdictions where offers and sales are permitted. The information contained in this prospectus is accurate only as of the date of this prospectus, regardless of the time of delivery of this prospectus or of any sale of the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bookmarkStart w:id="2" w:name="a_001"/>
      <w:bookmarkEnd w:id="2"/>
      <w:r>
        <w:rPr>
          <w:rFonts w:ascii="Times New Roman;Times;Serif" w:hAnsi="Times New Roman;Times;Serif"/>
          <w:b/>
          <w:i w:val="false"/>
          <w:caps w:val="false"/>
          <w:smallCaps w:val="false"/>
          <w:sz w:val="20"/>
          <w:bdr w:val="single" w:sz="8" w:space="4" w:color="000000"/>
        </w:rPr>
        <w:t>SUMMARY</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This summary highlights information contained elsewhere or incorporated by reference in this prospectus. This summary may not contain all the information that may be important to you, and we urge you to read this prospectus carefully, including the documents incorporated by reference, before deciding to invest in the securities.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Business Overview</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mission is to power women to feel their best every day.</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3.5 million lifetime customers across all of our offerings and we had 186,019 total subscribers (active and paused) as of July 31, 2026. We had 140,826 active subscribers as of July 31, 2026. For the six months ended July 31, 2026 and 2025, respectively, 90% and 89% of our total revenue was generated by subscribers while they were active or paused.</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When our customers use Rent the Runway, they experience the magic of accessing an “Unlimited Closet” while saving money and time and reducing clothing waste. We deliver significant financial value to customers, with our average subscriber wearing clothes worth more than 24 times what she pays for a monthly RTR Subscription on an annualized basis (more than $48,000 in designer retail value in fiscal year 2025</w:t>
      </w:r>
      <w:r>
        <w:rPr>
          <w:rFonts w:ascii="Times New Roman;Times;Serif" w:hAnsi="Times New Roman;Times;Serif"/>
          <w:b w:val="false"/>
          <w:i w:val="false"/>
          <w:caps w:val="false"/>
          <w:smallCaps w:val="false"/>
          <w:position w:val="5"/>
          <w:sz w:val="13"/>
          <w:sz w:val="16"/>
          <w:bdr w:val="single" w:sz="8" w:space="4" w:color="000000"/>
        </w:rPr>
        <w:t>1</w:t>
      </w:r>
      <w:r>
        <w:rPr>
          <w:rFonts w:ascii="Times New Roman;Times;Serif" w:hAnsi="Times New Roman;Times;Serif"/>
          <w:b w:val="false"/>
          <w:i w:val="false"/>
          <w:caps w:val="false"/>
          <w:smallCaps w:val="false"/>
          <w:sz w:val="20"/>
          <w:bdr w:val="single" w:sz="8" w:space="4" w:color="000000"/>
        </w:rPr>
        <w: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For example, many of our brand partners work with us because we introduce them to new, desirable customers and deepen awareness of their brands. Over the last 16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Brand Partner Advantage</w:t>
            </w:r>
            <w:r>
              <w:rPr/>
              <w:t>: Our assortment contains thousands of new, current season styles that luxury retail competitors simultaneously carry - all available for Subscription, Reserve, and/or Resale at much lower prices. We believe our engaged and loyal customer base paired with the data that we offer to our brand partners makes us a key destination for many of the world’s most important brands. Over time, our commercial relationships with our brand partners have evolved towards more capital efficient forms of rental product acquisition.</w:t>
            </w:r>
          </w:p>
        </w:tc>
      </w:tr>
    </w:tbl>
    <w:p>
      <w:pPr>
        <w:pStyle w:val="TextBody"/>
        <w:bidi w:val="0"/>
        <w:jc w:val="left"/>
        <w:rPr>
          <w:bdr w:val="single" w:sz="8" w:space="4" w:color="000000"/>
        </w:rPr>
      </w:pPr>
      <w:r>
        <w:rPr>
          <w:bdr w:val="single" w:sz="8" w:space="4" w:color="000000"/>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position w:val="7"/>
          <w:sz w:val="16"/>
          <w:sz w:val="20"/>
          <w:bdr w:val="single" w:sz="8" w:space="4" w:color="000000"/>
        </w:rPr>
        <w:t>1</w:t>
      </w:r>
      <w:r>
        <w:rPr>
          <w:rFonts w:ascii="Times New Roman;Times;Serif" w:hAnsi="Times New Roman;Times;Serif"/>
          <w:b w:val="false"/>
          <w:i w:val="false"/>
          <w:caps w:val="false"/>
          <w:smallCaps w:val="false"/>
          <w:sz w:val="20"/>
          <w:bdr w:val="single" w:sz="8" w:space="4" w:color="000000"/>
        </w:rPr>
        <w:t xml:space="preserve"> 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pStyle w:val="TextBody"/>
        <w:bidi w:val="0"/>
        <w:spacing w:before="0" w:after="0"/>
        <w:ind w:left="0" w:right="0" w:firstLine="72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Data Advantage</w:t>
            </w:r>
            <w:r>
              <w:rPr/>
              <w:t>: We capture a vast amount of unique, actionable data on our customers and products. We leverage this data to create benefits for our customers, brand partners and our business.</w:t>
            </w:r>
          </w:p>
        </w:tc>
      </w:tr>
    </w:tbl>
    <w:p>
      <w:pPr>
        <w:pStyle w:val="TextBody"/>
        <w:bidi w:val="0"/>
        <w:spacing w:before="0" w:after="0"/>
        <w:jc w:val="left"/>
        <w:rPr>
          <w:caps w:val="false"/>
          <w:smallCaps w:val="false"/>
          <w:bdr w:val="single" w:sz="8" w:space="4" w:color="000000"/>
        </w:rPr>
      </w:pPr>
      <w:r>
        <w:rPr>
          <w:caps w:val="false"/>
          <w:smallCaps w:val="false"/>
          <w:bdr w:val="single" w:sz="8" w:space="4"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Technology and Logistics Advantage</w:t>
            </w:r>
            <w:r>
              <w:rPr/>
              <w:t>: We have developed a proprietary operating system that pairs proprietary software with differentiated infrastructure and hardware. Our expertise in vertically integrated just-in-time reverse logistics and garment science allows us to achieve multi-year monetization on our rental garments. We have also built a custom platform that supports our consumer-facing offerings on our website and app.</w:t>
            </w:r>
          </w:p>
        </w:tc>
      </w:tr>
    </w:tbl>
    <w:p>
      <w:pPr>
        <w:pStyle w:val="TextBody"/>
        <w:bidi w:val="0"/>
        <w:spacing w:before="0" w:after="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Recent Developments</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Amended and Restated Credit Agreement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On September 1, 2026, the Company entered into an amendment (the “Third Amendment”) to the Amended and Restated Credit Agreement, dated as of October 28, 2025 (the “Existing Credit Agreement” and, as amended by the Third Amendment, the “New Credit Agreement”), by and among us, as borrower, CHS (US) Management LLC, as administrative agent (the “Agent”), and APS RTR Blocker, Inc., Gateway Runway, LLC and S3 RR Aggregator, LLC, as lenders, establishing an incremental term loan facility in an aggregate principal amount of $10,000,000 (the “Third Amendment Incremental Term Loan Facility”).  The company concurrently borrowed the full amount of the term loans available under the Third Amendment Incremental Term Loan Facility, in an aggregate principal amount of $10,000,000 (the “Third Amendment Incremental Term Loan”).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Stipulation of Settlement</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On September 3, 2026, the Company entered into a Stipulation and Agreement of Settlement (the “Stipulation of Settlement”) to settle the previously-disclosed putative class action lawsuit filed by a purported stockholder of the Company on November 14, 2022 in the Eastern District of New York against the Company, certain of its officers and directors, and the underwriters of its initial public offering, entitled Rajat Sharma v. Rent the Runway, Inc., et al. 22-cv-6935.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inter alia, the Company’s growth at the time of the IPO.</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Pursuant to the Stipulation of Settlement, the parties have agreed to resolve all claims brought against the defendants, subject to certain conditions including the approval of the settlement terms by the Court. The Stipulation of Settlement provides that the Company shall pay, or shall cause to be paid, total settlement consideration with an aggregate value of $9 million (the “Settlement Amount”), consisting of (i) $6 million in cash (the “Cash Settlement Amount”), and (ii) shares of the Company’s Class A common stock, with an aggregate value of $3 million (the “Stock Component Amount”) (of which the Company may, in its sole discretion, pay all or a portion in cash instead). The Cash Settlement Amount will include a contribution of approximately $3.1 million from the Company and a contribution of approximately $2.9 million from the Company’s insurers. The Stipulation of Settlement contemplates that the resolution of the matter would be without any admission of liability, wrongdoing, damages, negligence, or fault by the Company.</w:t>
      </w:r>
    </w:p>
    <w:p>
      <w:pPr>
        <w:pStyle w:val="TextBody"/>
        <w:bidi w:val="0"/>
        <w:spacing w:before="0" w:after="0"/>
        <w:ind w:left="0" w:right="0" w:firstLine="72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proposed settlement is subject to, among other things, final approval by the Court. There can be no assurance that the Court will approve the proposed settlement on its current or any other terms. If the Court provides final approval of the settlement, the settlement would resolve all claims asserted against the Company in the lawsuit.</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Executive Officer Appointment and Related Matters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On September 11, 2026 (the “Appointment Date”), the Company’s Board of Directors (the “Board”) appointed Paige Thomas as the Company’s Chief Executive Officer, principal executive officer, President and member of the Board, effective as of September 14, 2026 (the “Effective Date”). In connection with Ms. Thomas’ appointment, on the Appointment Date, Teri Bariquit stepped down as the Company’s Interim Chief Executive Officer and President and was appointed by the Board to serve as non-executive Chair of the Board, effective as of the Effective Date. In connection with Ms. Bariquit’s appointment, Dhiren Fonseca stepped down as Executive Chairman and will continue to serve as a Class III director of the Board.</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Corporate Information</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THE OFFERING</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The following summary describes the principal terms of this offering, but it is not intended to be complete. You should read the full text and more specific details contained elsewhere in this prospectus. For a more detailed description of the terms and conditions of this offering, see “Description of the Rights Offering.”</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tbl>
      <w:tblPr>
        <w:tblW w:w="10205" w:type="dxa"/>
        <w:jc w:val="left"/>
        <w:tblInd w:w="0" w:type="dxa"/>
        <w:tblLayout w:type="fixed"/>
        <w:tblCellMar>
          <w:top w:w="0" w:type="dxa"/>
          <w:left w:w="0" w:type="dxa"/>
          <w:bottom w:w="0" w:type="dxa"/>
          <w:right w:w="0" w:type="dxa"/>
        </w:tblCellMar>
      </w:tblPr>
      <w:tblGrid>
        <w:gridCol w:w="1707"/>
        <w:gridCol w:w="8498"/>
      </w:tblGrid>
      <w:tr>
        <w:trPr/>
        <w:tc>
          <w:tcPr>
            <w:tcW w:w="1707" w:type="dxa"/>
            <w:tcBorders/>
            <w:vAlign w:val="center"/>
          </w:tcPr>
          <w:p>
            <w:pPr>
              <w:pStyle w:val="TableContents"/>
              <w:bidi w:val="0"/>
              <w:spacing w:before="0" w:after="283"/>
              <w:jc w:val="left"/>
              <w:rPr>
                <w:sz w:val="20"/>
              </w:rPr>
            </w:pPr>
            <w:r>
              <w:rPr>
                <w:sz w:val="20"/>
              </w:rPr>
              <w:t>Subscription Rights</w:t>
              <w:tab/>
            </w:r>
          </w:p>
        </w:tc>
        <w:tc>
          <w:tcPr>
            <w:tcW w:w="8498" w:type="dxa"/>
            <w:tcBorders/>
            <w:vAlign w:val="center"/>
          </w:tcPr>
          <w:p>
            <w:pPr>
              <w:pStyle w:val="TableContents"/>
              <w:bidi w:val="0"/>
              <w:spacing w:before="0" w:after="283"/>
              <w:jc w:val="left"/>
              <w:rPr>
                <w:sz w:val="20"/>
              </w:rPr>
            </w:pPr>
            <w:r>
              <w:rPr>
                <w:sz w:val="20"/>
              </w:rPr>
              <w:t>We are distributing, at no charge, to our stockholders transferable subscription rights to purchase up to an aggregate of 4,225,352 shares of our Class A Common Stock.</w:t>
            </w:r>
          </w:p>
        </w:tc>
      </w:tr>
      <w:tr>
        <w:trPr/>
        <w:tc>
          <w:tcPr>
            <w:tcW w:w="1707" w:type="dxa"/>
            <w:tcBorders/>
            <w:vAlign w:val="center"/>
          </w:tcPr>
          <w:p>
            <w:pPr>
              <w:pStyle w:val="TableContents"/>
              <w:bidi w:val="0"/>
              <w:spacing w:before="0" w:after="283"/>
              <w:jc w:val="left"/>
              <w:rPr>
                <w:sz w:val="20"/>
              </w:rPr>
            </w:pPr>
            <w:r>
              <w:rPr>
                <w:sz w:val="20"/>
              </w:rPr>
              <w:t>Distribution Ratio</w:t>
              <w:tab/>
            </w:r>
          </w:p>
        </w:tc>
        <w:tc>
          <w:tcPr>
            <w:tcW w:w="8498" w:type="dxa"/>
            <w:tcBorders/>
            <w:vAlign w:val="center"/>
          </w:tcPr>
          <w:p>
            <w:pPr>
              <w:pStyle w:val="TableContents"/>
              <w:bidi w:val="0"/>
              <w:spacing w:before="0" w:after="283"/>
              <w:jc w:val="left"/>
              <w:rPr>
                <w:sz w:val="20"/>
              </w:rPr>
            </w:pPr>
            <w:r>
              <w:rPr>
                <w:sz w:val="20"/>
              </w:rPr>
              <w:t>Each holder of our Class A Common Stock will receive one right for each share of Class A Common Stock owned by that stockholder as of the Record Date.</w:t>
            </w:r>
          </w:p>
        </w:tc>
      </w:tr>
      <w:tr>
        <w:trPr/>
        <w:tc>
          <w:tcPr>
            <w:tcW w:w="1707" w:type="dxa"/>
            <w:tcBorders/>
            <w:vAlign w:val="center"/>
          </w:tcPr>
          <w:p>
            <w:pPr>
              <w:pStyle w:val="TableContents"/>
              <w:bidi w:val="0"/>
              <w:spacing w:before="0" w:after="283"/>
              <w:jc w:val="left"/>
              <w:rPr>
                <w:sz w:val="20"/>
              </w:rPr>
            </w:pPr>
            <w:r>
              <w:rPr>
                <w:sz w:val="20"/>
              </w:rPr>
              <w:t>Basic Subscription Privilege</w:t>
              <w:tab/>
            </w:r>
          </w:p>
        </w:tc>
        <w:tc>
          <w:tcPr>
            <w:tcW w:w="8498" w:type="dxa"/>
            <w:tcBorders/>
            <w:vAlign w:val="center"/>
          </w:tcPr>
          <w:p>
            <w:pPr>
              <w:pStyle w:val="TableContents"/>
              <w:bidi w:val="0"/>
              <w:jc w:val="left"/>
              <w:rPr>
                <w:sz w:val="20"/>
              </w:rPr>
            </w:pPr>
            <w:r>
              <w:rPr>
                <w:sz w:val="20"/>
              </w:rPr>
              <w:t>Each right will entitle its holder to purchase shares of Class A Common Stock on a pro rata basis relative to their ownership interest in us as of the Record Date, at a subscription price of $3.55, which corresponds to the previously announced formulation of the greater of (i) $3.55 (representing the volume weighted average price of our Class A Common Stock for the 15-day trading period ending on the second trading day preceding the date of the Backstop Agreement) and (ii) $2.26 (representing the volume weighted average price of our Class A Common Stock for the 15-day trading period through and including the Record Date), in each case, per whole share of Class A Common Stock. Rights may only be exercised for a whole number of shares of Class A Common Stock. </w:t>
            </w:r>
          </w:p>
          <w:p>
            <w:pPr>
              <w:pStyle w:val="TableContents"/>
              <w:bidi w:val="0"/>
              <w:jc w:val="left"/>
              <w:rPr>
                <w:sz w:val="20"/>
              </w:rPr>
            </w:pPr>
            <w:r>
              <w:rPr>
                <w:sz w:val="20"/>
              </w:rPr>
              <w:t>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25, 2026, we had outstanding 33,774,121 shares of Class A Common Stock. As a result, each right entitles its holder to approximately 0.1251 shares of our Class A Common Stock. </w:t>
            </w:r>
          </w:p>
          <w:p>
            <w:pPr>
              <w:pStyle w:val="TableContents"/>
              <w:bidi w:val="0"/>
              <w:spacing w:before="0" w:after="0"/>
              <w:ind w:left="144" w:right="0" w:hanging="0"/>
              <w:jc w:val="left"/>
              <w:rPr>
                <w:caps w:val="false"/>
                <w:smallCaps w:val="false"/>
              </w:rPr>
            </w:pPr>
            <w:r>
              <w:rPr>
                <w:caps w:val="false"/>
                <w:smallCaps w:val="false"/>
              </w:rPr>
              <w:t> </w:t>
            </w:r>
          </w:p>
          <w:p>
            <w:pPr>
              <w:pStyle w:val="TableContents"/>
              <w:bidi w:val="0"/>
              <w:spacing w:before="0" w:after="283"/>
              <w:jc w:val="left"/>
              <w:rPr>
                <w:sz w:val="20"/>
              </w:rPr>
            </w:pPr>
            <w:r>
              <w:rPr>
                <w:sz w:val="20"/>
              </w:rPr>
              <w:t>See “Risks Relating to the Rights Offering—The subscription price determined for this offering is not necessarily an indication of the fair value of our Class A Common Stock.”</w:t>
            </w:r>
          </w:p>
        </w:tc>
      </w:tr>
      <w:tr>
        <w:trPr/>
        <w:tc>
          <w:tcPr>
            <w:tcW w:w="1707" w:type="dxa"/>
            <w:tcBorders/>
            <w:vAlign w:val="center"/>
          </w:tcPr>
          <w:p>
            <w:pPr>
              <w:pStyle w:val="TableContents"/>
              <w:bidi w:val="0"/>
              <w:spacing w:before="0" w:after="283"/>
              <w:jc w:val="left"/>
              <w:rPr>
                <w:sz w:val="20"/>
              </w:rPr>
            </w:pPr>
            <w:r>
              <w:rPr>
                <w:sz w:val="20"/>
              </w:rPr>
              <w:t>Oversubscription Privilege</w:t>
              <w:tab/>
            </w:r>
          </w:p>
        </w:tc>
        <w:tc>
          <w:tcPr>
            <w:tcW w:w="8498" w:type="dxa"/>
            <w:tcBorders/>
            <w:vAlign w:val="center"/>
          </w:tcPr>
          <w:p>
            <w:pPr>
              <w:pStyle w:val="TableContents"/>
              <w:bidi w:val="0"/>
              <w:spacing w:before="0" w:after="283"/>
              <w:jc w:val="left"/>
              <w:rPr>
                <w:sz w:val="20"/>
              </w:rPr>
            </w:pPr>
            <w:r>
              <w:rPr>
                <w:sz w:val="20"/>
              </w:rPr>
              <w:t>Each holder of rights who elects to exercise its basic subscription privilege in full may also subscribe for additional shares of our Class A Common Stock at the same subscription price per share.</w:t>
            </w:r>
          </w:p>
        </w:tc>
      </w:tr>
      <w:tr>
        <w:trPr/>
        <w:tc>
          <w:tcPr>
            <w:tcW w:w="1707" w:type="dxa"/>
            <w:tcBorders/>
            <w:vAlign w:val="center"/>
          </w:tcPr>
          <w:p>
            <w:pPr>
              <w:pStyle w:val="TableContents"/>
              <w:bidi w:val="0"/>
              <w:spacing w:before="0" w:after="283"/>
              <w:jc w:val="left"/>
              <w:rPr>
                <w:sz w:val="20"/>
              </w:rPr>
            </w:pPr>
            <w:r>
              <w:rPr>
                <w:sz w:val="20"/>
              </w:rPr>
              <w:t>Record Date</w:t>
              <w:tab/>
            </w:r>
          </w:p>
        </w:tc>
        <w:tc>
          <w:tcPr>
            <w:tcW w:w="8498" w:type="dxa"/>
            <w:tcBorders/>
            <w:vAlign w:val="center"/>
          </w:tcPr>
          <w:p>
            <w:pPr>
              <w:pStyle w:val="TableContents"/>
              <w:bidi w:val="0"/>
              <w:spacing w:before="0" w:after="283"/>
              <w:jc w:val="left"/>
              <w:rPr>
                <w:sz w:val="20"/>
              </w:rPr>
            </w:pPr>
            <w:r>
              <w:rPr>
                <w:sz w:val="20"/>
              </w:rPr>
              <w:t>5:00 p.m., New York City time, on September 25, 2026.</w:t>
            </w:r>
          </w:p>
        </w:tc>
      </w:tr>
      <w:tr>
        <w:trPr/>
        <w:tc>
          <w:tcPr>
            <w:tcW w:w="1707" w:type="dxa"/>
            <w:tcBorders/>
            <w:vAlign w:val="center"/>
          </w:tcPr>
          <w:p>
            <w:pPr>
              <w:pStyle w:val="TableContents"/>
              <w:bidi w:val="0"/>
              <w:spacing w:before="0" w:after="283"/>
              <w:jc w:val="left"/>
              <w:rPr>
                <w:sz w:val="20"/>
              </w:rPr>
            </w:pPr>
            <w:r>
              <w:rPr>
                <w:sz w:val="20"/>
              </w:rPr>
              <w:t>Subscription Period for and Exercise of Rights</w:t>
              <w:tab/>
            </w:r>
          </w:p>
        </w:tc>
        <w:tc>
          <w:tcPr>
            <w:tcW w:w="8498" w:type="dxa"/>
            <w:tcBorders/>
            <w:vAlign w:val="center"/>
          </w:tcPr>
          <w:p>
            <w:pPr>
              <w:pStyle w:val="TableContents"/>
              <w:bidi w:val="0"/>
              <w:spacing w:before="0" w:after="283"/>
              <w:jc w:val="left"/>
              <w:rPr>
                <w:sz w:val="20"/>
              </w:rPr>
            </w:pPr>
            <w:r>
              <w:rPr>
                <w:sz w:val="20"/>
              </w:rPr>
              <w:t>The exercise period for the rights will begin on September 30, 2026 and will close at 5:00 p.m., New York City time, on October 14, 2026, unless extended as described herein.</w:t>
            </w:r>
          </w:p>
        </w:tc>
      </w:tr>
      <w:tr>
        <w:trPr/>
        <w:tc>
          <w:tcPr>
            <w:tcW w:w="1707" w:type="dxa"/>
            <w:tcBorders/>
            <w:vAlign w:val="center"/>
          </w:tcPr>
          <w:p>
            <w:pPr>
              <w:pStyle w:val="TableContents"/>
              <w:bidi w:val="0"/>
              <w:spacing w:before="0" w:after="283"/>
              <w:jc w:val="left"/>
              <w:rPr>
                <w:sz w:val="20"/>
              </w:rPr>
            </w:pPr>
            <w:r>
              <w:rPr>
                <w:sz w:val="20"/>
              </w:rPr>
              <w:t>No Revocation</w:t>
              <w:tab/>
            </w:r>
          </w:p>
        </w:tc>
        <w:tc>
          <w:tcPr>
            <w:tcW w:w="8498" w:type="dxa"/>
            <w:tcBorders/>
            <w:vAlign w:val="center"/>
          </w:tcPr>
          <w:p>
            <w:pPr>
              <w:pStyle w:val="TableContents"/>
              <w:bidi w:val="0"/>
              <w:spacing w:before="0" w:after="283"/>
              <w:jc w:val="left"/>
              <w:rPr>
                <w:sz w:val="20"/>
              </w:rPr>
            </w:pPr>
            <w:r>
              <w:rPr>
                <w:sz w:val="20"/>
              </w:rPr>
              <w:t>All exercises of rights are irrevocable, even if you later learn of information that you consider to be unfavorable to the exercise of your rights. You should not exercise your rights unless you are certain that you wish to purchase shares of Class A Common Stock at a subscription price of $3.55.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3"/>
        <w:gridCol w:w="8702"/>
      </w:tblGrid>
      <w:tr>
        <w:trPr/>
        <w:tc>
          <w:tcPr>
            <w:tcW w:w="1503" w:type="dxa"/>
            <w:tcBorders/>
            <w:vAlign w:val="center"/>
          </w:tcPr>
          <w:p>
            <w:pPr>
              <w:pStyle w:val="TableContents"/>
              <w:bidi w:val="0"/>
              <w:spacing w:before="0" w:after="283"/>
              <w:jc w:val="left"/>
              <w:rPr/>
            </w:pPr>
            <w:r>
              <w:rPr/>
              <w:t>Listing</w:t>
              <w:tab/>
            </w:r>
          </w:p>
        </w:tc>
        <w:tc>
          <w:tcPr>
            <w:tcW w:w="8702" w:type="dxa"/>
            <w:tcBorders/>
            <w:vAlign w:val="center"/>
          </w:tcPr>
          <w:p>
            <w:pPr>
              <w:pStyle w:val="TableContents"/>
              <w:bidi w:val="0"/>
              <w:jc w:val="left"/>
              <w:rPr>
                <w:sz w:val="20"/>
              </w:rPr>
            </w:pPr>
            <w:r>
              <w:rPr>
                <w:sz w:val="20"/>
              </w:rPr>
              <w:t>Our Class A Common Stock is traded on the Nasdaq Global Market under the symbol “RENT.” On September 25 , 2026, the last reported sale price of our shares of Class A Common Stock on the Nasdaq was $1.67 per share. </w:t>
            </w:r>
          </w:p>
          <w:p>
            <w:pPr>
              <w:pStyle w:val="TableContents"/>
              <w:bidi w:val="0"/>
              <w:spacing w:before="0" w:after="283"/>
              <w:jc w:val="left"/>
              <w:rPr>
                <w:sz w:val="20"/>
              </w:rPr>
            </w:pPr>
            <w:r>
              <w:rPr>
                <w:sz w:val="20"/>
              </w:rPr>
              <w:t>The rights will not be listed for trading on the Nasdaq or any other national securities exchange or nationally recognized trading system. </w:t>
            </w:r>
          </w:p>
        </w:tc>
      </w:tr>
      <w:tr>
        <w:trPr/>
        <w:tc>
          <w:tcPr>
            <w:tcW w:w="1503" w:type="dxa"/>
            <w:tcBorders/>
            <w:vAlign w:val="center"/>
          </w:tcPr>
          <w:p>
            <w:pPr>
              <w:pStyle w:val="TableContents"/>
              <w:bidi w:val="0"/>
              <w:spacing w:before="0" w:after="283"/>
              <w:jc w:val="left"/>
              <w:rPr/>
            </w:pPr>
            <w:r>
              <w:rPr/>
              <w:t>Transfers and Sales of Rights</w:t>
              <w:tab/>
            </w:r>
          </w:p>
        </w:tc>
        <w:tc>
          <w:tcPr>
            <w:tcW w:w="8702" w:type="dxa"/>
            <w:tcBorders/>
            <w:vAlign w:val="center"/>
          </w:tcPr>
          <w:p>
            <w:pPr>
              <w:pStyle w:val="TableContents"/>
              <w:bidi w:val="0"/>
              <w:spacing w:before="0" w:after="283"/>
              <w:jc w:val="left"/>
              <w:rPr/>
            </w:pPr>
            <w:r>
              <w:rPr/>
              <w:t>The rights are transferable until the Expiration Date. If you are a rights holder, you may transfer your rights through the Subscription Agent. Any rights submitted to the Subscription Agent for sale must be received by the Subscription Agent on or before October 7 , 2026, five business days prior to the completion of the subscription period, due to normal settlement procedures. For more information, see “Description of the Rights Offering—Transfers and Sales of Rights.”</w:t>
            </w:r>
          </w:p>
        </w:tc>
      </w:tr>
      <w:tr>
        <w:trPr/>
        <w:tc>
          <w:tcPr>
            <w:tcW w:w="1503" w:type="dxa"/>
            <w:tcBorders/>
            <w:vAlign w:val="center"/>
          </w:tcPr>
          <w:p>
            <w:pPr>
              <w:pStyle w:val="TableContents"/>
              <w:bidi w:val="0"/>
              <w:spacing w:before="0" w:after="283"/>
              <w:jc w:val="left"/>
              <w:rPr/>
            </w:pPr>
            <w:r>
              <w:rPr/>
              <w:t>Backstop Commitment</w:t>
              <w:tab/>
            </w:r>
          </w:p>
        </w:tc>
        <w:tc>
          <w:tcPr>
            <w:tcW w:w="8702" w:type="dxa"/>
            <w:tcBorders/>
            <w:vAlign w:val="center"/>
          </w:tcPr>
          <w:p>
            <w:pPr>
              <w:pStyle w:val="TableContents"/>
              <w:bidi w:val="0"/>
              <w:spacing w:before="0" w:after="283"/>
              <w:jc w:val="left"/>
              <w:rPr/>
            </w:pPr>
            <w:r>
              <w:rPr/>
              <w:t>Pursuant to the Backstop Agreement, the Investor Group has agreed to purchase from us, at a price per share equal to the subscription price, all unsubscribed shares of Class A Common Stock in this offering for cash. The Investor Group will also be entitled to exercise its own subscription rights that it receives pursuant to this offering. The Investor Group will not receive any fee for acting as the backstop purchaser for this offering. See “Description of the Rights Offering—The Backstop Commitment.”</w:t>
            </w:r>
          </w:p>
        </w:tc>
      </w:tr>
      <w:tr>
        <w:trPr/>
        <w:tc>
          <w:tcPr>
            <w:tcW w:w="1503" w:type="dxa"/>
            <w:tcBorders/>
            <w:vAlign w:val="center"/>
          </w:tcPr>
          <w:p>
            <w:pPr>
              <w:pStyle w:val="TableContents"/>
              <w:bidi w:val="0"/>
              <w:spacing w:before="0" w:after="283"/>
              <w:jc w:val="left"/>
              <w:rPr/>
            </w:pPr>
            <w:r>
              <w:rPr/>
              <w:t>Settlement</w:t>
              <w:tab/>
            </w:r>
          </w:p>
        </w:tc>
        <w:tc>
          <w:tcPr>
            <w:tcW w:w="8702" w:type="dxa"/>
            <w:tcBorders/>
            <w:vAlign w:val="center"/>
          </w:tcPr>
          <w:p>
            <w:pPr>
              <w:pStyle w:val="TableContents"/>
              <w:bidi w:val="0"/>
              <w:spacing w:before="0" w:after="283"/>
              <w:jc w:val="left"/>
              <w:rPr/>
            </w:pPr>
            <w:r>
              <w:rPr/>
              <w:t>We expect to deliver the shares of Class A Common Stock issuable upon exercise of the rights, including rights exercised under the oversubscription privilege, on or about October 19, 2026 through the book-entry facilities of The Depository Trust Company (“DTC”).</w:t>
            </w:r>
          </w:p>
        </w:tc>
      </w:tr>
      <w:tr>
        <w:trPr/>
        <w:tc>
          <w:tcPr>
            <w:tcW w:w="1503" w:type="dxa"/>
            <w:tcBorders/>
            <w:vAlign w:val="center"/>
          </w:tcPr>
          <w:p>
            <w:pPr>
              <w:pStyle w:val="TableContents"/>
              <w:bidi w:val="0"/>
              <w:spacing w:before="0" w:after="283"/>
              <w:jc w:val="left"/>
              <w:rPr/>
            </w:pPr>
            <w:r>
              <w:rPr/>
              <w:t> </w:t>
            </w:r>
          </w:p>
        </w:tc>
        <w:tc>
          <w:tcPr>
            <w:tcW w:w="8702" w:type="dxa"/>
            <w:tcBorders/>
            <w:vAlign w:val="center"/>
          </w:tcPr>
          <w:p>
            <w:pPr>
              <w:pStyle w:val="TableContents"/>
              <w:bidi w:val="0"/>
              <w:spacing w:before="0" w:after="283"/>
              <w:jc w:val="left"/>
              <w:rPr/>
            </w:pPr>
            <w:r>
              <w:rPr/>
              <w:t>We expect to deliver the shares of Class A Common Stock issuable pursuant to the Backstop Agreement, if any, on or about October 21, 2026 through the book-entry facilities of DTC.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5"/>
        <w:gridCol w:w="8860"/>
      </w:tblGrid>
      <w:tr>
        <w:trPr/>
        <w:tc>
          <w:tcPr>
            <w:tcW w:w="1345" w:type="dxa"/>
            <w:tcBorders/>
            <w:vAlign w:val="center"/>
          </w:tcPr>
          <w:p>
            <w:pPr>
              <w:pStyle w:val="TableContents"/>
              <w:bidi w:val="0"/>
              <w:spacing w:before="0" w:after="283"/>
              <w:jc w:val="left"/>
              <w:rPr/>
            </w:pPr>
            <w:r>
              <w:rPr/>
              <w:t>Use of Proceeds</w:t>
              <w:tab/>
            </w:r>
          </w:p>
        </w:tc>
        <w:tc>
          <w:tcPr>
            <w:tcW w:w="8860" w:type="dxa"/>
            <w:tcBorders/>
            <w:vAlign w:val="center"/>
          </w:tcPr>
          <w:p>
            <w:pPr>
              <w:pStyle w:val="TableContents"/>
              <w:bidi w:val="0"/>
              <w:spacing w:before="0" w:after="283"/>
              <w:jc w:val="left"/>
              <w:rPr/>
            </w:pPr>
            <w:r>
              <w:rPr/>
              <w:t>We expect that the net proceeds from the sale of Class A Common Stock in this offering and pursuant to the Backstop Agreement will be approximately $14.3 million, after deducting offering expenses payable by us. We intend to use the net proceeds from this offering for general corporate purposes.</w:t>
            </w:r>
          </w:p>
        </w:tc>
      </w:tr>
      <w:tr>
        <w:trPr/>
        <w:tc>
          <w:tcPr>
            <w:tcW w:w="1345" w:type="dxa"/>
            <w:tcBorders/>
            <w:vAlign w:val="center"/>
          </w:tcPr>
          <w:p>
            <w:pPr>
              <w:pStyle w:val="TableContents"/>
              <w:bidi w:val="0"/>
              <w:spacing w:before="0" w:after="283"/>
              <w:jc w:val="left"/>
              <w:rPr/>
            </w:pPr>
            <w:r>
              <w:rPr/>
              <w:t>Subscription Agent</w:t>
              <w:tab/>
            </w:r>
          </w:p>
        </w:tc>
        <w:tc>
          <w:tcPr>
            <w:tcW w:w="8860" w:type="dxa"/>
            <w:tcBorders/>
            <w:vAlign w:val="center"/>
          </w:tcPr>
          <w:p>
            <w:pPr>
              <w:pStyle w:val="TableContents"/>
              <w:bidi w:val="0"/>
              <w:spacing w:before="0" w:after="283"/>
              <w:jc w:val="left"/>
              <w:rPr/>
            </w:pPr>
            <w:r>
              <w:rPr/>
              <w:t>Broadridge Corporate Issuer Solutions, LLC, as subscription agent and information agent.</w:t>
            </w:r>
          </w:p>
        </w:tc>
      </w:tr>
      <w:tr>
        <w:trPr/>
        <w:tc>
          <w:tcPr>
            <w:tcW w:w="1345" w:type="dxa"/>
            <w:tcBorders/>
            <w:vAlign w:val="center"/>
          </w:tcPr>
          <w:p>
            <w:pPr>
              <w:pStyle w:val="TableContents"/>
              <w:bidi w:val="0"/>
              <w:spacing w:before="0" w:after="283"/>
              <w:jc w:val="left"/>
              <w:rPr/>
            </w:pPr>
            <w:r>
              <w:rPr/>
              <w:t>Risk Factors</w:t>
              <w:tab/>
            </w:r>
          </w:p>
        </w:tc>
        <w:tc>
          <w:tcPr>
            <w:tcW w:w="8860" w:type="dxa"/>
            <w:tcBorders/>
            <w:vAlign w:val="center"/>
          </w:tcPr>
          <w:p>
            <w:pPr>
              <w:pStyle w:val="TableContents"/>
              <w:bidi w:val="0"/>
              <w:spacing w:before="0" w:after="283"/>
              <w:jc w:val="left"/>
              <w:rPr/>
            </w:pPr>
            <w:r>
              <w:rPr/>
              <w:t>You should carefully consider all of the information contained in this prospectus and the information incorporated by reference herein. In particular, we urge you to carefully consider the information set forth under “Risk Factors” beginning on page 8 of this prospectus and under “Risk Factors” in our Quarterly Report on Form 10-Q, filed with the SEC on September 11, 2026, which is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SUMMARY SELECTED HISTORICAL FINANCIAL INFORMATION</w:t>
      </w:r>
    </w:p>
    <w:p>
      <w:pPr>
        <w:pStyle w:val="TextBody"/>
        <w:bidi w:val="0"/>
        <w:spacing w:before="0" w:after="0"/>
        <w:ind w:left="0" w:right="0" w:hanging="0"/>
        <w:jc w:val="center"/>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following summary selected statement of operations data for the years ended January 31, 2026, 2025 and 2024 and the balance sheet data set forth below as of January 31, 2026 and 2025 are derived from our audited consolidated financial statements included in our Annual Report on Form 10-K for the year ended January 31, 2026, which is incorporated by reference herein. The following summary selected statement of operations data for the six-month periods ended July 31, 2026 and 2025, and the balance sheet data set forth below as of July 31, 2026 are derived from our unaudited interim condensed consolidated financial statements included in our Quarterly Report on Form 10-Q for the period ended July 31, 2026, which is incorporated by reference herein.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unaudited interim condensed consolidated financial statements have been prepared on the same basis as the audited consolidated financial statements and, in the opinion of our management, include all adjustments, consisting only of normal and recurring adjustments, necessary for a fair statement of the information set forth herein. Historical financial results are not necessarily indicative of results to be expected in future periods.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The summary selected historical financial information in this section is not intended to replace the consolidated financial statements and is qualified in its entirety by the consolidated financial statements and related notes, which are incorporated by reference into this prospectus. We have made rounding adjustments to reach some of the figures included below. Accordingly, numerical figures shown as totals in some tables may not be an exact arithmetic aggregation of the figures that preceded them.</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Summary Selected Statement of Operations Data</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tbl>
      <w:tblPr>
        <w:tblW w:w="10205" w:type="dxa"/>
        <w:jc w:val="left"/>
        <w:tblInd w:w="0" w:type="dxa"/>
        <w:tblLayout w:type="fixed"/>
        <w:tblCellMar>
          <w:top w:w="0" w:type="dxa"/>
          <w:left w:w="0" w:type="dxa"/>
          <w:bottom w:w="0" w:type="dxa"/>
          <w:right w:w="0" w:type="dxa"/>
        </w:tblCellMar>
      </w:tblPr>
      <w:tblGrid>
        <w:gridCol w:w="5456"/>
        <w:gridCol w:w="60"/>
        <w:gridCol w:w="144"/>
        <w:gridCol w:w="579"/>
        <w:gridCol w:w="98"/>
        <w:gridCol w:w="61"/>
        <w:gridCol w:w="144"/>
        <w:gridCol w:w="657"/>
        <w:gridCol w:w="98"/>
        <w:gridCol w:w="60"/>
        <w:gridCol w:w="140"/>
        <w:gridCol w:w="560"/>
        <w:gridCol w:w="95"/>
        <w:gridCol w:w="60"/>
        <w:gridCol w:w="140"/>
        <w:gridCol w:w="635"/>
        <w:gridCol w:w="95"/>
        <w:gridCol w:w="60"/>
        <w:gridCol w:w="140"/>
        <w:gridCol w:w="635"/>
        <w:gridCol w:w="288"/>
      </w:tblGrid>
      <w:tr>
        <w:trPr/>
        <w:tc>
          <w:tcPr>
            <w:tcW w:w="5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1"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July 31,</w:t>
            </w:r>
          </w:p>
        </w:tc>
        <w:tc>
          <w:tcPr>
            <w:tcW w:w="60" w:type="dxa"/>
            <w:tcBorders/>
            <w:vAlign w:val="center"/>
          </w:tcPr>
          <w:p>
            <w:pPr>
              <w:pStyle w:val="TableContents"/>
              <w:bidi w:val="0"/>
              <w:spacing w:before="0" w:after="283"/>
              <w:jc w:val="left"/>
              <w:rPr/>
            </w:pPr>
            <w:r>
              <w:rPr/>
              <w:t> </w:t>
            </w:r>
          </w:p>
        </w:tc>
        <w:tc>
          <w:tcPr>
            <w:tcW w:w="2848"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Year ended</w:t>
              <w:br/>
              <w:t>January 31,</w:t>
            </w:r>
          </w:p>
        </w:tc>
      </w:tr>
      <w:tr>
        <w:trPr/>
        <w:tc>
          <w:tcPr>
            <w:tcW w:w="5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89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7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06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5456" w:type="dxa"/>
            <w:tcBorders/>
            <w:vAlign w:val="center"/>
          </w:tcPr>
          <w:p>
            <w:pPr>
              <w:pStyle w:val="TableContents"/>
              <w:bidi w:val="0"/>
              <w:spacing w:before="0" w:after="283"/>
              <w:jc w:val="left"/>
              <w:rPr>
                <w:b/>
              </w:rPr>
            </w:pPr>
            <w:r>
              <w:rPr>
                <w:b/>
              </w:rPr>
              <w:t>(in millions, except share and per share data)</w:t>
            </w:r>
          </w:p>
        </w:tc>
        <w:tc>
          <w:tcPr>
            <w:tcW w:w="60" w:type="dxa"/>
            <w:tcBorders/>
            <w:vAlign w:val="center"/>
          </w:tcPr>
          <w:p>
            <w:pPr>
              <w:pStyle w:val="TableContents"/>
              <w:bidi w:val="0"/>
              <w:spacing w:before="0" w:after="283"/>
              <w:jc w:val="left"/>
              <w:rPr/>
            </w:pPr>
            <w:r>
              <w:rPr/>
              <w:t> </w:t>
            </w:r>
          </w:p>
        </w:tc>
        <w:tc>
          <w:tcPr>
            <w:tcW w:w="1781" w:type="dxa"/>
            <w:gridSpan w:val="7"/>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7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3"/>
            <w:tcBorders/>
            <w:vAlign w:val="center"/>
          </w:tcPr>
          <w:p>
            <w:pPr>
              <w:pStyle w:val="TableContents"/>
              <w:bidi w:val="0"/>
              <w:spacing w:before="0" w:after="283"/>
              <w:jc w:val="center"/>
              <w:rPr/>
            </w:pPr>
            <w:r>
              <w:rPr/>
              <w:t> </w:t>
            </w:r>
          </w:p>
        </w:tc>
      </w:tr>
      <w:tr>
        <w:trPr/>
        <w:tc>
          <w:tcPr>
            <w:tcW w:w="54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1" w:type="dxa"/>
            <w:gridSpan w:val="3"/>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899"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3" w:type="dxa"/>
            <w:gridSpan w:val="3"/>
            <w:tcBorders/>
            <w:vAlign w:val="center"/>
          </w:tcPr>
          <w:p>
            <w:pPr>
              <w:pStyle w:val="TableContents"/>
              <w:bidi w:val="0"/>
              <w:spacing w:before="0" w:after="283"/>
              <w:jc w:val="center"/>
              <w:rPr/>
            </w:pPr>
            <w:r>
              <w:rPr/>
              <w:t> </w:t>
            </w:r>
          </w:p>
        </w:tc>
      </w:tr>
      <w:tr>
        <w:trPr/>
        <w:tc>
          <w:tcPr>
            <w:tcW w:w="5456"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821" w:type="dxa"/>
            <w:gridSpan w:val="3"/>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899"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9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63" w:type="dxa"/>
            <w:gridSpan w:val="3"/>
            <w:tcBorders/>
            <w:vAlign w:val="center"/>
          </w:tcPr>
          <w:p>
            <w:pPr>
              <w:pStyle w:val="TableContents"/>
              <w:bidi w:val="0"/>
              <w:spacing w:before="0" w:after="283"/>
              <w:ind w:left="0" w:right="0" w:firstLine="29"/>
              <w:jc w:val="right"/>
              <w:rPr/>
            </w:pPr>
            <w:r>
              <w:rPr/>
              <w:t> </w:t>
            </w:r>
          </w:p>
        </w:tc>
      </w:tr>
      <w:tr>
        <w:trPr/>
        <w:tc>
          <w:tcPr>
            <w:tcW w:w="5456" w:type="dxa"/>
            <w:tcBorders/>
            <w:shd w:fill="D5EAEA" w:val="clear"/>
            <w:vAlign w:val="center"/>
          </w:tcPr>
          <w:p>
            <w:pPr>
              <w:pStyle w:val="TableContents"/>
              <w:bidi w:val="0"/>
              <w:spacing w:before="0" w:after="283"/>
              <w:jc w:val="left"/>
              <w:rPr/>
            </w:pPr>
            <w:r>
              <w:rPr/>
              <w:t>Subscription and Reserve rental revenue</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579" w:type="dxa"/>
            <w:tcBorders/>
            <w:shd w:fill="D5EAEA" w:val="clear"/>
            <w:vAlign w:val="center"/>
          </w:tcPr>
          <w:p>
            <w:pPr>
              <w:pStyle w:val="TableContents"/>
              <w:bidi w:val="0"/>
              <w:spacing w:before="0" w:after="283"/>
              <w:jc w:val="right"/>
              <w:rPr/>
            </w:pPr>
            <w:r>
              <w:rPr/>
              <w:t>161.5</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657" w:type="dxa"/>
            <w:tcBorders/>
            <w:shd w:fill="D5EAEA" w:val="clear"/>
            <w:vAlign w:val="center"/>
          </w:tcPr>
          <w:p>
            <w:pPr>
              <w:pStyle w:val="TableContents"/>
              <w:bidi w:val="0"/>
              <w:spacing w:before="0" w:after="283"/>
              <w:jc w:val="right"/>
              <w:rPr/>
            </w:pPr>
            <w:r>
              <w:rPr/>
              <w:t>131.2</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560" w:type="dxa"/>
            <w:tcBorders/>
            <w:shd w:fill="D5EAEA" w:val="clear"/>
            <w:vAlign w:val="center"/>
          </w:tcPr>
          <w:p>
            <w:pPr>
              <w:pStyle w:val="TableContents"/>
              <w:bidi w:val="0"/>
              <w:spacing w:before="0" w:after="283"/>
              <w:jc w:val="right"/>
              <w:rPr/>
            </w:pPr>
            <w:r>
              <w:rPr/>
              <w:t>286.0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265.5</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264.9</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Other revenue</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26.1</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19.3</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43.8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40.7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33.3</w:t>
            </w:r>
          </w:p>
        </w:tc>
        <w:tc>
          <w:tcPr>
            <w:tcW w:w="288" w:type="dxa"/>
            <w:tcBorders>
              <w:bottom w:val="single" w:sz="8" w:space="0" w:color="000000"/>
            </w:tcBorders>
            <w:shd w:fill="FFFFFF" w:val="clear"/>
            <w:tcMar>
              <w:bottom w:w="28" w:type="dxa"/>
            </w:tcMar>
            <w:vAlign w:val="center"/>
          </w:tcPr>
          <w:p>
            <w:pPr>
              <w:pStyle w:val="TableContents"/>
              <w:bidi w:val="0"/>
              <w:spacing w:before="0" w:after="283"/>
              <w:ind w:left="0" w:right="0" w:firstLine="209"/>
              <w:jc w:val="left"/>
              <w:rPr/>
            </w:pPr>
            <w:r>
              <w:rPr/>
              <w:t> </w:t>
            </w:r>
          </w:p>
        </w:tc>
      </w:tr>
      <w:tr>
        <w:trPr/>
        <w:tc>
          <w:tcPr>
            <w:tcW w:w="5456" w:type="dxa"/>
            <w:tcBorders/>
            <w:shd w:fill="D5EAEA" w:val="clear"/>
            <w:vAlign w:val="center"/>
          </w:tcPr>
          <w:p>
            <w:pPr>
              <w:pStyle w:val="TableContents"/>
              <w:bidi w:val="0"/>
              <w:spacing w:before="0" w:after="283"/>
              <w:jc w:val="left"/>
              <w:rPr/>
            </w:pPr>
            <w:r>
              <w:rPr/>
              <w:t>Total revenue, net</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187.6</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150.5</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329.8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306.2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298.2</w:t>
            </w:r>
          </w:p>
        </w:tc>
        <w:tc>
          <w:tcPr>
            <w:tcW w:w="288" w:type="dxa"/>
            <w:tcBorders/>
            <w:shd w:fill="D5EAEA"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283"/>
              <w:jc w:val="left"/>
              <w:rPr/>
            </w:pPr>
            <w:r>
              <w:rPr/>
              <w:t>Costs and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Fulfillment</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47.1</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42.9</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88.5</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82.8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86.0</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Technology</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19.2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19.4</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49.1</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Marketing</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15.4</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16.0</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27.0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28.2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31.2</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General and administrative</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47.2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45.3</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101.6</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Rental product depreciation and revenue share</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81.9</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61.4</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133.8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107.5</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92.5</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Other depreciation and amortization</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4.3</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5.3</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14.7</w:t>
            </w:r>
          </w:p>
        </w:tc>
        <w:tc>
          <w:tcPr>
            <w:tcW w:w="288" w:type="dxa"/>
            <w:tcBorders/>
            <w:shd w:fill="FFFFFF" w:val="clear"/>
            <w:vAlign w:val="center"/>
          </w:tcPr>
          <w:p>
            <w:pPr>
              <w:pStyle w:val="TableContents"/>
              <w:bidi w:val="0"/>
              <w:spacing w:before="0" w:after="283"/>
              <w:ind w:left="0" w:right="0" w:firstLine="29"/>
              <w:jc w:val="left"/>
              <w:rPr/>
            </w:pPr>
            <w:r>
              <w:rPr/>
              <w:t> </w:t>
            </w:r>
          </w:p>
        </w:tc>
      </w:tr>
      <w:tr>
        <w:trPr/>
        <w:tc>
          <w:tcPr>
            <w:tcW w:w="5456" w:type="dxa"/>
            <w:tcBorders/>
            <w:shd w:fill="D5EAEA" w:val="clear"/>
            <w:vAlign w:val="center"/>
          </w:tcPr>
          <w:p>
            <w:pPr>
              <w:pStyle w:val="TableContents"/>
              <w:bidi w:val="0"/>
              <w:spacing w:before="0" w:after="283"/>
              <w:jc w:val="left"/>
              <w:rPr/>
            </w:pPr>
            <w:r>
              <w:rPr/>
              <w:t>Restructuring charges</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0.2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2.0</w:t>
            </w:r>
          </w:p>
        </w:tc>
        <w:tc>
          <w:tcPr>
            <w:tcW w:w="288" w:type="dxa"/>
            <w:tcBorders/>
            <w:shd w:fill="D5EAEA" w:val="clear"/>
            <w:vAlign w:val="center"/>
          </w:tcPr>
          <w:p>
            <w:pPr>
              <w:pStyle w:val="TableContents"/>
              <w:bidi w:val="0"/>
              <w:spacing w:before="0" w:after="283"/>
              <w:ind w:left="0" w:right="0" w:firstLine="29"/>
              <w:jc w:val="left"/>
              <w:rPr/>
            </w:pPr>
            <w:r>
              <w:rPr/>
              <w:t> </w:t>
            </w:r>
          </w:p>
        </w:tc>
      </w:tr>
      <w:tr>
        <w:trPr/>
        <w:tc>
          <w:tcPr>
            <w:tcW w:w="5456" w:type="dxa"/>
            <w:tcBorders/>
            <w:shd w:fill="FFFFFF" w:val="clear"/>
            <w:vAlign w:val="center"/>
          </w:tcPr>
          <w:p>
            <w:pPr>
              <w:pStyle w:val="TableContents"/>
              <w:bidi w:val="0"/>
              <w:spacing w:before="0" w:after="283"/>
              <w:jc w:val="left"/>
              <w:rPr/>
            </w:pPr>
            <w:r>
              <w:rPr/>
              <w:t>Loss on asset impairment related to restructuring</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288" w:type="dxa"/>
            <w:tcBorders>
              <w:bottom w:val="single" w:sz="8" w:space="0" w:color="000000"/>
            </w:tcBorders>
            <w:shd w:fill="FFFFFF" w:val="clear"/>
            <w:tcMar>
              <w:bottom w:w="28" w:type="dxa"/>
            </w:tcMar>
            <w:vAlign w:val="center"/>
          </w:tcPr>
          <w:p>
            <w:pPr>
              <w:pStyle w:val="TableContents"/>
              <w:bidi w:val="0"/>
              <w:spacing w:before="0" w:after="283"/>
              <w:ind w:left="0" w:right="0" w:firstLine="209"/>
              <w:jc w:val="left"/>
              <w:rPr/>
            </w:pPr>
            <w:r>
              <w:rPr/>
              <w:t> </w:t>
            </w:r>
          </w:p>
        </w:tc>
      </w:tr>
      <w:tr>
        <w:trPr/>
        <w:tc>
          <w:tcPr>
            <w:tcW w:w="5456" w:type="dxa"/>
            <w:tcBorders/>
            <w:shd w:fill="D5EAEA" w:val="clear"/>
            <w:vAlign w:val="center"/>
          </w:tcPr>
          <w:p>
            <w:pPr>
              <w:pStyle w:val="TableContents"/>
              <w:bidi w:val="0"/>
              <w:spacing w:before="0" w:after="283"/>
              <w:jc w:val="left"/>
              <w:rPr/>
            </w:pPr>
            <w:r>
              <w:rPr/>
              <w:t>Total costs and expenses</w:t>
              <w:tab/>
            </w:r>
          </w:p>
        </w:tc>
        <w:tc>
          <w:tcPr>
            <w:tcW w:w="60" w:type="dxa"/>
            <w:tcBorders/>
            <w:shd w:fill="D5EAEA" w:val="clear"/>
            <w:vAlign w:val="center"/>
          </w:tcPr>
          <w:p>
            <w:pPr>
              <w:pStyle w:val="TableContents"/>
              <w:bidi w:val="0"/>
              <w:spacing w:before="0" w:after="283"/>
              <w:jc w:val="left"/>
              <w:rPr/>
            </w:pPr>
            <w:r>
              <w:rPr/>
              <w:t> </w:t>
            </w:r>
          </w:p>
        </w:tc>
        <w:tc>
          <w:tcPr>
            <w:tcW w:w="14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D5EAEA" w:val="clear"/>
            <w:tcMar>
              <w:bottom w:w="28" w:type="dxa"/>
            </w:tcMar>
            <w:vAlign w:val="center"/>
          </w:tcPr>
          <w:p>
            <w:pPr>
              <w:pStyle w:val="TableContents"/>
              <w:bidi w:val="0"/>
              <w:spacing w:before="0" w:after="283"/>
              <w:jc w:val="right"/>
              <w:rPr/>
            </w:pPr>
            <w:r>
              <w:rPr/>
              <w:t>215.1</w:t>
            </w:r>
          </w:p>
        </w:tc>
        <w:tc>
          <w:tcPr>
            <w:tcW w:w="98"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D5EAEA" w:val="clear"/>
            <w:tcMar>
              <w:bottom w:w="28" w:type="dxa"/>
            </w:tcMar>
            <w:vAlign w:val="center"/>
          </w:tcPr>
          <w:p>
            <w:pPr>
              <w:pStyle w:val="TableContents"/>
              <w:bidi w:val="0"/>
              <w:spacing w:before="0" w:after="283"/>
              <w:jc w:val="right"/>
              <w:rPr/>
            </w:pPr>
            <w:r>
              <w:rPr/>
              <w:t>190.3</w:t>
            </w:r>
          </w:p>
        </w:tc>
        <w:tc>
          <w:tcPr>
            <w:tcW w:w="98"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D5EAEA" w:val="clear"/>
            <w:tcMar>
              <w:bottom w:w="28" w:type="dxa"/>
            </w:tcMar>
            <w:vAlign w:val="center"/>
          </w:tcPr>
          <w:p>
            <w:pPr>
              <w:pStyle w:val="TableContents"/>
              <w:bidi w:val="0"/>
              <w:spacing w:before="0" w:after="283"/>
              <w:jc w:val="right"/>
              <w:rPr/>
            </w:pPr>
            <w:r>
              <w:rPr/>
              <w:t>387.3</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D5EAEA" w:val="clear"/>
            <w:tcMar>
              <w:bottom w:w="28" w:type="dxa"/>
            </w:tcMar>
            <w:vAlign w:val="center"/>
          </w:tcPr>
          <w:p>
            <w:pPr>
              <w:pStyle w:val="TableContents"/>
              <w:bidi w:val="0"/>
              <w:spacing w:before="0" w:after="283"/>
              <w:jc w:val="right"/>
              <w:rPr/>
            </w:pPr>
            <w:r>
              <w:rPr/>
              <w:t>353.7</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D5EAEA" w:val="clear"/>
            <w:tcMar>
              <w:bottom w:w="28" w:type="dxa"/>
            </w:tcMar>
            <w:vAlign w:val="center"/>
          </w:tcPr>
          <w:p>
            <w:pPr>
              <w:pStyle w:val="TableContents"/>
              <w:bidi w:val="0"/>
              <w:spacing w:before="0" w:after="283"/>
              <w:jc w:val="right"/>
              <w:rPr/>
            </w:pPr>
            <w:r>
              <w:rPr/>
              <w:t>378.2</w:t>
            </w:r>
          </w:p>
        </w:tc>
        <w:tc>
          <w:tcPr>
            <w:tcW w:w="288" w:type="dxa"/>
            <w:tcBorders>
              <w:bottom w:val="single" w:sz="8" w:space="0" w:color="000000"/>
            </w:tcBorders>
            <w:shd w:fill="D5EAEA" w:val="clear"/>
            <w:tcMar>
              <w:bottom w:w="28" w:type="dxa"/>
            </w:tcMar>
            <w:vAlign w:val="center"/>
          </w:tcPr>
          <w:p>
            <w:pPr>
              <w:pStyle w:val="TableContents"/>
              <w:bidi w:val="0"/>
              <w:spacing w:before="0" w:after="283"/>
              <w:ind w:left="0" w:right="0" w:hanging="0"/>
              <w:jc w:val="left"/>
              <w:rPr/>
            </w:pPr>
            <w:r>
              <w:rPr/>
              <w:t> </w:t>
            </w:r>
          </w:p>
        </w:tc>
      </w:tr>
      <w:tr>
        <w:trPr/>
        <w:tc>
          <w:tcPr>
            <w:tcW w:w="5456" w:type="dxa"/>
            <w:tcBorders/>
            <w:shd w:fill="FFFFFF" w:val="clear"/>
            <w:vAlign w:val="center"/>
          </w:tcPr>
          <w:p>
            <w:pPr>
              <w:pStyle w:val="TableContents"/>
              <w:bidi w:val="0"/>
              <w:spacing w:before="0" w:after="283"/>
              <w:jc w:val="left"/>
              <w:rPr/>
            </w:pPr>
            <w:r>
              <w:rPr/>
              <w:t>Operating loss</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(27.5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(39.8</w:t>
            </w:r>
          </w:p>
        </w:tc>
        <w:tc>
          <w:tcPr>
            <w:tcW w:w="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(80.0</w:t>
            </w:r>
          </w:p>
        </w:tc>
        <w:tc>
          <w:tcPr>
            <w:tcW w:w="288" w:type="dxa"/>
            <w:tcBorders/>
            <w:shd w:fill="FFFFFF" w:val="clear"/>
            <w:vAlign w:val="center"/>
          </w:tcPr>
          <w:p>
            <w:pPr>
              <w:pStyle w:val="TableContents"/>
              <w:bidi w:val="0"/>
              <w:spacing w:before="0" w:after="283"/>
              <w:jc w:val="left"/>
              <w:rPr/>
            </w:pPr>
            <w:r>
              <w:rPr/>
              <w:t>)</w:t>
            </w:r>
          </w:p>
        </w:tc>
      </w:tr>
      <w:tr>
        <w:trPr/>
        <w:tc>
          <w:tcPr>
            <w:tcW w:w="5456" w:type="dxa"/>
            <w:tcBorders/>
            <w:shd w:fill="D5EAEA" w:val="clear"/>
            <w:vAlign w:val="center"/>
          </w:tcPr>
          <w:p>
            <w:pPr>
              <w:pStyle w:val="TableContents"/>
              <w:bidi w:val="0"/>
              <w:spacing w:before="0" w:after="283"/>
              <w:jc w:val="left"/>
              <w:rPr/>
            </w:pPr>
            <w:r>
              <w:rPr/>
              <w:t>Gain on debt restructuring</w:t>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96.3</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w:t>
            </w:r>
          </w:p>
        </w:tc>
        <w:tc>
          <w:tcPr>
            <w:tcW w:w="288" w:type="dxa"/>
            <w:tcBorders/>
            <w:shd w:fill="D5EAEA"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283"/>
              <w:jc w:val="left"/>
              <w:rPr/>
            </w:pPr>
            <w:r>
              <w:rPr/>
              <w:t>Interest income / (expense), net</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(0.5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(13.2</w:t>
            </w:r>
          </w:p>
        </w:tc>
        <w:tc>
          <w:tcPr>
            <w:tcW w:w="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(33.7</w:t>
            </w:r>
          </w:p>
        </w:tc>
        <w:tc>
          <w:tcPr>
            <w:tcW w:w="288" w:type="dxa"/>
            <w:tcBorders/>
            <w:shd w:fill="FFFFFF" w:val="clear"/>
            <w:vAlign w:val="center"/>
          </w:tcPr>
          <w:p>
            <w:pPr>
              <w:pStyle w:val="TableContents"/>
              <w:bidi w:val="0"/>
              <w:spacing w:before="0" w:after="283"/>
              <w:jc w:val="left"/>
              <w:rPr/>
            </w:pPr>
            <w:r>
              <w:rPr/>
              <w:t>)</w:t>
            </w:r>
          </w:p>
        </w:tc>
      </w:tr>
      <w:tr>
        <w:trPr/>
        <w:tc>
          <w:tcPr>
            <w:tcW w:w="5456" w:type="dxa"/>
            <w:tcBorders/>
            <w:shd w:fill="D5EAEA" w:val="clear"/>
            <w:vAlign w:val="center"/>
          </w:tcPr>
          <w:p>
            <w:pPr>
              <w:pStyle w:val="TableContents"/>
              <w:bidi w:val="0"/>
              <w:spacing w:before="0" w:after="283"/>
              <w:jc w:val="left"/>
              <w:rPr/>
            </w:pPr>
            <w:r>
              <w:rPr/>
              <w:t>Other income / (expense), net</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2.4</w:t>
            </w:r>
          </w:p>
        </w:tc>
        <w:tc>
          <w:tcPr>
            <w:tcW w:w="98" w:type="dxa"/>
            <w:tcBorders/>
            <w:shd w:fill="D5EAEA" w:val="clear"/>
            <w:vAlign w:val="center"/>
          </w:tcPr>
          <w:p>
            <w:pPr>
              <w:pStyle w:val="TableContents"/>
              <w:bidi w:val="0"/>
              <w:spacing w:before="0" w:after="283"/>
              <w:jc w:val="left"/>
              <w:rPr/>
            </w:pPr>
            <w:r>
              <w:rPr/>
              <w:t> </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0.7</w:t>
            </w:r>
          </w:p>
        </w:tc>
        <w:tc>
          <w:tcPr>
            <w:tcW w:w="98"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4.2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2.1</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0.7</w:t>
            </w:r>
          </w:p>
        </w:tc>
        <w:tc>
          <w:tcPr>
            <w:tcW w:w="288" w:type="dxa"/>
            <w:tcBorders/>
            <w:shd w:fill="D5EAEA"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283"/>
              <w:jc w:val="left"/>
              <w:rPr/>
            </w:pPr>
            <w:r>
              <w:rPr/>
              <w:t>Securities litigation expense</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456" w:type="dxa"/>
            <w:tcBorders/>
            <w:shd w:fill="D5EAEA" w:val="clear"/>
            <w:vAlign w:val="center"/>
          </w:tcPr>
          <w:p>
            <w:pPr>
              <w:pStyle w:val="TableContents"/>
              <w:bidi w:val="0"/>
              <w:spacing w:before="0" w:after="283"/>
              <w:jc w:val="left"/>
              <w:rPr/>
            </w:pPr>
            <w:r>
              <w:rPr/>
              <w:t>Net income (loss) before benefit from income tax benefit / (expense)</w:t>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579" w:type="dxa"/>
            <w:tcBorders/>
            <w:shd w:fill="D5EAEA" w:val="clear"/>
            <w:vAlign w:val="center"/>
          </w:tcPr>
          <w:p>
            <w:pPr>
              <w:pStyle w:val="TableContents"/>
              <w:bidi w:val="0"/>
              <w:spacing w:before="0" w:after="283"/>
              <w:jc w:val="right"/>
              <w:rPr/>
            </w:pPr>
            <w:r>
              <w:rPr/>
              <w:t>(31.7</w:t>
            </w:r>
          </w:p>
        </w:tc>
        <w:tc>
          <w:tcPr>
            <w:tcW w:w="98" w:type="dxa"/>
            <w:tcBorders/>
            <w:shd w:fill="D5EAEA" w:val="clear"/>
            <w:vAlign w:val="center"/>
          </w:tcPr>
          <w:p>
            <w:pPr>
              <w:pStyle w:val="TableContents"/>
              <w:bidi w:val="0"/>
              <w:spacing w:before="0" w:after="283"/>
              <w:jc w:val="left"/>
              <w:rPr/>
            </w:pPr>
            <w:r>
              <w:rPr/>
              <w:t>)</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 </w:t>
            </w:r>
          </w:p>
        </w:tc>
        <w:tc>
          <w:tcPr>
            <w:tcW w:w="657" w:type="dxa"/>
            <w:tcBorders/>
            <w:shd w:fill="D5EAEA" w:val="clear"/>
            <w:vAlign w:val="center"/>
          </w:tcPr>
          <w:p>
            <w:pPr>
              <w:pStyle w:val="TableContents"/>
              <w:bidi w:val="0"/>
              <w:spacing w:before="0" w:after="283"/>
              <w:jc w:val="right"/>
              <w:rPr/>
            </w:pPr>
            <w:r>
              <w:rPr/>
              <w:t>(52.3</w:t>
            </w:r>
          </w:p>
        </w:tc>
        <w:tc>
          <w:tcPr>
            <w:tcW w:w="98"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560" w:type="dxa"/>
            <w:tcBorders/>
            <w:shd w:fill="D5EAEA" w:val="clear"/>
            <w:vAlign w:val="center"/>
          </w:tcPr>
          <w:p>
            <w:pPr>
              <w:pStyle w:val="TableContents"/>
              <w:bidi w:val="0"/>
              <w:spacing w:before="0" w:after="283"/>
              <w:jc w:val="right"/>
              <w:rPr/>
            </w:pPr>
            <w:r>
              <w:rPr/>
              <w:t>22.7</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(69.6</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635" w:type="dxa"/>
            <w:tcBorders/>
            <w:shd w:fill="D5EAEA" w:val="clear"/>
            <w:vAlign w:val="center"/>
          </w:tcPr>
          <w:p>
            <w:pPr>
              <w:pStyle w:val="TableContents"/>
              <w:bidi w:val="0"/>
              <w:spacing w:before="0" w:after="283"/>
              <w:jc w:val="right"/>
              <w:rPr/>
            </w:pPr>
            <w:r>
              <w:rPr/>
              <w:t>(113.0</w:t>
            </w:r>
          </w:p>
        </w:tc>
        <w:tc>
          <w:tcPr>
            <w:tcW w:w="288" w:type="dxa"/>
            <w:tcBorders/>
            <w:shd w:fill="D5EAEA" w:val="clear"/>
            <w:vAlign w:val="center"/>
          </w:tcPr>
          <w:p>
            <w:pPr>
              <w:pStyle w:val="TableContents"/>
              <w:bidi w:val="0"/>
              <w:spacing w:before="0" w:after="283"/>
              <w:jc w:val="left"/>
              <w:rPr/>
            </w:pPr>
            <w:r>
              <w:rPr/>
              <w:t>)</w:t>
            </w:r>
          </w:p>
        </w:tc>
      </w:tr>
      <w:tr>
        <w:trPr/>
        <w:tc>
          <w:tcPr>
            <w:tcW w:w="5456" w:type="dxa"/>
            <w:tcBorders/>
            <w:shd w:fill="FFFFFF" w:val="clear"/>
            <w:vAlign w:val="center"/>
          </w:tcPr>
          <w:p>
            <w:pPr>
              <w:pStyle w:val="TableContents"/>
              <w:bidi w:val="0"/>
              <w:spacing w:before="0" w:after="283"/>
              <w:jc w:val="left"/>
              <w:rPr/>
            </w:pPr>
            <w:r>
              <w:rPr/>
              <w:t>Income tax benefit / (expense)</w:t>
              <w:tab/>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7" w:type="dxa"/>
            <w:tcBorders>
              <w:bottom w:val="single" w:sz="8" w:space="0" w:color="000000"/>
            </w:tcBorders>
            <w:shd w:fill="FFFFFF" w:val="clear"/>
            <w:tcMar>
              <w:bottom w:w="28" w:type="dxa"/>
            </w:tcMar>
            <w:vAlign w:val="center"/>
          </w:tcPr>
          <w:p>
            <w:pPr>
              <w:pStyle w:val="TableContents"/>
              <w:bidi w:val="0"/>
              <w:spacing w:before="0" w:after="283"/>
              <w:jc w:val="right"/>
              <w:rPr/>
            </w:pPr>
            <w:r>
              <w:rPr/>
              <w:t>(0.2</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(0.3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(0.2</w:t>
            </w:r>
          </w:p>
        </w:tc>
        <w:tc>
          <w:tcPr>
            <w:tcW w:w="288"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pPr>
            <w:r>
              <w:rPr/>
              <w:t>)</w:t>
            </w:r>
          </w:p>
        </w:tc>
      </w:tr>
      <w:tr>
        <w:trPr/>
        <w:tc>
          <w:tcPr>
            <w:tcW w:w="5456" w:type="dxa"/>
            <w:tcBorders/>
            <w:shd w:fill="D5EAEA" w:val="clear"/>
            <w:vAlign w:val="center"/>
          </w:tcPr>
          <w:p>
            <w:pPr>
              <w:pStyle w:val="TableContents"/>
              <w:bidi w:val="0"/>
              <w:spacing w:before="0" w:after="283"/>
              <w:jc w:val="left"/>
              <w:rPr/>
            </w:pPr>
            <w:r>
              <w:rPr/>
              <w:t>Net income (loss)</w:t>
              <w:tab/>
              <w:tab/>
            </w:r>
          </w:p>
        </w:tc>
        <w:tc>
          <w:tcPr>
            <w:tcW w:w="60"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579" w:type="dxa"/>
            <w:tcBorders/>
            <w:shd w:fill="D5EAEA" w:val="clear"/>
            <w:vAlign w:val="center"/>
          </w:tcPr>
          <w:p>
            <w:pPr>
              <w:pStyle w:val="TableContents"/>
              <w:bidi w:val="0"/>
              <w:spacing w:before="0" w:after="283"/>
              <w:jc w:val="right"/>
              <w:rPr/>
            </w:pPr>
            <w:r>
              <w:rPr/>
              <w:t>(31.8</w:t>
            </w:r>
          </w:p>
        </w:tc>
        <w:tc>
          <w:tcPr>
            <w:tcW w:w="98" w:type="dxa"/>
            <w:tcBorders/>
            <w:shd w:fill="D5EAEA" w:val="clear"/>
            <w:vAlign w:val="center"/>
          </w:tcPr>
          <w:p>
            <w:pPr>
              <w:pStyle w:val="TableContents"/>
              <w:bidi w:val="0"/>
              <w:spacing w:before="0" w:after="283"/>
              <w:jc w:val="left"/>
              <w:rPr/>
            </w:pPr>
            <w:r>
              <w:rPr/>
              <w:t>)</w:t>
            </w:r>
          </w:p>
        </w:tc>
        <w:tc>
          <w:tcPr>
            <w:tcW w:w="61" w:type="dxa"/>
            <w:tcBorders/>
            <w:shd w:fill="D5EAEA" w:val="clear"/>
            <w:vAlign w:val="center"/>
          </w:tcPr>
          <w:p>
            <w:pPr>
              <w:pStyle w:val="TableContents"/>
              <w:bidi w:val="0"/>
              <w:spacing w:before="0" w:after="283"/>
              <w:jc w:val="left"/>
              <w:rPr/>
            </w:pPr>
            <w:r>
              <w:rPr/>
              <w:t> </w:t>
            </w:r>
          </w:p>
        </w:tc>
        <w:tc>
          <w:tcPr>
            <w:tcW w:w="144" w:type="dxa"/>
            <w:tcBorders/>
            <w:shd w:fill="D5EAEA" w:val="clear"/>
            <w:vAlign w:val="center"/>
          </w:tcPr>
          <w:p>
            <w:pPr>
              <w:pStyle w:val="TableContents"/>
              <w:bidi w:val="0"/>
              <w:spacing w:before="0" w:after="283"/>
              <w:jc w:val="left"/>
              <w:rPr/>
            </w:pPr>
            <w:r>
              <w:rPr/>
              <w:t>$</w:t>
            </w:r>
          </w:p>
        </w:tc>
        <w:tc>
          <w:tcPr>
            <w:tcW w:w="657" w:type="dxa"/>
            <w:tcBorders/>
            <w:shd w:fill="D5EAEA" w:val="clear"/>
            <w:vAlign w:val="center"/>
          </w:tcPr>
          <w:p>
            <w:pPr>
              <w:pStyle w:val="TableContents"/>
              <w:bidi w:val="0"/>
              <w:spacing w:before="0" w:after="283"/>
              <w:jc w:val="right"/>
              <w:rPr/>
            </w:pPr>
            <w:r>
              <w:rPr/>
              <w:t>(52.5</w:t>
            </w:r>
          </w:p>
        </w:tc>
        <w:tc>
          <w:tcPr>
            <w:tcW w:w="98"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560" w:type="dxa"/>
            <w:tcBorders/>
            <w:shd w:fill="D5EAEA" w:val="clear"/>
            <w:vAlign w:val="center"/>
          </w:tcPr>
          <w:p>
            <w:pPr>
              <w:pStyle w:val="TableContents"/>
              <w:bidi w:val="0"/>
              <w:spacing w:before="0" w:after="283"/>
              <w:jc w:val="right"/>
              <w:rPr/>
            </w:pPr>
            <w:r>
              <w:rPr/>
              <w:t>22.6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(69.9</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635" w:type="dxa"/>
            <w:tcBorders/>
            <w:shd w:fill="D5EAEA" w:val="clear"/>
            <w:vAlign w:val="center"/>
          </w:tcPr>
          <w:p>
            <w:pPr>
              <w:pStyle w:val="TableContents"/>
              <w:bidi w:val="0"/>
              <w:spacing w:before="0" w:after="283"/>
              <w:jc w:val="right"/>
              <w:rPr/>
            </w:pPr>
            <w:r>
              <w:rPr/>
              <w:t>(113.2</w:t>
            </w:r>
          </w:p>
        </w:tc>
        <w:tc>
          <w:tcPr>
            <w:tcW w:w="288" w:type="dxa"/>
            <w:tcBorders/>
            <w:shd w:fill="D5EAEA" w:val="clear"/>
            <w:vAlign w:val="center"/>
          </w:tcPr>
          <w:p>
            <w:pPr>
              <w:pStyle w:val="TableContents"/>
              <w:bidi w:val="0"/>
              <w:spacing w:before="0" w:after="283"/>
              <w:jc w:val="left"/>
              <w:rPr/>
            </w:pPr>
            <w:r>
              <w:rPr/>
              <w:t>)</w:t>
            </w:r>
          </w:p>
        </w:tc>
      </w:tr>
      <w:tr>
        <w:trPr/>
        <w:tc>
          <w:tcPr>
            <w:tcW w:w="5456" w:type="dxa"/>
            <w:tcBorders/>
            <w:shd w:fill="FFFFFF" w:val="clear"/>
            <w:vAlign w:val="center"/>
          </w:tcPr>
          <w:p>
            <w:pPr>
              <w:pStyle w:val="TableContents"/>
              <w:bidi w:val="0"/>
              <w:spacing w:before="0" w:after="283"/>
              <w:jc w:val="left"/>
              <w:rPr/>
            </w:pPr>
            <w:r>
              <w:rPr/>
              <w:t>Net income (loss) per share attributable to Class A Common Stockholders, basic</w:t>
              <w:tab/>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579" w:type="dxa"/>
            <w:tcBorders/>
            <w:shd w:fill="FFFFFF" w:val="clear"/>
            <w:vAlign w:val="center"/>
          </w:tcPr>
          <w:p>
            <w:pPr>
              <w:pStyle w:val="TableContents"/>
              <w:bidi w:val="0"/>
              <w:spacing w:before="0" w:after="283"/>
              <w:jc w:val="right"/>
              <w:rPr/>
            </w:pPr>
            <w:r>
              <w:rPr/>
              <w:t>(0.95</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657" w:type="dxa"/>
            <w:tcBorders/>
            <w:shd w:fill="FFFFFF" w:val="clear"/>
            <w:vAlign w:val="center"/>
          </w:tcPr>
          <w:p>
            <w:pPr>
              <w:pStyle w:val="TableContents"/>
              <w:bidi w:val="0"/>
              <w:spacing w:before="0" w:after="283"/>
              <w:jc w:val="right"/>
              <w:rPr/>
            </w:pPr>
            <w:r>
              <w:rPr/>
              <w:t>(12.49</w:t>
            </w:r>
          </w:p>
        </w:tc>
        <w:tc>
          <w:tcPr>
            <w:tcW w:w="9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(17.62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(31.52</w:t>
            </w:r>
          </w:p>
        </w:tc>
        <w:tc>
          <w:tcPr>
            <w:tcW w:w="28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2"/>
        <w:gridCol w:w="23"/>
        <w:gridCol w:w="140"/>
        <w:gridCol w:w="1100"/>
        <w:gridCol w:w="95"/>
        <w:gridCol w:w="23"/>
        <w:gridCol w:w="140"/>
        <w:gridCol w:w="980"/>
        <w:gridCol w:w="95"/>
        <w:gridCol w:w="23"/>
        <w:gridCol w:w="140"/>
        <w:gridCol w:w="1100"/>
        <w:gridCol w:w="23"/>
        <w:gridCol w:w="23"/>
        <w:gridCol w:w="140"/>
        <w:gridCol w:w="980"/>
        <w:gridCol w:w="95"/>
        <w:gridCol w:w="23"/>
        <w:gridCol w:w="140"/>
        <w:gridCol w:w="980"/>
        <w:gridCol w:w="110"/>
      </w:tblGrid>
      <w:tr>
        <w:trPr/>
        <w:tc>
          <w:tcPr>
            <w:tcW w:w="38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73" w:type="dxa"/>
            <w:gridSpan w:val="7"/>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July 31,</w:t>
            </w:r>
          </w:p>
        </w:tc>
        <w:tc>
          <w:tcPr>
            <w:tcW w:w="23" w:type="dxa"/>
            <w:tcBorders/>
            <w:vAlign w:val="center"/>
          </w:tcPr>
          <w:p>
            <w:pPr>
              <w:pStyle w:val="TableContents"/>
              <w:bidi w:val="0"/>
              <w:spacing w:before="0" w:after="283"/>
              <w:jc w:val="left"/>
              <w:rPr>
                <w:sz w:val="4"/>
                <w:szCs w:val="4"/>
              </w:rPr>
            </w:pPr>
            <w:r>
              <w:rPr>
                <w:sz w:val="4"/>
                <w:szCs w:val="4"/>
              </w:rPr>
            </w:r>
          </w:p>
        </w:tc>
        <w:tc>
          <w:tcPr>
            <w:tcW w:w="3754"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Year ended</w:t>
              <w:br/>
              <w:t>January 31,</w:t>
            </w:r>
          </w:p>
        </w:tc>
      </w:tr>
      <w:tr>
        <w:trPr/>
        <w:tc>
          <w:tcPr>
            <w:tcW w:w="38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 w:type="dxa"/>
            <w:tcBorders/>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 w:type="dxa"/>
            <w:tcBorders/>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 w:type="dxa"/>
            <w:tcBorders/>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 w:type="dxa"/>
            <w:tcBorders/>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3832" w:type="dxa"/>
            <w:tcBorders/>
            <w:vAlign w:val="center"/>
          </w:tcPr>
          <w:p>
            <w:pPr>
              <w:pStyle w:val="TableContents"/>
              <w:bidi w:val="0"/>
              <w:spacing w:before="0" w:after="283"/>
              <w:jc w:val="left"/>
              <w:rPr>
                <w:b/>
              </w:rPr>
            </w:pPr>
            <w:r>
              <w:rPr>
                <w:b/>
              </w:rPr>
              <w:t>(in millions, except share and per share data)</w:t>
            </w:r>
          </w:p>
        </w:tc>
        <w:tc>
          <w:tcPr>
            <w:tcW w:w="23" w:type="dxa"/>
            <w:tcBorders/>
            <w:vAlign w:val="center"/>
          </w:tcPr>
          <w:p>
            <w:pPr>
              <w:pStyle w:val="TableContents"/>
              <w:bidi w:val="0"/>
              <w:spacing w:before="0" w:after="283"/>
              <w:jc w:val="left"/>
              <w:rPr>
                <w:sz w:val="4"/>
                <w:szCs w:val="4"/>
              </w:rPr>
            </w:pPr>
            <w:r>
              <w:rPr>
                <w:sz w:val="4"/>
                <w:szCs w:val="4"/>
              </w:rPr>
            </w:r>
          </w:p>
        </w:tc>
        <w:tc>
          <w:tcPr>
            <w:tcW w:w="2573" w:type="dxa"/>
            <w:gridSpan w:val="7"/>
            <w:tcBorders/>
            <w:vAlign w:val="center"/>
          </w:tcPr>
          <w:p>
            <w:pPr>
              <w:pStyle w:val="TableContents"/>
              <w:bidi w:val="0"/>
              <w:spacing w:before="0" w:after="283"/>
              <w:jc w:val="center"/>
              <w:rPr>
                <w:b/>
              </w:rPr>
            </w:pPr>
            <w:r>
              <w:rPr>
                <w:b/>
              </w:rPr>
              <w:t>(unaudited)</w:t>
            </w:r>
          </w:p>
        </w:tc>
        <w:tc>
          <w:tcPr>
            <w:tcW w:w="23" w:type="dxa"/>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8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832" w:type="dxa"/>
            <w:tcBorders/>
            <w:shd w:fill="D5EAEA" w:val="clear"/>
            <w:vAlign w:val="center"/>
          </w:tcPr>
          <w:p>
            <w:pPr>
              <w:pStyle w:val="TableContents"/>
              <w:bidi w:val="0"/>
              <w:spacing w:before="0" w:after="283"/>
              <w:jc w:val="left"/>
              <w:rPr/>
            </w:pPr>
            <w:r>
              <w:rPr/>
              <w:t>Net income (loss) per share attributable to Class A Common Stockholders, diluted</w:t>
              <w:tab/>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pPr>
            <w:r>
              <w:rPr/>
              <w:t>$</w:t>
            </w:r>
          </w:p>
        </w:tc>
        <w:tc>
          <w:tcPr>
            <w:tcW w:w="1100" w:type="dxa"/>
            <w:tcBorders/>
            <w:shd w:fill="D5EAEA" w:val="clear"/>
            <w:vAlign w:val="center"/>
          </w:tcPr>
          <w:p>
            <w:pPr>
              <w:pStyle w:val="TableContents"/>
              <w:bidi w:val="0"/>
              <w:spacing w:before="0" w:after="283"/>
              <w:jc w:val="right"/>
              <w:rPr/>
            </w:pPr>
            <w:r>
              <w:rPr/>
              <w:t>(0.95</w:t>
            </w:r>
          </w:p>
        </w:tc>
        <w:tc>
          <w:tcPr>
            <w:tcW w:w="95" w:type="dxa"/>
            <w:tcBorders/>
            <w:shd w:fill="D5EAEA" w:val="clear"/>
            <w:vAlign w:val="center"/>
          </w:tcPr>
          <w:p>
            <w:pPr>
              <w:pStyle w:val="TableContents"/>
              <w:bidi w:val="0"/>
              <w:spacing w:before="0" w:after="283"/>
              <w:jc w:val="left"/>
              <w:rPr/>
            </w:pPr>
            <w:r>
              <w:rPr/>
              <w:t>)</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pPr>
            <w:r>
              <w:rPr/>
              <w:t>$</w:t>
            </w:r>
          </w:p>
        </w:tc>
        <w:tc>
          <w:tcPr>
            <w:tcW w:w="980" w:type="dxa"/>
            <w:tcBorders/>
            <w:shd w:fill="D5EAEA" w:val="clear"/>
            <w:vAlign w:val="center"/>
          </w:tcPr>
          <w:p>
            <w:pPr>
              <w:pStyle w:val="TableContents"/>
              <w:bidi w:val="0"/>
              <w:spacing w:before="0" w:after="283"/>
              <w:jc w:val="right"/>
              <w:rPr/>
            </w:pPr>
            <w:r>
              <w:rPr/>
              <w:t>(12.49</w:t>
            </w:r>
          </w:p>
        </w:tc>
        <w:tc>
          <w:tcPr>
            <w:tcW w:w="95" w:type="dxa"/>
            <w:tcBorders/>
            <w:shd w:fill="D5EAEA" w:val="clear"/>
            <w:vAlign w:val="center"/>
          </w:tcPr>
          <w:p>
            <w:pPr>
              <w:pStyle w:val="TableContents"/>
              <w:bidi w:val="0"/>
              <w:spacing w:before="0" w:after="283"/>
              <w:jc w:val="left"/>
              <w:rPr/>
            </w:pPr>
            <w:r>
              <w:rPr/>
              <w:t>)</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pPr>
            <w:r>
              <w:rPr/>
              <w:t>$</w:t>
            </w:r>
          </w:p>
        </w:tc>
        <w:tc>
          <w:tcPr>
            <w:tcW w:w="1100" w:type="dxa"/>
            <w:tcBorders/>
            <w:shd w:fill="D5EAEA" w:val="clear"/>
            <w:vAlign w:val="center"/>
          </w:tcPr>
          <w:p>
            <w:pPr>
              <w:pStyle w:val="TableContents"/>
              <w:bidi w:val="0"/>
              <w:spacing w:before="0" w:after="283"/>
              <w:jc w:val="right"/>
              <w:rPr/>
            </w:pPr>
            <w:r>
              <w:rPr/>
              <w:t>1.88</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pPr>
            <w:r>
              <w:rPr/>
              <w:t>$</w:t>
            </w:r>
          </w:p>
        </w:tc>
        <w:tc>
          <w:tcPr>
            <w:tcW w:w="980" w:type="dxa"/>
            <w:tcBorders/>
            <w:shd w:fill="D5EAEA" w:val="clear"/>
            <w:vAlign w:val="center"/>
          </w:tcPr>
          <w:p>
            <w:pPr>
              <w:pStyle w:val="TableContents"/>
              <w:bidi w:val="0"/>
              <w:spacing w:before="0" w:after="283"/>
              <w:jc w:val="right"/>
              <w:rPr/>
            </w:pPr>
            <w:r>
              <w:rPr/>
              <w:t>(17.62</w:t>
            </w:r>
          </w:p>
        </w:tc>
        <w:tc>
          <w:tcPr>
            <w:tcW w:w="95" w:type="dxa"/>
            <w:tcBorders/>
            <w:shd w:fill="D5EAEA" w:val="clear"/>
            <w:vAlign w:val="center"/>
          </w:tcPr>
          <w:p>
            <w:pPr>
              <w:pStyle w:val="TableContents"/>
              <w:bidi w:val="0"/>
              <w:spacing w:before="0" w:after="283"/>
              <w:jc w:val="left"/>
              <w:rPr/>
            </w:pPr>
            <w:r>
              <w:rPr/>
              <w:t>)</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pPr>
            <w:r>
              <w:rPr/>
              <w:t>$</w:t>
            </w:r>
          </w:p>
        </w:tc>
        <w:tc>
          <w:tcPr>
            <w:tcW w:w="980" w:type="dxa"/>
            <w:tcBorders/>
            <w:shd w:fill="D5EAEA" w:val="clear"/>
            <w:vAlign w:val="center"/>
          </w:tcPr>
          <w:p>
            <w:pPr>
              <w:pStyle w:val="TableContents"/>
              <w:bidi w:val="0"/>
              <w:spacing w:before="0" w:after="283"/>
              <w:jc w:val="right"/>
              <w:rPr/>
            </w:pPr>
            <w:r>
              <w:rPr/>
              <w:t>(31.52</w:t>
            </w:r>
          </w:p>
        </w:tc>
        <w:tc>
          <w:tcPr>
            <w:tcW w:w="110" w:type="dxa"/>
            <w:tcBorders/>
            <w:shd w:fill="D5EAEA" w:val="clear"/>
            <w:vAlign w:val="center"/>
          </w:tcPr>
          <w:p>
            <w:pPr>
              <w:pStyle w:val="TableContents"/>
              <w:bidi w:val="0"/>
              <w:spacing w:before="0" w:after="283"/>
              <w:jc w:val="left"/>
              <w:rPr/>
            </w:pPr>
            <w:r>
              <w:rPr/>
              <w:t>)</w:t>
            </w:r>
          </w:p>
        </w:tc>
      </w:tr>
      <w:tr>
        <w:trPr/>
        <w:tc>
          <w:tcPr>
            <w:tcW w:w="3832" w:type="dxa"/>
            <w:tcBorders/>
            <w:shd w:fill="FFFFFF" w:val="clear"/>
            <w:vAlign w:val="center"/>
          </w:tcPr>
          <w:p>
            <w:pPr>
              <w:pStyle w:val="TableContents"/>
              <w:bidi w:val="0"/>
              <w:spacing w:before="0" w:after="283"/>
              <w:jc w:val="left"/>
              <w:rPr/>
            </w:pPr>
            <w:r>
              <w:rPr/>
              <w:t>Weighted-average shares used in computing net income (loss) per share attributable to Class A Common Stockholders, basic</w:t>
              <w:tab/>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100" w:type="dxa"/>
            <w:tcBorders/>
            <w:shd w:fill="FFFFFF" w:val="clear"/>
            <w:vAlign w:val="center"/>
          </w:tcPr>
          <w:p>
            <w:pPr>
              <w:pStyle w:val="TableContents"/>
              <w:bidi w:val="0"/>
              <w:spacing w:before="0" w:after="283"/>
              <w:jc w:val="right"/>
              <w:rPr/>
            </w:pPr>
            <w:r>
              <w:rPr/>
              <w:t>33,501,272</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right"/>
              <w:rPr/>
            </w:pPr>
            <w:r>
              <w:rPr/>
              <w:t>4,203,550</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100" w:type="dxa"/>
            <w:tcBorders/>
            <w:shd w:fill="FFFFFF" w:val="clear"/>
            <w:vAlign w:val="center"/>
          </w:tcPr>
          <w:p>
            <w:pPr>
              <w:pStyle w:val="TableContents"/>
              <w:bidi w:val="0"/>
              <w:spacing w:before="0" w:after="283"/>
              <w:jc w:val="right"/>
              <w:rPr/>
            </w:pPr>
            <w:r>
              <w:rPr/>
              <w:t>11,961,285</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right"/>
              <w:rPr/>
            </w:pPr>
            <w:r>
              <w:rPr/>
              <w:t>3,967,937</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right"/>
              <w:rPr/>
            </w:pPr>
            <w:r>
              <w:rPr/>
              <w:t>3,591,538</w:t>
            </w:r>
          </w:p>
        </w:tc>
        <w:tc>
          <w:tcPr>
            <w:tcW w:w="110" w:type="dxa"/>
            <w:tcBorders/>
            <w:shd w:fill="FFFFFF" w:val="clear"/>
            <w:vAlign w:val="center"/>
          </w:tcPr>
          <w:p>
            <w:pPr>
              <w:pStyle w:val="TableContents"/>
              <w:bidi w:val="0"/>
              <w:spacing w:before="0" w:after="283"/>
              <w:jc w:val="left"/>
              <w:rPr>
                <w:sz w:val="4"/>
                <w:szCs w:val="4"/>
              </w:rPr>
            </w:pPr>
            <w:r>
              <w:rPr>
                <w:sz w:val="4"/>
                <w:szCs w:val="4"/>
              </w:rPr>
            </w:r>
          </w:p>
        </w:tc>
      </w:tr>
      <w:tr>
        <w:trPr/>
        <w:tc>
          <w:tcPr>
            <w:tcW w:w="3832" w:type="dxa"/>
            <w:tcBorders/>
            <w:shd w:fill="D5EAEA" w:val="clear"/>
            <w:vAlign w:val="center"/>
          </w:tcPr>
          <w:p>
            <w:pPr>
              <w:pStyle w:val="TableContents"/>
              <w:bidi w:val="0"/>
              <w:spacing w:before="0" w:after="283"/>
              <w:jc w:val="left"/>
              <w:rPr/>
            </w:pPr>
            <w:r>
              <w:rPr/>
              <w:t>Weighted-average shares used in computing net income (loss) per share attributable to Class A Common Stockholders, diluted</w:t>
              <w:tab/>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sz w:val="4"/>
                <w:szCs w:val="4"/>
              </w:rPr>
            </w:pPr>
            <w:r>
              <w:rPr>
                <w:sz w:val="4"/>
                <w:szCs w:val="4"/>
              </w:rPr>
            </w:r>
          </w:p>
        </w:tc>
        <w:tc>
          <w:tcPr>
            <w:tcW w:w="1100" w:type="dxa"/>
            <w:tcBorders/>
            <w:shd w:fill="D5EAEA" w:val="clear"/>
            <w:vAlign w:val="center"/>
          </w:tcPr>
          <w:p>
            <w:pPr>
              <w:pStyle w:val="TableContents"/>
              <w:bidi w:val="0"/>
              <w:spacing w:before="0" w:after="283"/>
              <w:jc w:val="right"/>
              <w:rPr/>
            </w:pPr>
            <w:r>
              <w:rPr/>
              <w:t>33,501,272</w:t>
            </w:r>
          </w:p>
        </w:tc>
        <w:tc>
          <w:tcPr>
            <w:tcW w:w="9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sz w:val="4"/>
                <w:szCs w:val="4"/>
              </w:rPr>
            </w:pPr>
            <w:r>
              <w:rPr>
                <w:sz w:val="4"/>
                <w:szCs w:val="4"/>
              </w:rPr>
            </w:r>
          </w:p>
        </w:tc>
        <w:tc>
          <w:tcPr>
            <w:tcW w:w="980" w:type="dxa"/>
            <w:tcBorders/>
            <w:shd w:fill="D5EAEA" w:val="clear"/>
            <w:vAlign w:val="center"/>
          </w:tcPr>
          <w:p>
            <w:pPr>
              <w:pStyle w:val="TableContents"/>
              <w:bidi w:val="0"/>
              <w:spacing w:before="0" w:after="283"/>
              <w:jc w:val="right"/>
              <w:rPr/>
            </w:pPr>
            <w:r>
              <w:rPr/>
              <w:t>4,203,550</w:t>
            </w:r>
          </w:p>
        </w:tc>
        <w:tc>
          <w:tcPr>
            <w:tcW w:w="9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sz w:val="4"/>
                <w:szCs w:val="4"/>
              </w:rPr>
            </w:pPr>
            <w:r>
              <w:rPr>
                <w:sz w:val="4"/>
                <w:szCs w:val="4"/>
              </w:rPr>
            </w:r>
          </w:p>
        </w:tc>
        <w:tc>
          <w:tcPr>
            <w:tcW w:w="1100" w:type="dxa"/>
            <w:tcBorders/>
            <w:shd w:fill="D5EAEA" w:val="clear"/>
            <w:vAlign w:val="center"/>
          </w:tcPr>
          <w:p>
            <w:pPr>
              <w:pStyle w:val="TableContents"/>
              <w:bidi w:val="0"/>
              <w:spacing w:before="0" w:after="283"/>
              <w:jc w:val="right"/>
              <w:rPr/>
            </w:pPr>
            <w:r>
              <w:rPr/>
              <w:t>11,997,493</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sz w:val="4"/>
                <w:szCs w:val="4"/>
              </w:rPr>
            </w:pPr>
            <w:r>
              <w:rPr>
                <w:sz w:val="4"/>
                <w:szCs w:val="4"/>
              </w:rPr>
            </w:r>
          </w:p>
        </w:tc>
        <w:tc>
          <w:tcPr>
            <w:tcW w:w="980" w:type="dxa"/>
            <w:tcBorders/>
            <w:shd w:fill="D5EAEA" w:val="clear"/>
            <w:vAlign w:val="center"/>
          </w:tcPr>
          <w:p>
            <w:pPr>
              <w:pStyle w:val="TableContents"/>
              <w:bidi w:val="0"/>
              <w:spacing w:before="0" w:after="283"/>
              <w:jc w:val="right"/>
              <w:rPr/>
            </w:pPr>
            <w:r>
              <w:rPr/>
              <w:t>3,967,937</w:t>
            </w:r>
          </w:p>
        </w:tc>
        <w:tc>
          <w:tcPr>
            <w:tcW w:w="9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sz w:val="4"/>
                <w:szCs w:val="4"/>
              </w:rPr>
            </w:pPr>
            <w:r>
              <w:rPr>
                <w:sz w:val="4"/>
                <w:szCs w:val="4"/>
              </w:rPr>
            </w:r>
          </w:p>
        </w:tc>
        <w:tc>
          <w:tcPr>
            <w:tcW w:w="980" w:type="dxa"/>
            <w:tcBorders/>
            <w:shd w:fill="D5EAEA" w:val="clear"/>
            <w:vAlign w:val="center"/>
          </w:tcPr>
          <w:p>
            <w:pPr>
              <w:pStyle w:val="TableContents"/>
              <w:bidi w:val="0"/>
              <w:spacing w:before="0" w:after="283"/>
              <w:jc w:val="right"/>
              <w:rPr/>
            </w:pPr>
            <w:r>
              <w:rPr/>
              <w:t>3,591,538</w:t>
            </w:r>
          </w:p>
        </w:tc>
        <w:tc>
          <w:tcPr>
            <w:tcW w:w="110" w:type="dxa"/>
            <w:tcBorders/>
            <w:shd w:fill="D5EAEA"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Summary Selected Balance Sheet Data</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tbl>
      <w:tblPr>
        <w:tblW w:w="8282" w:type="dxa"/>
        <w:jc w:val="left"/>
        <w:tblInd w:w="0" w:type="dxa"/>
        <w:tblLayout w:type="fixed"/>
        <w:tblCellMar>
          <w:top w:w="0" w:type="dxa"/>
          <w:left w:w="0" w:type="dxa"/>
          <w:bottom w:w="0" w:type="dxa"/>
          <w:right w:w="0" w:type="dxa"/>
        </w:tblCellMar>
      </w:tblPr>
      <w:tblGrid>
        <w:gridCol w:w="4325"/>
        <w:gridCol w:w="60"/>
        <w:gridCol w:w="186"/>
        <w:gridCol w:w="1086"/>
        <w:gridCol w:w="126"/>
        <w:gridCol w:w="60"/>
        <w:gridCol w:w="140"/>
        <w:gridCol w:w="815"/>
        <w:gridCol w:w="95"/>
        <w:gridCol w:w="60"/>
        <w:gridCol w:w="140"/>
        <w:gridCol w:w="815"/>
        <w:gridCol w:w="374"/>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of July 31,</w:t>
            </w:r>
          </w:p>
        </w:tc>
        <w:tc>
          <w:tcPr>
            <w:tcW w:w="60" w:type="dxa"/>
            <w:tcBorders/>
            <w:vAlign w:val="center"/>
          </w:tcPr>
          <w:p>
            <w:pPr>
              <w:pStyle w:val="TableContents"/>
              <w:bidi w:val="0"/>
              <w:spacing w:before="0" w:after="283"/>
              <w:jc w:val="left"/>
              <w:rPr/>
            </w:pPr>
            <w:r>
              <w:rPr/>
              <w:t> </w:t>
            </w:r>
          </w:p>
        </w:tc>
        <w:tc>
          <w:tcPr>
            <w:tcW w:w="243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As of January 31,</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3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4325" w:type="dxa"/>
            <w:tcBorders/>
            <w:vAlign w:val="center"/>
          </w:tcPr>
          <w:p>
            <w:pPr>
              <w:pStyle w:val="TableContents"/>
              <w:bidi w:val="0"/>
              <w:spacing w:before="0" w:after="283"/>
              <w:jc w:val="left"/>
              <w:rPr>
                <w:b/>
              </w:rPr>
            </w:pPr>
            <w:r>
              <w:rPr>
                <w:b/>
              </w:rPr>
              <w:t>(in millions)</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9" w:type="dxa"/>
            <w:gridSpan w:val="3"/>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105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29" w:type="dxa"/>
            <w:gridSpan w:val="3"/>
            <w:tcBorders/>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pPr>
            <w:r>
              <w:rPr/>
              <w:t>Cash and cash equivalents</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w:t>
            </w:r>
          </w:p>
        </w:tc>
        <w:tc>
          <w:tcPr>
            <w:tcW w:w="1086" w:type="dxa"/>
            <w:tcBorders/>
            <w:shd w:fill="D5EAEA" w:val="clear"/>
            <w:vAlign w:val="center"/>
          </w:tcPr>
          <w:p>
            <w:pPr>
              <w:pStyle w:val="TableContents"/>
              <w:bidi w:val="0"/>
              <w:spacing w:before="0" w:after="283"/>
              <w:jc w:val="right"/>
              <w:rPr/>
            </w:pPr>
            <w:r>
              <w:rPr/>
              <w:t>29.0</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50.4</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77.4</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Restricted cash, current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4.0</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4.7</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Prepaid expenses and other current assets</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11.5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11.8</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11.8</w:t>
            </w:r>
          </w:p>
        </w:tc>
        <w:tc>
          <w:tcPr>
            <w:tcW w:w="374" w:type="dxa"/>
            <w:tcBorders/>
            <w:shd w:fill="D5EAEA" w:val="clear"/>
            <w:vAlign w:val="center"/>
          </w:tcPr>
          <w:p>
            <w:pPr>
              <w:pStyle w:val="TableContents"/>
              <w:bidi w:val="0"/>
              <w:spacing w:before="0" w:after="283"/>
              <w:ind w:left="0" w:right="0" w:firstLine="50"/>
              <w:jc w:val="left"/>
              <w:rPr/>
            </w:pPr>
            <w:r>
              <w:rPr/>
              <w:t> </w:t>
            </w:r>
          </w:p>
        </w:tc>
      </w:tr>
      <w:tr>
        <w:trPr/>
        <w:tc>
          <w:tcPr>
            <w:tcW w:w="4325" w:type="dxa"/>
            <w:tcBorders/>
            <w:shd w:fill="FFFFFF" w:val="clear"/>
            <w:vAlign w:val="center"/>
          </w:tcPr>
          <w:p>
            <w:pPr>
              <w:pStyle w:val="TableContents"/>
              <w:bidi w:val="0"/>
              <w:spacing w:before="0" w:after="283"/>
              <w:jc w:val="left"/>
              <w:rPr/>
            </w:pPr>
            <w:r>
              <w:rPr/>
              <w:t>Total current assets</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93.9</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Restricted cash</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4.2</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4.2</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4.4</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Rental product, net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84.1</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73.3</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Fixed assets, net</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22.9</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24.0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28.3</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 assets, net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1.9</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2.4</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Operating lease right-of-use assets</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27.5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29.3</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32.1</w:t>
            </w:r>
          </w:p>
        </w:tc>
        <w:tc>
          <w:tcPr>
            <w:tcW w:w="374" w:type="dxa"/>
            <w:tcBorders/>
            <w:shd w:fill="D5EAEA" w:val="clear"/>
            <w:vAlign w:val="center"/>
          </w:tcPr>
          <w:p>
            <w:pPr>
              <w:pStyle w:val="TableContents"/>
              <w:bidi w:val="0"/>
              <w:spacing w:before="0" w:after="283"/>
              <w:ind w:left="0" w:right="0" w:hanging="0"/>
              <w:jc w:val="left"/>
              <w:rPr/>
            </w:pPr>
            <w:r>
              <w:rPr/>
              <w:t> </w:t>
            </w:r>
          </w:p>
        </w:tc>
      </w:tr>
      <w:tr>
        <w:trPr/>
        <w:tc>
          <w:tcPr>
            <w:tcW w:w="4325" w:type="dxa"/>
            <w:tcBorders/>
            <w:shd w:fill="FFFFFF" w:val="clear"/>
            <w:vAlign w:val="center"/>
          </w:tcPr>
          <w:p>
            <w:pPr>
              <w:pStyle w:val="TableContents"/>
              <w:bidi w:val="0"/>
              <w:spacing w:before="0" w:after="283"/>
              <w:jc w:val="left"/>
              <w:rPr/>
            </w:pPr>
            <w:r>
              <w:rPr/>
              <w:t>Other assets</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5.6</w:t>
            </w:r>
          </w:p>
        </w:tc>
        <w:tc>
          <w:tcPr>
            <w:tcW w:w="374" w:type="dxa"/>
            <w:tcBorders/>
            <w:shd w:fill="FFFFFF" w:val="clear"/>
            <w:vAlign w:val="center"/>
          </w:tcPr>
          <w:p>
            <w:pPr>
              <w:pStyle w:val="TableContents"/>
              <w:bidi w:val="0"/>
              <w:spacing w:before="0" w:after="283"/>
              <w:ind w:left="0" w:right="0" w:firstLine="50"/>
              <w:jc w:val="left"/>
              <w:rPr/>
            </w:pPr>
            <w:r>
              <w:rPr/>
              <w:t> </w:t>
            </w:r>
          </w:p>
        </w:tc>
      </w:tr>
      <w:tr>
        <w:trPr/>
        <w:tc>
          <w:tcPr>
            <w:tcW w:w="4325" w:type="dxa"/>
            <w:tcBorders/>
            <w:shd w:fill="D5EAEA" w:val="clear"/>
            <w:vAlign w:val="center"/>
          </w:tcPr>
          <w:p>
            <w:pPr>
              <w:pStyle w:val="TableContents"/>
              <w:bidi w:val="0"/>
              <w:spacing w:before="0" w:after="283"/>
              <w:jc w:val="left"/>
              <w:rPr/>
            </w:pPr>
            <w:r>
              <w:rPr/>
              <w:t>Total assets</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192.4</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221.0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240.0</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b/>
              </w:rPr>
            </w:pPr>
            <w:r>
              <w:rPr>
                <w:b/>
              </w:rPr>
              <w:t>Liabilities and Stockholders’ Equity</w:t>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 </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 </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pPr>
            <w:r>
              <w:rPr/>
              <w:t>Accounts payable</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w:t>
            </w:r>
          </w:p>
        </w:tc>
        <w:tc>
          <w:tcPr>
            <w:tcW w:w="1086" w:type="dxa"/>
            <w:tcBorders/>
            <w:shd w:fill="D5EAEA" w:val="clear"/>
            <w:vAlign w:val="center"/>
          </w:tcPr>
          <w:p>
            <w:pPr>
              <w:pStyle w:val="TableContents"/>
              <w:bidi w:val="0"/>
              <w:spacing w:before="0" w:after="283"/>
              <w:jc w:val="right"/>
              <w:rPr/>
            </w:pPr>
            <w:r>
              <w:rPr/>
              <w:t>4.4</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9.9</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6.2</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Accrued expenses and other current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36.5</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19.6</w:t>
            </w:r>
          </w:p>
        </w:tc>
        <w:tc>
          <w:tcPr>
            <w:tcW w:w="374" w:type="dxa"/>
            <w:tcBorders/>
            <w:shd w:fill="FFFFFF" w:val="clear"/>
            <w:vAlign w:val="center"/>
          </w:tcPr>
          <w:p>
            <w:pPr>
              <w:pStyle w:val="TableContents"/>
              <w:bidi w:val="0"/>
              <w:spacing w:before="0" w:after="283"/>
              <w:ind w:left="0" w:right="0" w:firstLine="29"/>
              <w:jc w:val="left"/>
              <w:rPr/>
            </w:pPr>
            <w:r>
              <w:rPr/>
              <w:t> </w:t>
            </w:r>
          </w:p>
        </w:tc>
      </w:tr>
      <w:tr>
        <w:trPr/>
        <w:tc>
          <w:tcPr>
            <w:tcW w:w="4325" w:type="dxa"/>
            <w:tcBorders/>
            <w:shd w:fill="D5EAEA" w:val="clear"/>
            <w:vAlign w:val="center"/>
          </w:tcPr>
          <w:p>
            <w:pPr>
              <w:pStyle w:val="TableContents"/>
              <w:bidi w:val="0"/>
              <w:spacing w:before="0" w:after="283"/>
              <w:jc w:val="left"/>
              <w:rPr/>
            </w:pPr>
            <w:r>
              <w:rPr/>
              <w:t>Deferred revenue</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13.0</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12.0</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10.2</w:t>
            </w:r>
          </w:p>
        </w:tc>
        <w:tc>
          <w:tcPr>
            <w:tcW w:w="374" w:type="dxa"/>
            <w:tcBorders/>
            <w:shd w:fill="D5EAEA" w:val="clear"/>
            <w:vAlign w:val="center"/>
          </w:tcPr>
          <w:p>
            <w:pPr>
              <w:pStyle w:val="TableContents"/>
              <w:bidi w:val="0"/>
              <w:spacing w:before="0" w:after="283"/>
              <w:ind w:left="0" w:right="0" w:firstLine="29"/>
              <w:jc w:val="left"/>
              <w:rPr/>
            </w:pPr>
            <w:r>
              <w:rPr/>
              <w:t> </w:t>
            </w:r>
          </w:p>
        </w:tc>
      </w:tr>
      <w:tr>
        <w:trPr/>
        <w:tc>
          <w:tcPr>
            <w:tcW w:w="4325" w:type="dxa"/>
            <w:tcBorders/>
            <w:shd w:fill="FFFFFF" w:val="clear"/>
            <w:vAlign w:val="center"/>
          </w:tcPr>
          <w:p>
            <w:pPr>
              <w:pStyle w:val="TableContents"/>
              <w:bidi w:val="0"/>
              <w:spacing w:before="0" w:after="283"/>
              <w:jc w:val="left"/>
              <w:rPr/>
            </w:pPr>
            <w:r>
              <w:rPr/>
              <w:t>Customer credit and gift card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6.5</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6.7</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Operating lease liabilities</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5.7</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5.6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4.7</w:t>
            </w:r>
          </w:p>
        </w:tc>
        <w:tc>
          <w:tcPr>
            <w:tcW w:w="374" w:type="dxa"/>
            <w:tcBorders/>
            <w:shd w:fill="D5EAEA" w:val="clear"/>
            <w:vAlign w:val="center"/>
          </w:tcPr>
          <w:p>
            <w:pPr>
              <w:pStyle w:val="TableContents"/>
              <w:bidi w:val="0"/>
              <w:spacing w:before="0" w:after="283"/>
              <w:ind w:left="0" w:right="0" w:firstLine="299"/>
              <w:jc w:val="left"/>
              <w:rPr/>
            </w:pPr>
            <w:r>
              <w:rPr/>
              <w:t> </w:t>
            </w:r>
          </w:p>
        </w:tc>
      </w:tr>
      <w:tr>
        <w:trPr/>
        <w:tc>
          <w:tcPr>
            <w:tcW w:w="4325" w:type="dxa"/>
            <w:tcBorders/>
            <w:shd w:fill="FFFFFF" w:val="clear"/>
            <w:vAlign w:val="center"/>
          </w:tcPr>
          <w:p>
            <w:pPr>
              <w:pStyle w:val="TableContents"/>
              <w:bidi w:val="0"/>
              <w:spacing w:before="0" w:after="283"/>
              <w:jc w:val="left"/>
              <w:rPr/>
            </w:pPr>
            <w:r>
              <w:rPr/>
              <w:t>Total current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66.1</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47.4</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Long-term debt, net</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157.5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156.6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333.7</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Operating lease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32.8</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41.0</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Other liabilities</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1.5</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0.4</w:t>
            </w:r>
          </w:p>
        </w:tc>
        <w:tc>
          <w:tcPr>
            <w:tcW w:w="374" w:type="dxa"/>
            <w:tcBorders/>
            <w:shd w:fill="D5EAEA" w:val="clear"/>
            <w:vAlign w:val="center"/>
          </w:tcPr>
          <w:p>
            <w:pPr>
              <w:pStyle w:val="TableContents"/>
              <w:bidi w:val="0"/>
              <w:spacing w:before="0" w:after="283"/>
              <w:ind w:left="0" w:right="0" w:firstLine="299"/>
              <w:jc w:val="left"/>
              <w:rPr/>
            </w:pPr>
            <w:r>
              <w:rPr/>
              <w:t> </w:t>
            </w:r>
          </w:p>
        </w:tc>
      </w:tr>
      <w:tr>
        <w:trPr/>
        <w:tc>
          <w:tcPr>
            <w:tcW w:w="4325" w:type="dxa"/>
            <w:tcBorders/>
            <w:shd w:fill="FFFFFF" w:val="clear"/>
            <w:vAlign w:val="center"/>
          </w:tcPr>
          <w:p>
            <w:pPr>
              <w:pStyle w:val="TableContents"/>
              <w:bidi w:val="0"/>
              <w:spacing w:before="0" w:after="283"/>
              <w:jc w:val="left"/>
              <w:rPr/>
            </w:pPr>
            <w:r>
              <w:rPr/>
              <w:t>Total liabilities</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257.9</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422.5</w:t>
            </w:r>
          </w:p>
        </w:tc>
        <w:tc>
          <w:tcPr>
            <w:tcW w:w="374" w:type="dxa"/>
            <w:tcBorders/>
            <w:shd w:fill="FFFFFF" w:val="clear"/>
            <w:vAlign w:val="center"/>
          </w:tcPr>
          <w:p>
            <w:pPr>
              <w:pStyle w:val="TableContents"/>
              <w:bidi w:val="0"/>
              <w:spacing w:before="0" w:after="283"/>
              <w:jc w:val="left"/>
              <w:rPr/>
            </w:pPr>
            <w:r>
              <w:rPr/>
              <w:t> </w:t>
            </w:r>
          </w:p>
        </w:tc>
      </w:tr>
      <w:tr>
        <w:trPr/>
        <w:tc>
          <w:tcPr>
            <w:tcW w:w="4325" w:type="dxa"/>
            <w:tcBorders/>
            <w:shd w:fill="D5EAEA" w:val="clear"/>
            <w:vAlign w:val="center"/>
          </w:tcPr>
          <w:p>
            <w:pPr>
              <w:pStyle w:val="TableContents"/>
              <w:bidi w:val="0"/>
              <w:spacing w:before="0" w:after="283"/>
              <w:jc w:val="left"/>
              <w:rPr/>
            </w:pPr>
            <w:r>
              <w:rPr/>
              <w:t>Additional paid-in capital</w:t>
              <w:tab/>
            </w:r>
          </w:p>
        </w:tc>
        <w:tc>
          <w:tcPr>
            <w:tcW w:w="60" w:type="dxa"/>
            <w:tcBorders/>
            <w:shd w:fill="D5EAEA" w:val="clear"/>
            <w:vAlign w:val="center"/>
          </w:tcPr>
          <w:p>
            <w:pPr>
              <w:pStyle w:val="TableContents"/>
              <w:bidi w:val="0"/>
              <w:spacing w:before="0" w:after="283"/>
              <w:jc w:val="left"/>
              <w:rPr/>
            </w:pPr>
            <w:r>
              <w:rPr/>
              <w:t> </w:t>
            </w:r>
          </w:p>
        </w:tc>
        <w:tc>
          <w:tcPr>
            <w:tcW w:w="186" w:type="dxa"/>
            <w:tcBorders/>
            <w:shd w:fill="D5EAEA" w:val="clear"/>
            <w:vAlign w:val="center"/>
          </w:tcPr>
          <w:p>
            <w:pPr>
              <w:pStyle w:val="TableContents"/>
              <w:bidi w:val="0"/>
              <w:spacing w:before="0" w:after="283"/>
              <w:jc w:val="left"/>
              <w:rPr/>
            </w:pPr>
            <w:r>
              <w:rPr/>
              <w:t> </w:t>
            </w:r>
          </w:p>
        </w:tc>
        <w:tc>
          <w:tcPr>
            <w:tcW w:w="1086" w:type="dxa"/>
            <w:tcBorders/>
            <w:shd w:fill="D5EAEA" w:val="clear"/>
            <w:vAlign w:val="center"/>
          </w:tcPr>
          <w:p>
            <w:pPr>
              <w:pStyle w:val="TableContents"/>
              <w:bidi w:val="0"/>
              <w:spacing w:before="0" w:after="283"/>
              <w:jc w:val="right"/>
              <w:rPr/>
            </w:pPr>
            <w:r>
              <w:rPr/>
              <w:t>1,066.7</w:t>
            </w:r>
          </w:p>
        </w:tc>
        <w:tc>
          <w:tcPr>
            <w:tcW w:w="126"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1,064.3</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40" w:type="dxa"/>
            <w:tcBorders/>
            <w:shd w:fill="D5EAEA" w:val="clear"/>
            <w:vAlign w:val="center"/>
          </w:tcPr>
          <w:p>
            <w:pPr>
              <w:pStyle w:val="TableContents"/>
              <w:bidi w:val="0"/>
              <w:spacing w:before="0" w:after="283"/>
              <w:jc w:val="left"/>
              <w:rPr/>
            </w:pPr>
            <w:r>
              <w:rPr/>
              <w:t> </w:t>
            </w:r>
          </w:p>
        </w:tc>
        <w:tc>
          <w:tcPr>
            <w:tcW w:w="815" w:type="dxa"/>
            <w:tcBorders/>
            <w:shd w:fill="D5EAEA" w:val="clear"/>
            <w:vAlign w:val="center"/>
          </w:tcPr>
          <w:p>
            <w:pPr>
              <w:pStyle w:val="TableContents"/>
              <w:bidi w:val="0"/>
              <w:spacing w:before="0" w:after="283"/>
              <w:jc w:val="right"/>
              <w:rPr/>
            </w:pPr>
            <w:r>
              <w:rPr/>
              <w:t>940.5</w:t>
            </w:r>
          </w:p>
        </w:tc>
        <w:tc>
          <w:tcPr>
            <w:tcW w:w="374" w:type="dxa"/>
            <w:tcBorders/>
            <w:shd w:fill="D5EAEA"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Accumulated deficit</w:t>
              <w:tab/>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(1,132.2</w:t>
            </w:r>
          </w:p>
        </w:tc>
        <w:tc>
          <w:tcPr>
            <w:tcW w:w="12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(1,123.0</w:t>
            </w:r>
          </w:p>
        </w:tc>
        <w:tc>
          <w:tcPr>
            <w:tcW w:w="374" w:type="dxa"/>
            <w:tcBorders/>
            <w:shd w:fill="FFFFFF" w:val="clear"/>
            <w:vAlign w:val="center"/>
          </w:tcPr>
          <w:p>
            <w:pPr>
              <w:pStyle w:val="TableContents"/>
              <w:bidi w:val="0"/>
              <w:spacing w:before="0" w:after="283"/>
              <w:ind w:left="0" w:right="0" w:hanging="173"/>
              <w:jc w:val="left"/>
              <w:rPr/>
            </w:pPr>
            <w:r>
              <w:rPr/>
              <w:t>)</w:t>
            </w:r>
          </w:p>
        </w:tc>
      </w:tr>
      <w:tr>
        <w:trPr/>
        <w:tc>
          <w:tcPr>
            <w:tcW w:w="4325" w:type="dxa"/>
            <w:tcBorders/>
            <w:shd w:fill="D5EAEA" w:val="clear"/>
            <w:vAlign w:val="center"/>
          </w:tcPr>
          <w:p>
            <w:pPr>
              <w:pStyle w:val="TableContents"/>
              <w:bidi w:val="0"/>
              <w:spacing w:before="0" w:after="283"/>
              <w:jc w:val="left"/>
              <w:rPr/>
            </w:pPr>
            <w:r>
              <w:rPr/>
              <w:t>Total stockholders’ equity (deficit)</w:t>
              <w:tab/>
            </w:r>
          </w:p>
        </w:tc>
        <w:tc>
          <w:tcPr>
            <w:tcW w:w="60" w:type="dxa"/>
            <w:tcBorders/>
            <w:shd w:fill="D5EAEA" w:val="clear"/>
            <w:vAlign w:val="center"/>
          </w:tcPr>
          <w:p>
            <w:pPr>
              <w:pStyle w:val="TableContents"/>
              <w:bidi w:val="0"/>
              <w:spacing w:before="0" w:after="283"/>
              <w:jc w:val="left"/>
              <w:rPr/>
            </w:pPr>
            <w:r>
              <w:rPr/>
              <w:t> </w:t>
            </w:r>
          </w:p>
        </w:tc>
        <w:tc>
          <w:tcPr>
            <w:tcW w:w="18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86" w:type="dxa"/>
            <w:tcBorders>
              <w:bottom w:val="single" w:sz="8" w:space="0" w:color="000000"/>
            </w:tcBorders>
            <w:shd w:fill="D5EAEA" w:val="clear"/>
            <w:tcMar>
              <w:bottom w:w="28" w:type="dxa"/>
            </w:tcMar>
            <w:vAlign w:val="center"/>
          </w:tcPr>
          <w:p>
            <w:pPr>
              <w:pStyle w:val="TableContents"/>
              <w:bidi w:val="0"/>
              <w:spacing w:before="0" w:after="283"/>
              <w:jc w:val="right"/>
              <w:rPr/>
            </w:pPr>
            <w:r>
              <w:rPr/>
              <w:t>(65.5</w:t>
            </w:r>
          </w:p>
        </w:tc>
        <w:tc>
          <w:tcPr>
            <w:tcW w:w="126"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(36.1</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14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D5EAEA" w:val="clear"/>
            <w:tcMar>
              <w:bottom w:w="28" w:type="dxa"/>
            </w:tcMar>
            <w:vAlign w:val="center"/>
          </w:tcPr>
          <w:p>
            <w:pPr>
              <w:pStyle w:val="TableContents"/>
              <w:bidi w:val="0"/>
              <w:spacing w:before="0" w:after="283"/>
              <w:jc w:val="right"/>
              <w:rPr/>
            </w:pPr>
            <w:r>
              <w:rPr/>
              <w:t>(182.5</w:t>
            </w:r>
          </w:p>
        </w:tc>
        <w:tc>
          <w:tcPr>
            <w:tcW w:w="374" w:type="dxa"/>
            <w:tcBorders/>
            <w:shd w:fill="D5EAEA" w:val="clear"/>
            <w:vAlign w:val="center"/>
          </w:tcPr>
          <w:p>
            <w:pPr>
              <w:pStyle w:val="TableContents"/>
              <w:bidi w:val="0"/>
              <w:spacing w:before="0" w:after="283"/>
              <w:ind w:left="0" w:right="0" w:hanging="173"/>
              <w:jc w:val="left"/>
              <w:rPr/>
            </w:pPr>
            <w:r>
              <w:rPr/>
              <w:t>)</w:t>
            </w:r>
          </w:p>
        </w:tc>
      </w:tr>
      <w:tr>
        <w:trPr/>
        <w:tc>
          <w:tcPr>
            <w:tcW w:w="4325" w:type="dxa"/>
            <w:tcBorders/>
            <w:shd w:fill="FFFFFF" w:val="clear"/>
            <w:vAlign w:val="center"/>
          </w:tcPr>
          <w:p>
            <w:pPr>
              <w:pStyle w:val="TableContents"/>
              <w:bidi w:val="0"/>
              <w:spacing w:before="0" w:after="283"/>
              <w:jc w:val="left"/>
              <w:rPr/>
            </w:pPr>
            <w:r>
              <w:rPr/>
              <w:t>Total liabilities and stockholders’ equity</w:t>
              <w:tab/>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6" w:type="dxa"/>
            <w:tcBorders>
              <w:bottom w:val="single" w:sz="8" w:space="0" w:color="000000"/>
            </w:tcBorders>
            <w:shd w:fill="FFFFFF" w:val="clear"/>
            <w:tcMar>
              <w:bottom w:w="28" w:type="dxa"/>
            </w:tcMar>
            <w:vAlign w:val="center"/>
          </w:tcPr>
          <w:p>
            <w:pPr>
              <w:pStyle w:val="TableContents"/>
              <w:bidi w:val="0"/>
              <w:spacing w:before="0" w:after="283"/>
              <w:jc w:val="right"/>
              <w:rPr/>
            </w:pPr>
            <w:r>
              <w:rPr/>
              <w:t>192.4</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240.0</w:t>
            </w:r>
          </w:p>
        </w:tc>
        <w:tc>
          <w:tcPr>
            <w:tcW w:w="37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Class A Common Stock involves risks. Before you make a decision to buy our Class A Common Stock, you should carefully consider the following risks, together with other risks incorporated by reference in this prospectus from our most recent Annual Report on Form 10-K and any subsequent Quarterly Reports on Form 10-Q or Current Reports on Form 8-K, and all other information contained or incorporated by reference into this prospectus, and the risks and information contained in any applicable prospectus supplement or free writing prospectus. See “Where You Can Find More Information.” These risks could have a material adverse effect on our business, financial condition and results of operations. The trading price of our Class A Common Stock could decline due to any of these risks, and you may lose all or part of your investment. Additionally, the risks and uncertainties incorporated by reference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subscription price determined for this offering is not necessarily an indication of the fair value of our Class A Common Stock.</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was determined in connection with the negotiation of the Backstop Agreement and represents the greater of (i) volume weighted average price of our Class A Common Stock over the 15-day trading period ending on the second trading day preceding the date of the Backstop Agreement and (ii) the volume weighted average price of our Class A Common Stock for the 15-day trading period through and including the Record Date (as defined below). The subscription price does not necessarily bear any relationship to the book value of our assets or our past operations, cash flows, losses, financial condition, net worth or any other established criteria used to value securities. As a result, you should not consider the subscription price to be an indication of the fair value of the Class A Common Stock to be offered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right will entitle its holder to purchase additional shares of Class A Common Stock on a pro rata basis relative to their ownership interest in us as of the Record Date;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As of September 25, 2026, we had outstanding 33,774,121 shares of Class A Common Stock. As a result, each right entitles its holder to approximately 0.1251 shares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Stockholders who do not fully exercise their rights in this offering will have their interests diluted. </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result in the issuance of up to an additional 4,225,352 shares of our Class A Common Stock. If you choose not to fully exercise your rights prior to the expiration of this offering, your proportionate voting interest will be reduced and your relative ownership interest in us will be further diluted. Rights holders who do not exercise or sell their rights prior to the Expiration Date will lose any value represented by their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Backstop Agreement with the Investor Group, pursuant to which the Investor Group has agreed to purchase from us, as a price per share equal to the subscription price, all unsubscribed shares of Class A Common Stock in this offering for cash, such that the gross proceeds of this offering would be $15 million. If no rights holders were to exercise their rights in this offering, the transactions contemplated by the Backstop Agreement would result in the issuance of 4,225,352 shares of our Class A Common Stock to the Investor Group, which would increase the Investor Groups’ ownership percentage to over 86.2% of our outstanding Class A Common Stock as of the closing, after giving effect to the Rights Offering and based on 33,774,121 shares of Class A Common Stock outstanding as of September 25,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management will have broad discretion over the use of the net proceeds from this offering, you may not agree with how we use the proceeds, and we may not invest the proceeds successfully.</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anticipate that we will use the net proceeds of this offering for general corporate purposes. Our management may allocate the proceeds for these purposes as it deems appropriate. In addition, market factors or other considerations may inform our management’s decision to allocate all or a portion of the proceeds for other purposes. Accordingly, you will be relying on the judgment and discretion of our management with regard to the use of proceeds from this offering, and you will not have the opportunity, as part of your investment decision, to assess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using the proceeds appropriately. It is possible that we may invest the proceeds in a way that does not yield a favorable, or any, return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not revoke your subscription exercise and could be committed to buying shares of Class A Common Stock above the prevailing market price.</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you exercise your rights, you may not revoke the exercise. The public trading market price of our Class A Common Stock may decline before the rights expire. If you exercise your rights, you will have committed to buying shares of our Class A Common Stock potentially at a price above the prevailing market price. Additionally, you may be unable to sell your shares of Class A Common Stock at a price equal to or greater than the subscription price you paid for such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or terminate this offering at any time prior to the Expiration Date, and neither we nor the Subscription Agent will have any obligation to you except to return your exercise payments.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our sole discretion, amend the terms of this offering, decide not to continue with this offering or terminate this offering prior to the Expiration Date. If this offering is terminated, the Subscription Agent will return all exercise payments as soon as possible, without interest or deduction.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must act promptly and follow instructions carefully if you want to exercise your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participants and, if applicable, brokers, banks or other nominees acting on their behalf, who desire to purchase Class A Common Stock in this offering must act promptly to ensure that all required rights certificates are actually received prior to the Expiration Date and that all payments are actually received prior to the payment deadline by the Subscription Agent. The time period to exercise rights is limited. If you or your broker fails to complete and sign the required rights certificates, sends an incorrect payment amount or otherwise fails to follow the procedures that apply to the exercise of your rights, we may, depending on the circumstances, reject your exercise of rights or accept it only to the extent of the payment received. Neither we nor the Subscription Agent will correct, or attempt to correct, an incomplete or incorrect rights certificate or payment or contact you concerning whether a broker, bank or other nominee holds rights on your behalf. We have the sole discretion to determine whether an exercise properly follows the procedures that apply to the exercise of your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only be able to transfer your rights for a short period of time.</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transferable until 5:00 p.m., New York City time, on October 14, 2026, unless extended as described herein. It can take up to five business days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If you fail to transfer your rights in enough time to allow for the transfer process to be completed, you will not be able to transfer your rights. Neither we nor the Subscription Agent shall have any liability to a transferee or transferor of rights if rights certificates are not received in time for exercise prior to the Expiration Date (or, if this offering is extended, the extended Expiration Date). For more information, see “Description of the Rights Offering—Transfers and Sales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prior market exists for the rights, and a liquid and reliable market for the rights may not develop.</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a new issue of securities with no established trading market. Unless indicated otherwise, the rights are transferable until 5:00 p.m., New York City time, on October 14, 2026. Unless exercised, the rights will cease to have any value following the Expiration Date. We are not responsible if you elect to sell your rights and no public or private market exists to facilitate the purchase of rights prior to the Expiration Date. In such event, the rights will no longer be exercisable or transferable.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sales of rights and our Class A Common Stock, or the perception that significant sales may occur in the future, could adversely affect the market price for the rights and our Class A Common Stock.</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substantial amounts of the subscription rights and our Class A Common Stock could adversely affect the price of these securities. Sales of substantial amounts of our rights and our Class A Common Stock in the public market, and the availability of shares of our Class A Common Stock for future sale, including up to 4,225,352 shares of our Class A Common Stock to be issued in this offering, could cause the market price of our Class A Common Stock to remain low for a substantial amount of time. If a significant percentage of such available shares of Class A Common Stock and rights were attempted to be sold within a short period of time, the market for shares of our Class A Common Stock and the rights would be adversely affected. Even if a substantial number of sales do not occur within a short period of time, the mere perception that such sales would occur could have a negative impact on the market for our Class A Common Stock and the rights and our ability to raise additional capital. Pursuant to the Investor Rights Agreement, the Investor Group has certain registration rights, including demand and piggyback rights. Such holders can demand that we prepare and file with the SEC, a shelf registration statement registering the resale of Class A Common Stock held by the Investor Group.  Any disposition by the Investor Group of our Class A Common Stock in the public market, or the perception that such dispositions could occur, could adversely affect prevailing market prices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maintain the listing of our Class A common stock on Nasdaq if we do not continue to satisfy Nasdaq’s listing requirements.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Global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5450(b)(2)(C) (the “Nasdaq Continued Listing Rule”) requires us to maintain a minimum market value of publicly held shares (“MVPHS”) of $15.0 million to remain listed on the Nasdaq Global Market. As of September 10, 2026, our MVPHS was approximately $14.3 million, which was below this minimum threshold. If the MVPHS for our Class A common stock remains below $15.0 million for the 30 consecutive business days ended October 21, 2026, we would expect to receive written notice of such noncompliance from the Nasdaq Listing Qualifications Department of Nasdaq. Following receipt of such notice, we would generally have a period of 180 calendar days to regain compliance with the minimum MVPHS requirement to remain listed on the Nasdaq Global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regain compliance with the Nasdaq Continued Listing Rule through an increase of our MVPHS, whether as a result of an increase in the market price of our Class A common stock or an increase in the number of outstanding shares held by non-affiliates, including through purchases by non-affiliates in the Rights Offering or another offering.  However, there can be no assurance that our MVPHS will increase or that we will be able to regain compliance within any applicable cure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satisfy the applicable requirements of the Nasdaq Capital Market, which requires, among other things, a $1.0 million MVPHS, Nasdaq may permit us to transfer the listing of our Class A common stock from the Nasdaq Global Market to the Nasdaq Capital Market. However, there can be no assurance that we would qualify for, or that Nasdaq would approve, such a transfer. If our Class A common stock were delisted from Nasdaq, or if investors perceived that such a delisting were likely, the liquidity and market price of our Class A common stock could be adversely affected, and our ability to raise additional capital could be significantly impaired. Any such delisting could also materially impair stockholders’ ability to buy and sell our Class A common stock and adversely affect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and the documents incorporated by reference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prospectus and the documents incorporated by reference include, but are not limited to, statements regarding our ability to complete this offering on the anticipated terms, or at all; the timing of completion and the anticipated benefits of this offering; the ability to exercise the oversubscription privilege; and the ability to transfer and sell rights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described under the heading “Risk Factors” in our Quarterly Report on Form 10-Q for the period ended July 31, 2026, and those identified under “Risk Factors” beginning on page 8 of this prospectus.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prospectus, whether as a result of any new information, future events or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net proceeds from the sale of Class A Common Stock in this offering and pursuant to the Backstop Agreement will be approximately $14.3 million, after deducting offering expenses payable by us. We intend to use the net proceeds from this offering for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July 31, 2026:</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663"/>
        <w:gridCol w:w="9341"/>
      </w:tblGrid>
      <w:tr>
        <w:trPr/>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rFonts w:ascii="Symbol" w:hAnsi="Symbol"/>
              </w:rPr>
            </w:pPr>
            <w:r>
              <w:rPr>
                <w:rFonts w:ascii="Symbol" w:hAnsi="Symbol"/>
              </w:rPr>
              <w:t>·</w:t>
            </w:r>
          </w:p>
        </w:tc>
        <w:tc>
          <w:tcPr>
            <w:tcW w:w="9341" w:type="dxa"/>
            <w:tcBorders/>
            <w:vAlign w:val="center"/>
          </w:tcPr>
          <w:p>
            <w:pPr>
              <w:pStyle w:val="TableContents"/>
              <w:bidi w:val="0"/>
              <w:spacing w:before="0" w:after="283"/>
              <w:jc w:val="left"/>
              <w:rPr/>
            </w:pPr>
            <w:r>
              <w:rPr/>
              <w:t>on an actual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an adjusted basis to reflect (a) the sale by us of up to 4,225,352 shares of Class A Common Stock, par value $0.001 per share, at the subscription price of $3.55 per share, after deducting offering expenses payable by us and (b) $10,000,000 aggregate principal amount of the Third Amendment Incremental Term Loan Facility, after deducting fees and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should be read together with our Quarterly Report on Form 10-Q for the period ended July 31, 2026, our Annual Report on Form 10-K for the year ended January 31, 2026, the financial statements included therein, the related notes thereto and the other financial data appearing elsewhere or incorporated by reference in this prospectus.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3"/>
        <w:gridCol w:w="23"/>
        <w:gridCol w:w="140"/>
        <w:gridCol w:w="815"/>
        <w:gridCol w:w="95"/>
        <w:gridCol w:w="23"/>
        <w:gridCol w:w="150"/>
        <w:gridCol w:w="875"/>
        <w:gridCol w:w="71"/>
      </w:tblGrid>
      <w:tr>
        <w:trPr/>
        <w:tc>
          <w:tcPr>
            <w:tcW w:w="801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16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As of July 31, 2026</w:t>
            </w:r>
          </w:p>
        </w:tc>
      </w:tr>
      <w:tr>
        <w:trPr/>
        <w:tc>
          <w:tcPr>
            <w:tcW w:w="8013" w:type="dxa"/>
            <w:tcBorders>
              <w:bottom w:val="single" w:sz="8" w:space="0" w:color="000000"/>
            </w:tcBorders>
            <w:tcMar>
              <w:bottom w:w="28" w:type="dxa"/>
            </w:tcMar>
            <w:vAlign w:val="center"/>
          </w:tcPr>
          <w:p>
            <w:pPr>
              <w:pStyle w:val="TableContents"/>
              <w:bidi w:val="0"/>
              <w:spacing w:before="0" w:after="283"/>
              <w:jc w:val="left"/>
              <w:rPr>
                <w:b/>
              </w:rPr>
            </w:pPr>
            <w:r>
              <w:rPr>
                <w:b/>
              </w:rPr>
              <w:t>(in millions, except share and per share data, unaudited)</w:t>
            </w:r>
          </w:p>
        </w:tc>
        <w:tc>
          <w:tcPr>
            <w:tcW w:w="23" w:type="dxa"/>
            <w:tcBorders/>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23" w:type="dxa"/>
            <w:tcBorders/>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As Adjusted</w:t>
            </w:r>
          </w:p>
        </w:tc>
      </w:tr>
      <w:tr>
        <w:trPr/>
        <w:tc>
          <w:tcPr>
            <w:tcW w:w="8013" w:type="dxa"/>
            <w:tcBorders/>
            <w:shd w:fill="D5EAEA" w:val="clear"/>
            <w:vAlign w:val="center"/>
          </w:tcPr>
          <w:p>
            <w:pPr>
              <w:pStyle w:val="TableContents"/>
              <w:bidi w:val="0"/>
              <w:spacing w:before="0" w:after="283"/>
              <w:jc w:val="left"/>
              <w:rPr/>
            </w:pPr>
            <w:r>
              <w:rPr/>
              <w:t>Cash and cash equivalents</w:t>
            </w:r>
            <w:r>
              <w:rPr>
                <w:position w:val="8"/>
                <w:sz w:val="19"/>
              </w:rPr>
              <w:t>(1)</w:t>
            </w:r>
            <w:r>
              <w:rPr/>
              <w:tab/>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bottom w:val="double" w:sz="6" w:space="0" w:color="000000"/>
            </w:tcBorders>
            <w:shd w:fill="D5EAEA"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D5EAEA" w:val="clear"/>
            <w:tcMar>
              <w:bottom w:w="28" w:type="dxa"/>
            </w:tcMar>
            <w:vAlign w:val="center"/>
          </w:tcPr>
          <w:p>
            <w:pPr>
              <w:pStyle w:val="TableContents"/>
              <w:bidi w:val="0"/>
              <w:spacing w:before="0" w:after="283"/>
              <w:jc w:val="right"/>
              <w:rPr/>
            </w:pPr>
            <w:r>
              <w:rPr/>
              <w:t>29.0</w:t>
            </w:r>
          </w:p>
        </w:tc>
        <w:tc>
          <w:tcPr>
            <w:tcW w:w="95"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D5EAEA"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D5EAEA" w:val="clear"/>
            <w:tcMar>
              <w:bottom w:w="28" w:type="dxa"/>
            </w:tcMar>
            <w:vAlign w:val="center"/>
          </w:tcPr>
          <w:p>
            <w:pPr>
              <w:pStyle w:val="TableContents"/>
              <w:bidi w:val="0"/>
              <w:spacing w:before="0" w:after="283"/>
              <w:jc w:val="right"/>
              <w:rPr/>
            </w:pPr>
            <w:r>
              <w:rPr/>
              <w:t>53.2</w:t>
            </w:r>
          </w:p>
        </w:tc>
        <w:tc>
          <w:tcPr>
            <w:tcW w:w="71"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r>
      <w:tr>
        <w:trPr/>
        <w:tc>
          <w:tcPr>
            <w:tcW w:w="8013" w:type="dxa"/>
            <w:tcBorders/>
            <w:shd w:fill="FFFFFF" w:val="clear"/>
            <w:vAlign w:val="center"/>
          </w:tcPr>
          <w:p>
            <w:pPr>
              <w:pStyle w:val="TableContents"/>
              <w:bidi w:val="0"/>
              <w:spacing w:before="0" w:after="283"/>
              <w:jc w:val="left"/>
              <w:rPr/>
            </w:pPr>
            <w:r>
              <w:rPr/>
              <w:t>Debt: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875" w:type="dxa"/>
            <w:tcBorders/>
            <w:shd w:fill="FFFFFF" w:val="clear"/>
            <w:vAlign w:val="center"/>
          </w:tcPr>
          <w:p>
            <w:pPr>
              <w:pStyle w:val="TableContents"/>
              <w:bidi w:val="0"/>
              <w:spacing w:before="0" w:after="283"/>
              <w:jc w:val="left"/>
              <w:rPr>
                <w:sz w:val="4"/>
                <w:szCs w:val="4"/>
              </w:rPr>
            </w:pPr>
            <w:r>
              <w:rPr>
                <w:sz w:val="4"/>
                <w:szCs w:val="4"/>
              </w:rPr>
            </w:r>
          </w:p>
        </w:tc>
        <w:tc>
          <w:tcPr>
            <w:tcW w:w="71" w:type="dxa"/>
            <w:tcBorders/>
            <w:shd w:fill="FFFFFF" w:val="clear"/>
            <w:vAlign w:val="center"/>
          </w:tcPr>
          <w:p>
            <w:pPr>
              <w:pStyle w:val="TableContents"/>
              <w:bidi w:val="0"/>
              <w:spacing w:before="0" w:after="283"/>
              <w:jc w:val="left"/>
              <w:rPr>
                <w:sz w:val="4"/>
                <w:szCs w:val="4"/>
              </w:rPr>
            </w:pPr>
            <w:r>
              <w:rPr>
                <w:sz w:val="4"/>
                <w:szCs w:val="4"/>
              </w:rPr>
            </w:r>
          </w:p>
        </w:tc>
      </w:tr>
      <w:tr>
        <w:trPr/>
        <w:tc>
          <w:tcPr>
            <w:tcW w:w="8013" w:type="dxa"/>
            <w:tcBorders/>
            <w:shd w:fill="D5EAEA" w:val="clear"/>
            <w:vAlign w:val="center"/>
          </w:tcPr>
          <w:p>
            <w:pPr>
              <w:pStyle w:val="TableContents"/>
              <w:bidi w:val="0"/>
              <w:spacing w:before="0" w:after="283"/>
              <w:jc w:val="left"/>
              <w:rPr/>
            </w:pPr>
            <w:r>
              <w:rPr/>
              <w:t>Current liabilities</w:t>
            </w:r>
            <w:r>
              <w:rPr>
                <w:position w:val="8"/>
                <w:sz w:val="19"/>
              </w:rPr>
              <w:t>‎</w:t>
            </w:r>
            <w:r>
              <w:rPr/>
              <w:tab/>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66.1</w:t>
            </w:r>
          </w:p>
        </w:tc>
        <w:tc>
          <w:tcPr>
            <w:tcW w:w="9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0" w:type="dxa"/>
            <w:tcBorders/>
            <w:shd w:fill="D5EAEA" w:val="clear"/>
            <w:vAlign w:val="center"/>
          </w:tcPr>
          <w:p>
            <w:pPr>
              <w:pStyle w:val="TableContents"/>
              <w:bidi w:val="0"/>
              <w:spacing w:before="0" w:after="283"/>
              <w:jc w:val="left"/>
              <w:rPr/>
            </w:pPr>
            <w:r>
              <w:rPr/>
              <w:t>$</w:t>
            </w:r>
          </w:p>
        </w:tc>
        <w:tc>
          <w:tcPr>
            <w:tcW w:w="875" w:type="dxa"/>
            <w:tcBorders/>
            <w:shd w:fill="D5EAEA" w:val="clear"/>
            <w:vAlign w:val="center"/>
          </w:tcPr>
          <w:p>
            <w:pPr>
              <w:pStyle w:val="TableContents"/>
              <w:bidi w:val="0"/>
              <w:spacing w:before="0" w:after="283"/>
              <w:jc w:val="right"/>
              <w:rPr/>
            </w:pPr>
            <w:r>
              <w:rPr/>
              <w:t>66.1</w:t>
            </w:r>
          </w:p>
        </w:tc>
        <w:tc>
          <w:tcPr>
            <w:tcW w:w="71" w:type="dxa"/>
            <w:tcBorders/>
            <w:shd w:fill="D5EAEA" w:val="clear"/>
            <w:vAlign w:val="center"/>
          </w:tcPr>
          <w:p>
            <w:pPr>
              <w:pStyle w:val="TableContents"/>
              <w:bidi w:val="0"/>
              <w:spacing w:before="0" w:after="283"/>
              <w:jc w:val="left"/>
              <w:rPr>
                <w:sz w:val="4"/>
                <w:szCs w:val="4"/>
              </w:rPr>
            </w:pPr>
            <w:r>
              <w:rPr>
                <w:sz w:val="4"/>
                <w:szCs w:val="4"/>
              </w:rPr>
            </w:r>
          </w:p>
        </w:tc>
      </w:tr>
      <w:tr>
        <w:trPr/>
        <w:tc>
          <w:tcPr>
            <w:tcW w:w="8013" w:type="dxa"/>
            <w:tcBorders/>
            <w:shd w:fill="FFFFFF" w:val="clear"/>
            <w:vAlign w:val="center"/>
          </w:tcPr>
          <w:p>
            <w:pPr>
              <w:pStyle w:val="TableContents"/>
              <w:bidi w:val="0"/>
              <w:spacing w:before="0" w:after="283"/>
              <w:jc w:val="left"/>
              <w:rPr/>
            </w:pPr>
            <w:r>
              <w:rPr/>
              <w:t>Long-term debt, net: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875" w:type="dxa"/>
            <w:tcBorders/>
            <w:shd w:fill="FFFFFF" w:val="clear"/>
            <w:vAlign w:val="center"/>
          </w:tcPr>
          <w:p>
            <w:pPr>
              <w:pStyle w:val="TableContents"/>
              <w:bidi w:val="0"/>
              <w:spacing w:before="0" w:after="283"/>
              <w:jc w:val="left"/>
              <w:rPr>
                <w:sz w:val="4"/>
                <w:szCs w:val="4"/>
              </w:rPr>
            </w:pPr>
            <w:r>
              <w:rPr>
                <w:sz w:val="4"/>
                <w:szCs w:val="4"/>
              </w:rPr>
            </w:r>
          </w:p>
        </w:tc>
        <w:tc>
          <w:tcPr>
            <w:tcW w:w="71" w:type="dxa"/>
            <w:tcBorders/>
            <w:shd w:fill="FFFFFF" w:val="clear"/>
            <w:vAlign w:val="center"/>
          </w:tcPr>
          <w:p>
            <w:pPr>
              <w:pStyle w:val="TableContents"/>
              <w:bidi w:val="0"/>
              <w:spacing w:before="0" w:after="283"/>
              <w:ind w:left="0" w:right="0" w:firstLine="23"/>
              <w:jc w:val="left"/>
              <w:rPr>
                <w:sz w:val="4"/>
                <w:szCs w:val="4"/>
              </w:rPr>
            </w:pPr>
            <w:r>
              <w:rPr>
                <w:sz w:val="4"/>
                <w:szCs w:val="4"/>
              </w:rPr>
            </w:r>
          </w:p>
        </w:tc>
      </w:tr>
      <w:tr>
        <w:trPr/>
        <w:tc>
          <w:tcPr>
            <w:tcW w:w="8013" w:type="dxa"/>
            <w:tcBorders/>
            <w:shd w:fill="D5EAEA" w:val="clear"/>
            <w:vAlign w:val="center"/>
          </w:tcPr>
          <w:p>
            <w:pPr>
              <w:pStyle w:val="TableContents"/>
              <w:bidi w:val="0"/>
              <w:spacing w:before="0" w:after="283"/>
              <w:jc w:val="left"/>
              <w:rPr/>
            </w:pPr>
            <w:r>
              <w:rPr/>
              <w:t>New Credit Agreement</w:t>
            </w:r>
            <w:r>
              <w:rPr>
                <w:position w:val="8"/>
                <w:sz w:val="19"/>
              </w:rPr>
              <w:t>(2)</w:t>
            </w:r>
            <w:r>
              <w:rPr/>
              <w:tab/>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sz w:val="4"/>
                <w:szCs w:val="4"/>
              </w:rPr>
            </w:pPr>
            <w:r>
              <w:rPr>
                <w:sz w:val="4"/>
                <w:szCs w:val="4"/>
              </w:rPr>
            </w:r>
          </w:p>
        </w:tc>
        <w:tc>
          <w:tcPr>
            <w:tcW w:w="815" w:type="dxa"/>
            <w:tcBorders/>
            <w:shd w:fill="D5EAEA" w:val="clear"/>
            <w:vAlign w:val="center"/>
          </w:tcPr>
          <w:p>
            <w:pPr>
              <w:pStyle w:val="TableContents"/>
              <w:bidi w:val="0"/>
              <w:spacing w:before="0" w:after="283"/>
              <w:jc w:val="right"/>
              <w:rPr/>
            </w:pPr>
            <w:r>
              <w:rPr/>
              <w:t>157.5</w:t>
            </w:r>
          </w:p>
        </w:tc>
        <w:tc>
          <w:tcPr>
            <w:tcW w:w="9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0" w:type="dxa"/>
            <w:tcBorders/>
            <w:shd w:fill="D5EAEA" w:val="clear"/>
            <w:vAlign w:val="center"/>
          </w:tcPr>
          <w:p>
            <w:pPr>
              <w:pStyle w:val="TableContents"/>
              <w:bidi w:val="0"/>
              <w:spacing w:before="0" w:after="283"/>
              <w:jc w:val="left"/>
              <w:rPr>
                <w:sz w:val="4"/>
                <w:szCs w:val="4"/>
              </w:rPr>
            </w:pPr>
            <w:r>
              <w:rPr>
                <w:sz w:val="4"/>
                <w:szCs w:val="4"/>
              </w:rPr>
            </w:r>
          </w:p>
        </w:tc>
        <w:tc>
          <w:tcPr>
            <w:tcW w:w="875" w:type="dxa"/>
            <w:tcBorders/>
            <w:shd w:fill="D5EAEA" w:val="clear"/>
            <w:vAlign w:val="center"/>
          </w:tcPr>
          <w:p>
            <w:pPr>
              <w:pStyle w:val="TableContents"/>
              <w:bidi w:val="0"/>
              <w:spacing w:before="0" w:after="283"/>
              <w:jc w:val="right"/>
              <w:rPr/>
            </w:pPr>
            <w:r>
              <w:rPr/>
              <w:t>167.4</w:t>
            </w:r>
          </w:p>
        </w:tc>
        <w:tc>
          <w:tcPr>
            <w:tcW w:w="71" w:type="dxa"/>
            <w:tcBorders/>
            <w:shd w:fill="D5EAEA" w:val="clear"/>
            <w:vAlign w:val="center"/>
          </w:tcPr>
          <w:p>
            <w:pPr>
              <w:pStyle w:val="TableContents"/>
              <w:bidi w:val="0"/>
              <w:spacing w:before="0" w:after="283"/>
              <w:jc w:val="left"/>
              <w:rPr>
                <w:sz w:val="4"/>
                <w:szCs w:val="4"/>
              </w:rPr>
            </w:pPr>
            <w:r>
              <w:rPr>
                <w:sz w:val="4"/>
                <w:szCs w:val="4"/>
              </w:rPr>
            </w:r>
          </w:p>
        </w:tc>
      </w:tr>
      <w:tr>
        <w:trPr/>
        <w:tc>
          <w:tcPr>
            <w:tcW w:w="8013" w:type="dxa"/>
            <w:tcBorders/>
            <w:shd w:fill="FFFFFF" w:val="clear"/>
            <w:vAlign w:val="center"/>
          </w:tcPr>
          <w:p>
            <w:pPr>
              <w:pStyle w:val="TableContents"/>
              <w:bidi w:val="0"/>
              <w:spacing w:before="0" w:after="283"/>
              <w:jc w:val="left"/>
              <w:rPr/>
            </w:pPr>
            <w:r>
              <w:rPr/>
              <w:t>Other liabilities</w:t>
            </w:r>
            <w:r>
              <w:rPr>
                <w:position w:val="8"/>
                <w:sz w:val="19"/>
              </w:rPr>
              <w:t>‎(3)</w:t>
            </w:r>
            <w:r>
              <w:rPr/>
              <w:tab/>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double" w:sz="6" w:space="0" w:color="000000"/>
            </w:tcBorders>
            <w:shd w:fill="FFFFFF" w:val="clear"/>
            <w:tcMar>
              <w:bottom w:w="28" w:type="dxa"/>
            </w:tcMar>
            <w:vAlign w:val="center"/>
          </w:tcPr>
          <w:p>
            <w:pPr>
              <w:pStyle w:val="TableContents"/>
              <w:bidi w:val="0"/>
              <w:spacing w:before="0" w:after="283"/>
              <w:jc w:val="right"/>
              <w:rPr/>
            </w:pPr>
            <w:r>
              <w:rPr/>
              <w:t>34.3</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34.3</w:t>
            </w:r>
          </w:p>
        </w:tc>
        <w:tc>
          <w:tcPr>
            <w:tcW w:w="71" w:type="dxa"/>
            <w:tcBorders>
              <w:bottom w:val="double" w:sz="6" w:space="0" w:color="000000"/>
            </w:tcBorders>
            <w:shd w:fill="FFFFFF" w:val="clear"/>
            <w:tcMar>
              <w:bottom w:w="28" w:type="dxa"/>
            </w:tcMar>
            <w:vAlign w:val="center"/>
          </w:tcPr>
          <w:p>
            <w:pPr>
              <w:pStyle w:val="TableContents"/>
              <w:bidi w:val="0"/>
              <w:spacing w:before="0" w:after="283"/>
              <w:ind w:left="0" w:right="0" w:hanging="187"/>
              <w:jc w:val="left"/>
              <w:rPr>
                <w:sz w:val="4"/>
                <w:szCs w:val="4"/>
              </w:rPr>
            </w:pPr>
            <w:r>
              <w:rPr>
                <w:sz w:val="4"/>
                <w:szCs w:val="4"/>
              </w:rPr>
            </w:r>
          </w:p>
        </w:tc>
      </w:tr>
      <w:tr>
        <w:trPr/>
        <w:tc>
          <w:tcPr>
            <w:tcW w:w="8013" w:type="dxa"/>
            <w:tcBorders/>
            <w:shd w:fill="D5EAEA" w:val="clear"/>
            <w:vAlign w:val="center"/>
          </w:tcPr>
          <w:p>
            <w:pPr>
              <w:pStyle w:val="TableContents"/>
              <w:bidi w:val="0"/>
              <w:spacing w:before="0" w:after="283"/>
              <w:jc w:val="left"/>
              <w:rPr/>
            </w:pPr>
            <w:r>
              <w:rPr/>
              <w:t>Total debt</w:t>
              <w:tab/>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pPr>
            <w:r>
              <w:rPr/>
              <w:t>$</w:t>
            </w:r>
          </w:p>
        </w:tc>
        <w:tc>
          <w:tcPr>
            <w:tcW w:w="815" w:type="dxa"/>
            <w:tcBorders/>
            <w:shd w:fill="D5EAEA" w:val="clear"/>
            <w:vAlign w:val="center"/>
          </w:tcPr>
          <w:p>
            <w:pPr>
              <w:pStyle w:val="TableContents"/>
              <w:bidi w:val="0"/>
              <w:spacing w:before="0" w:after="283"/>
              <w:jc w:val="right"/>
              <w:rPr/>
            </w:pPr>
            <w:r>
              <w:rPr/>
              <w:t>257.9</w:t>
            </w:r>
          </w:p>
        </w:tc>
        <w:tc>
          <w:tcPr>
            <w:tcW w:w="9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0" w:type="dxa"/>
            <w:tcBorders/>
            <w:shd w:fill="D5EAEA" w:val="clear"/>
            <w:vAlign w:val="center"/>
          </w:tcPr>
          <w:p>
            <w:pPr>
              <w:pStyle w:val="TableContents"/>
              <w:bidi w:val="0"/>
              <w:spacing w:before="0" w:after="283"/>
              <w:jc w:val="left"/>
              <w:rPr/>
            </w:pPr>
            <w:r>
              <w:rPr/>
              <w:t>$</w:t>
            </w:r>
          </w:p>
        </w:tc>
        <w:tc>
          <w:tcPr>
            <w:tcW w:w="875" w:type="dxa"/>
            <w:tcBorders/>
            <w:shd w:fill="D5EAEA" w:val="clear"/>
            <w:vAlign w:val="center"/>
          </w:tcPr>
          <w:p>
            <w:pPr>
              <w:pStyle w:val="TableContents"/>
              <w:bidi w:val="0"/>
              <w:spacing w:before="0" w:after="283"/>
              <w:jc w:val="right"/>
              <w:rPr/>
            </w:pPr>
            <w:r>
              <w:rPr/>
              <w:t>267.8</w:t>
            </w:r>
          </w:p>
        </w:tc>
        <w:tc>
          <w:tcPr>
            <w:tcW w:w="71" w:type="dxa"/>
            <w:tcBorders/>
            <w:shd w:fill="D5EAEA" w:val="clear"/>
            <w:vAlign w:val="center"/>
          </w:tcPr>
          <w:p>
            <w:pPr>
              <w:pStyle w:val="TableContents"/>
              <w:bidi w:val="0"/>
              <w:spacing w:before="0" w:after="283"/>
              <w:jc w:val="left"/>
              <w:rPr>
                <w:sz w:val="4"/>
                <w:szCs w:val="4"/>
              </w:rPr>
            </w:pPr>
            <w:r>
              <w:rPr>
                <w:sz w:val="4"/>
                <w:szCs w:val="4"/>
              </w:rPr>
            </w:r>
          </w:p>
        </w:tc>
      </w:tr>
      <w:tr>
        <w:trPr/>
        <w:tc>
          <w:tcPr>
            <w:tcW w:w="8013" w:type="dxa"/>
            <w:tcBorders/>
            <w:shd w:fill="FFFFFF" w:val="clear"/>
            <w:vAlign w:val="center"/>
          </w:tcPr>
          <w:p>
            <w:pPr>
              <w:pStyle w:val="TableContents"/>
              <w:bidi w:val="0"/>
              <w:spacing w:before="0" w:after="283"/>
              <w:jc w:val="left"/>
              <w:rPr/>
            </w:pPr>
            <w:r>
              <w:rPr/>
              <w:t>Stockholders’ deficit: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875" w:type="dxa"/>
            <w:tcBorders/>
            <w:shd w:fill="FFFFFF" w:val="clear"/>
            <w:vAlign w:val="center"/>
          </w:tcPr>
          <w:p>
            <w:pPr>
              <w:pStyle w:val="TableContents"/>
              <w:bidi w:val="0"/>
              <w:spacing w:before="0" w:after="283"/>
              <w:jc w:val="left"/>
              <w:rPr>
                <w:sz w:val="4"/>
                <w:szCs w:val="4"/>
              </w:rPr>
            </w:pPr>
            <w:r>
              <w:rPr>
                <w:sz w:val="4"/>
                <w:szCs w:val="4"/>
              </w:rPr>
            </w:r>
          </w:p>
        </w:tc>
        <w:tc>
          <w:tcPr>
            <w:tcW w:w="71" w:type="dxa"/>
            <w:tcBorders/>
            <w:shd w:fill="FFFFFF" w:val="clear"/>
            <w:vAlign w:val="center"/>
          </w:tcPr>
          <w:p>
            <w:pPr>
              <w:pStyle w:val="TableContents"/>
              <w:bidi w:val="0"/>
              <w:spacing w:before="0" w:after="283"/>
              <w:jc w:val="left"/>
              <w:rPr>
                <w:sz w:val="4"/>
                <w:szCs w:val="4"/>
              </w:rPr>
            </w:pPr>
            <w:r>
              <w:rPr>
                <w:sz w:val="4"/>
                <w:szCs w:val="4"/>
              </w:rPr>
            </w:r>
          </w:p>
        </w:tc>
      </w:tr>
      <w:tr>
        <w:trPr/>
        <w:tc>
          <w:tcPr>
            <w:tcW w:w="8013" w:type="dxa"/>
            <w:tcBorders/>
            <w:shd w:fill="D5EAEA" w:val="clear"/>
            <w:vAlign w:val="center"/>
          </w:tcPr>
          <w:p>
            <w:pPr>
              <w:pStyle w:val="TableContents"/>
              <w:bidi w:val="0"/>
              <w:spacing w:before="0" w:after="283"/>
              <w:jc w:val="left"/>
              <w:rPr/>
            </w:pPr>
            <w:r>
              <w:rPr/>
              <w:t>Class A Common Stock, par value $0.001 per share, 300,000,000 shares authorized, 33,757,416 shares issued and outstanding, actual; 300,000,000 shares authorized, 37,982,768 shares issued and outstanding, as adjusted</w:t>
              <w:tab/>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sz w:val="4"/>
                <w:szCs w:val="4"/>
              </w:rPr>
            </w:pPr>
            <w:r>
              <w:rPr>
                <w:sz w:val="4"/>
                <w:szCs w:val="4"/>
              </w:rPr>
            </w:r>
          </w:p>
        </w:tc>
        <w:tc>
          <w:tcPr>
            <w:tcW w:w="815" w:type="dxa"/>
            <w:tcBorders/>
            <w:shd w:fill="D5EAEA" w:val="clear"/>
            <w:vAlign w:val="center"/>
          </w:tcPr>
          <w:p>
            <w:pPr>
              <w:pStyle w:val="TableContents"/>
              <w:bidi w:val="0"/>
              <w:spacing w:before="0" w:after="283"/>
              <w:jc w:val="left"/>
              <w:rPr>
                <w:sz w:val="4"/>
                <w:szCs w:val="4"/>
              </w:rPr>
            </w:pPr>
            <w:r>
              <w:rPr>
                <w:sz w:val="4"/>
                <w:szCs w:val="4"/>
              </w:rPr>
            </w:r>
          </w:p>
        </w:tc>
        <w:tc>
          <w:tcPr>
            <w:tcW w:w="95" w:type="dxa"/>
            <w:tcBorders/>
            <w:shd w:fill="D5EAEA" w:val="cle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0" w:type="dxa"/>
            <w:tcBorders/>
            <w:shd w:fill="D5EAEA" w:val="clear"/>
            <w:vAlign w:val="center"/>
          </w:tcPr>
          <w:p>
            <w:pPr>
              <w:pStyle w:val="TableContents"/>
              <w:bidi w:val="0"/>
              <w:spacing w:before="0" w:after="283"/>
              <w:jc w:val="left"/>
              <w:rPr>
                <w:sz w:val="4"/>
                <w:szCs w:val="4"/>
              </w:rPr>
            </w:pPr>
            <w:r>
              <w:rPr>
                <w:sz w:val="4"/>
                <w:szCs w:val="4"/>
              </w:rPr>
            </w:r>
          </w:p>
        </w:tc>
        <w:tc>
          <w:tcPr>
            <w:tcW w:w="875" w:type="dxa"/>
            <w:tcBorders/>
            <w:shd w:fill="D5EAEA" w:val="clear"/>
            <w:vAlign w:val="center"/>
          </w:tcPr>
          <w:p>
            <w:pPr>
              <w:pStyle w:val="TableContents"/>
              <w:bidi w:val="0"/>
              <w:spacing w:before="0" w:after="283"/>
              <w:jc w:val="left"/>
              <w:rPr>
                <w:sz w:val="4"/>
                <w:szCs w:val="4"/>
              </w:rPr>
            </w:pPr>
            <w:r>
              <w:rPr>
                <w:sz w:val="4"/>
                <w:szCs w:val="4"/>
              </w:rPr>
            </w:r>
          </w:p>
        </w:tc>
        <w:tc>
          <w:tcPr>
            <w:tcW w:w="71" w:type="dxa"/>
            <w:tcBorders/>
            <w:shd w:fill="D5EAEA" w:val="clear"/>
            <w:vAlign w:val="center"/>
          </w:tcPr>
          <w:p>
            <w:pPr>
              <w:pStyle w:val="TableContents"/>
              <w:bidi w:val="0"/>
              <w:spacing w:before="0" w:after="283"/>
              <w:jc w:val="left"/>
              <w:rPr>
                <w:sz w:val="4"/>
                <w:szCs w:val="4"/>
              </w:rPr>
            </w:pPr>
            <w:r>
              <w:rPr>
                <w:sz w:val="4"/>
                <w:szCs w:val="4"/>
              </w:rPr>
            </w:r>
          </w:p>
        </w:tc>
      </w:tr>
      <w:tr>
        <w:trPr/>
        <w:tc>
          <w:tcPr>
            <w:tcW w:w="8013" w:type="dxa"/>
            <w:tcBorders/>
            <w:shd w:fill="FFFFFF" w:val="clear"/>
            <w:vAlign w:val="center"/>
          </w:tcPr>
          <w:p>
            <w:pPr>
              <w:pStyle w:val="TableContents"/>
              <w:bidi w:val="0"/>
              <w:spacing w:before="0" w:after="283"/>
              <w:jc w:val="left"/>
              <w:rPr/>
            </w:pPr>
            <w:r>
              <w:rPr/>
              <w:t>Additional paid-in capital</w:t>
            </w:r>
            <w:r>
              <w:rPr>
                <w:position w:val="8"/>
                <w:sz w:val="19"/>
              </w:rPr>
              <w:t>(4)</w:t>
            </w:r>
            <w:r>
              <w:rPr/>
              <w:tab/>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right"/>
              <w:rPr/>
            </w:pPr>
            <w:r>
              <w:rPr/>
              <w:t>1,066.7</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875" w:type="dxa"/>
            <w:tcBorders/>
            <w:shd w:fill="FFFFFF" w:val="clear"/>
            <w:vAlign w:val="center"/>
          </w:tcPr>
          <w:p>
            <w:pPr>
              <w:pStyle w:val="TableContents"/>
              <w:bidi w:val="0"/>
              <w:spacing w:before="0" w:after="283"/>
              <w:jc w:val="right"/>
              <w:rPr/>
            </w:pPr>
            <w:r>
              <w:rPr/>
              <w:t>1,081.0</w:t>
            </w:r>
          </w:p>
        </w:tc>
        <w:tc>
          <w:tcPr>
            <w:tcW w:w="71" w:type="dxa"/>
            <w:tcBorders/>
            <w:shd w:fill="FFFFFF" w:val="clear"/>
            <w:vAlign w:val="center"/>
          </w:tcPr>
          <w:p>
            <w:pPr>
              <w:pStyle w:val="TableContents"/>
              <w:bidi w:val="0"/>
              <w:spacing w:before="0" w:after="283"/>
              <w:jc w:val="left"/>
              <w:rPr>
                <w:sz w:val="4"/>
                <w:szCs w:val="4"/>
              </w:rPr>
            </w:pPr>
            <w:r>
              <w:rPr>
                <w:sz w:val="4"/>
                <w:szCs w:val="4"/>
              </w:rPr>
            </w:r>
          </w:p>
        </w:tc>
      </w:tr>
      <w:tr>
        <w:trPr/>
        <w:tc>
          <w:tcPr>
            <w:tcW w:w="8013" w:type="dxa"/>
            <w:tcBorders/>
            <w:shd w:fill="D5EAEA" w:val="clear"/>
            <w:vAlign w:val="center"/>
          </w:tcPr>
          <w:p>
            <w:pPr>
              <w:pStyle w:val="TableContents"/>
              <w:bidi w:val="0"/>
              <w:spacing w:before="0" w:after="283"/>
              <w:jc w:val="left"/>
              <w:rPr/>
            </w:pPr>
            <w:r>
              <w:rPr/>
              <w:t>Accumulated deficit</w:t>
            </w:r>
            <w:r>
              <w:rPr>
                <w:position w:val="8"/>
                <w:sz w:val="19"/>
              </w:rPr>
              <w:t>‎</w:t>
            </w:r>
            <w:r>
              <w:rPr/>
              <w:tab/>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shd w:fill="D5EAEA" w:val="clear"/>
            <w:vAlign w:val="center"/>
          </w:tcPr>
          <w:p>
            <w:pPr>
              <w:pStyle w:val="TableContents"/>
              <w:bidi w:val="0"/>
              <w:spacing w:before="0" w:after="283"/>
              <w:jc w:val="left"/>
              <w:rPr>
                <w:sz w:val="4"/>
                <w:szCs w:val="4"/>
              </w:rPr>
            </w:pPr>
            <w:r>
              <w:rPr>
                <w:sz w:val="4"/>
                <w:szCs w:val="4"/>
              </w:rPr>
            </w:r>
          </w:p>
        </w:tc>
        <w:tc>
          <w:tcPr>
            <w:tcW w:w="815" w:type="dxa"/>
            <w:tcBorders/>
            <w:shd w:fill="D5EAEA" w:val="clear"/>
            <w:vAlign w:val="center"/>
          </w:tcPr>
          <w:p>
            <w:pPr>
              <w:pStyle w:val="TableContents"/>
              <w:bidi w:val="0"/>
              <w:spacing w:before="0" w:after="283"/>
              <w:jc w:val="right"/>
              <w:rPr/>
            </w:pPr>
            <w:r>
              <w:rPr/>
              <w:t>(1,132.2</w:t>
            </w:r>
          </w:p>
        </w:tc>
        <w:tc>
          <w:tcPr>
            <w:tcW w:w="95" w:type="dxa"/>
            <w:tcBorders/>
            <w:shd w:fill="D5EAEA" w:val="clear"/>
            <w:vAlign w:val="center"/>
          </w:tcPr>
          <w:p>
            <w:pPr>
              <w:pStyle w:val="TableContents"/>
              <w:bidi w:val="0"/>
              <w:spacing w:before="0" w:after="283"/>
              <w:jc w:val="left"/>
              <w:rPr/>
            </w:pPr>
            <w:r>
              <w:rPr/>
              <w:t>)</w:t>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0" w:type="dxa"/>
            <w:tcBorders/>
            <w:shd w:fill="D5EAEA" w:val="clear"/>
            <w:vAlign w:val="center"/>
          </w:tcPr>
          <w:p>
            <w:pPr>
              <w:pStyle w:val="TableContents"/>
              <w:bidi w:val="0"/>
              <w:spacing w:before="0" w:after="283"/>
              <w:jc w:val="left"/>
              <w:rPr>
                <w:sz w:val="4"/>
                <w:szCs w:val="4"/>
              </w:rPr>
            </w:pPr>
            <w:r>
              <w:rPr>
                <w:sz w:val="4"/>
                <w:szCs w:val="4"/>
              </w:rPr>
            </w:r>
          </w:p>
        </w:tc>
        <w:tc>
          <w:tcPr>
            <w:tcW w:w="875" w:type="dxa"/>
            <w:tcBorders/>
            <w:shd w:fill="D5EAEA" w:val="clear"/>
            <w:vAlign w:val="center"/>
          </w:tcPr>
          <w:p>
            <w:pPr>
              <w:pStyle w:val="TableContents"/>
              <w:bidi w:val="0"/>
              <w:spacing w:before="0" w:after="283"/>
              <w:jc w:val="right"/>
              <w:rPr/>
            </w:pPr>
            <w:r>
              <w:rPr/>
              <w:t>(1,132.2</w:t>
            </w:r>
          </w:p>
        </w:tc>
        <w:tc>
          <w:tcPr>
            <w:tcW w:w="71" w:type="dxa"/>
            <w:tcBorders/>
            <w:shd w:fill="D5EAEA" w:val="clear"/>
            <w:vAlign w:val="center"/>
          </w:tcPr>
          <w:p>
            <w:pPr>
              <w:pStyle w:val="TableContents"/>
              <w:bidi w:val="0"/>
              <w:spacing w:before="0" w:after="283"/>
              <w:ind w:left="0" w:right="0" w:hanging="187"/>
              <w:jc w:val="left"/>
              <w:rPr/>
            </w:pPr>
            <w:r>
              <w:rPr/>
              <w:t>)</w:t>
            </w:r>
          </w:p>
        </w:tc>
      </w:tr>
      <w:tr>
        <w:trPr/>
        <w:tc>
          <w:tcPr>
            <w:tcW w:w="8013" w:type="dxa"/>
            <w:tcBorders/>
            <w:shd w:fill="FFFFFF" w:val="clear"/>
            <w:vAlign w:val="center"/>
          </w:tcPr>
          <w:p>
            <w:pPr>
              <w:pStyle w:val="TableContents"/>
              <w:bidi w:val="0"/>
              <w:spacing w:before="0" w:after="283"/>
              <w:jc w:val="left"/>
              <w:rPr/>
            </w:pPr>
            <w:r>
              <w:rPr/>
              <w:t>Total stockholders’ deficit</w:t>
              <w:tab/>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jc w:val="right"/>
              <w:rPr/>
            </w:pPr>
            <w:r>
              <w:rPr/>
              <w:t>(65.5</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(51.2</w:t>
            </w:r>
          </w:p>
        </w:tc>
        <w:tc>
          <w:tcPr>
            <w:tcW w:w="71" w:type="dxa"/>
            <w:tcBorders>
              <w:bottom w:val="double" w:sz="6" w:space="0" w:color="000000"/>
            </w:tcBorders>
            <w:shd w:fill="FFFFFF" w:val="clear"/>
            <w:tcMar>
              <w:bottom w:w="28" w:type="dxa"/>
            </w:tcMar>
            <w:vAlign w:val="center"/>
          </w:tcPr>
          <w:p>
            <w:pPr>
              <w:pStyle w:val="TableContents"/>
              <w:bidi w:val="0"/>
              <w:spacing w:before="0" w:after="283"/>
              <w:ind w:left="0" w:right="0" w:hanging="187"/>
              <w:jc w:val="left"/>
              <w:rPr/>
            </w:pPr>
            <w:r>
              <w:rPr/>
              <w:t>)</w:t>
            </w:r>
          </w:p>
        </w:tc>
      </w:tr>
      <w:tr>
        <w:trPr/>
        <w:tc>
          <w:tcPr>
            <w:tcW w:w="8013" w:type="dxa"/>
            <w:tcBorders/>
            <w:shd w:fill="D5EAEA" w:val="clear"/>
            <w:vAlign w:val="center"/>
          </w:tcPr>
          <w:p>
            <w:pPr>
              <w:pStyle w:val="TableContents"/>
              <w:bidi w:val="0"/>
              <w:spacing w:before="0" w:after="283"/>
              <w:jc w:val="left"/>
              <w:rPr/>
            </w:pPr>
            <w:r>
              <w:rPr/>
              <w:t>Total capitalization</w:t>
              <w:tab/>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40" w:type="dxa"/>
            <w:tcBorders>
              <w:bottom w:val="double" w:sz="6" w:space="0" w:color="000000"/>
            </w:tcBorders>
            <w:shd w:fill="D5EAEA"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D5EAEA" w:val="clear"/>
            <w:tcMar>
              <w:bottom w:w="28" w:type="dxa"/>
            </w:tcMar>
            <w:vAlign w:val="center"/>
          </w:tcPr>
          <w:p>
            <w:pPr>
              <w:pStyle w:val="TableContents"/>
              <w:bidi w:val="0"/>
              <w:spacing w:before="0" w:after="283"/>
              <w:jc w:val="right"/>
              <w:rPr/>
            </w:pPr>
            <w:r>
              <w:rPr/>
              <w:t>192.4</w:t>
            </w:r>
          </w:p>
        </w:tc>
        <w:tc>
          <w:tcPr>
            <w:tcW w:w="95"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shd w:fill="D5EAEA" w:val="clear"/>
            <w:vAlign w:val="center"/>
          </w:tcPr>
          <w:p>
            <w:pPr>
              <w:pStyle w:val="TableContents"/>
              <w:bidi w:val="0"/>
              <w:spacing w:before="0" w:after="283"/>
              <w:jc w:val="left"/>
              <w:rPr>
                <w:sz w:val="4"/>
                <w:szCs w:val="4"/>
              </w:rPr>
            </w:pPr>
            <w:r>
              <w:rPr>
                <w:sz w:val="4"/>
                <w:szCs w:val="4"/>
              </w:rPr>
            </w:r>
          </w:p>
        </w:tc>
        <w:tc>
          <w:tcPr>
            <w:tcW w:w="150" w:type="dxa"/>
            <w:tcBorders>
              <w:bottom w:val="double" w:sz="6" w:space="0" w:color="000000"/>
            </w:tcBorders>
            <w:shd w:fill="D5EAEA"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D5EAEA" w:val="clear"/>
            <w:tcMar>
              <w:bottom w:w="28" w:type="dxa"/>
            </w:tcMar>
            <w:vAlign w:val="center"/>
          </w:tcPr>
          <w:p>
            <w:pPr>
              <w:pStyle w:val="TableContents"/>
              <w:bidi w:val="0"/>
              <w:spacing w:before="0" w:after="283"/>
              <w:jc w:val="right"/>
              <w:rPr/>
            </w:pPr>
            <w:r>
              <w:rPr/>
              <w:t>216.6</w:t>
            </w:r>
          </w:p>
        </w:tc>
        <w:tc>
          <w:tcPr>
            <w:tcW w:w="71" w:type="dxa"/>
            <w:tcBorders>
              <w:bottom w:val="double" w:sz="6" w:space="0" w:color="000000"/>
            </w:tcBorders>
            <w:shd w:fill="D5EAEA" w:val="clear"/>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283"/>
              <w:jc w:val="left"/>
              <w:rPr/>
            </w:pPr>
            <w:r>
              <w:rPr/>
              <w:t>Cash and cash equivalents exclude restricted cash, current of $4.0 million and prepaid expenses and other current assets of $11.5 million as of July 31, 2026. “As Adjusted” includes $15.0 million from the sale by us, less fees and expenses of approximately $0.7 million, as described in footnote 4, and the $10.0 million from the incremental term loan facility, less debt issuance costs of approximately $0.1 million, as described in footnote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left"/>
              <w:rPr/>
            </w:pPr>
            <w:r>
              <w:rPr/>
              <w:t>On September 1, 2026, the Company entered into an amendment to the New Credit Agreement establishing an incremental term loan facility in an aggregate principal amount of $10,000,000 (the “Third Amendment Incremental Term Loan Facility”). The Company concurrently borrowed the full amount of the term loans available under the Third Amendment Incremental Term Loan Facility, in an aggregate principal amount of $10,000,000 (the “Third Amendment Incremental Term Loan”), excluding fees and expenses. The “As Adjusted” reflects the incurrence of the Third Amendment Incremental Term Loan after July 31, 2026, shown net of estimated debt issuance costs of approximately $0.1 million.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(3)</w:t>
            </w:r>
          </w:p>
        </w:tc>
        <w:tc>
          <w:tcPr>
            <w:tcW w:w="9881" w:type="dxa"/>
            <w:tcBorders/>
            <w:vAlign w:val="center"/>
          </w:tcPr>
          <w:p>
            <w:pPr>
              <w:pStyle w:val="TableContents"/>
              <w:bidi w:val="0"/>
              <w:spacing w:before="0" w:after="283"/>
              <w:jc w:val="left"/>
              <w:rPr/>
            </w:pPr>
            <w:r>
              <w:rPr/>
              <w:t>Consists of operating lease liabilities of $32.8 million and other liabilities of $1.5 million as of July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20"/>
              </w:rPr>
            </w:pPr>
            <w:r>
              <w:rPr>
                <w:sz w:val="20"/>
              </w:rPr>
              <w:t>(4)</w:t>
            </w:r>
          </w:p>
        </w:tc>
        <w:tc>
          <w:tcPr>
            <w:tcW w:w="9951" w:type="dxa"/>
            <w:tcBorders/>
            <w:vAlign w:val="center"/>
          </w:tcPr>
          <w:p>
            <w:pPr>
              <w:pStyle w:val="TableContents"/>
              <w:bidi w:val="0"/>
              <w:spacing w:before="0" w:after="283"/>
              <w:jc w:val="left"/>
              <w:rPr/>
            </w:pPr>
            <w:r>
              <w:rPr/>
              <w:t>“</w:t>
            </w:r>
            <w:r>
              <w:rPr>
                <w:sz w:val="20"/>
              </w:rPr>
              <w:t>As Adjusted” in additional paid-in capital includes $15.0 million, less fees and expenses of approximately $0.7 million, from the sale by us of up to 4,225,352 shares of Class A Common Stock related to this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exercise your rights to subscribe for Class A Common Stock in the Rights Offering, your ownership interest will be diluted. In addition, if you exercise your rights to subscribe for shares of Class A Common Stock in the Rights Offering, your ownership interest will be accreted or diluted immediately to the extent of the difference between the subscription price per share of Class A Common Stock and the adjusted net tangible book value per share of Class A Common Stock after the Rights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July 31, 2026, was approximately $(94.8) million, or approximately $(2.81) per share. Net tangible book value is calculated using exact amounts, and there may be differences from amounts reported in our quarterly filings due to rounding. Net tangible book value per share is determined by subtracting our total liabilities from the total book value of our tangible assets (excluding right of use assets) and dividing the difference by 33,757,416 shares of Class A Common Stock outstanding as of July 31, 2026.</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purchasers in the Rights Offering represents the difference between the amount per share paid by purchasers for our Class A Common Stock in the Rights Offering and the further adjusted net tangible book value per share of our Class A Common Stock immediately following the completion of the Rights Offering.</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up to 4,225,352 shares of Class A Common Stock upon exercise of subscription rights offered by this prospectus at the subscription price of $3.55 per share, after deducting the estimated fees, commissions and our estimated offering expenses, our as adjusted net tangible book value as of July 31, 2026, would have been approximately $(80.5) million or approximately $(2.12) per share, utilizing the “As Adjusted” Class A Common Stock outstanding included in the Capitalization section. This represents an immediate increase in net tangible book value of approximately $0.69 per share to our existing stockholders, as illustrated by the following table:</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70"/>
        <w:gridCol w:w="1235"/>
      </w:tblGrid>
      <w:tr>
        <w:trPr/>
        <w:tc>
          <w:tcPr>
            <w:tcW w:w="8970" w:type="dxa"/>
            <w:tcBorders/>
            <w:vAlign w:val="center"/>
          </w:tcPr>
          <w:p>
            <w:pPr>
              <w:pStyle w:val="TableContents"/>
              <w:bidi w:val="0"/>
              <w:spacing w:before="0" w:after="283"/>
              <w:jc w:val="left"/>
              <w:rPr>
                <w:b/>
              </w:rPr>
            </w:pPr>
            <w:r>
              <w:rPr>
                <w:b/>
              </w:rPr>
              <w:t>Subscription price for one share of Class A Common Stock</w:t>
            </w:r>
          </w:p>
        </w:tc>
        <w:tc>
          <w:tcPr>
            <w:tcW w:w="1235" w:type="dxa"/>
            <w:tcBorders/>
            <w:vAlign w:val="center"/>
          </w:tcPr>
          <w:p>
            <w:pPr>
              <w:pStyle w:val="TableContents"/>
              <w:bidi w:val="0"/>
              <w:spacing w:before="0" w:after="283"/>
              <w:jc w:val="left"/>
              <w:rPr>
                <w:b/>
              </w:rPr>
            </w:pPr>
            <w:r>
              <w:rPr>
                <w:b/>
              </w:rPr>
              <w:t>$3.55           </w:t>
            </w:r>
          </w:p>
        </w:tc>
      </w:tr>
      <w:tr>
        <w:trPr/>
        <w:tc>
          <w:tcPr>
            <w:tcW w:w="8970" w:type="dxa"/>
            <w:tcBorders/>
            <w:shd w:fill="F2DBDB" w:val="clear"/>
            <w:vAlign w:val="center"/>
          </w:tcPr>
          <w:p>
            <w:pPr>
              <w:pStyle w:val="TableContents"/>
              <w:bidi w:val="0"/>
              <w:spacing w:before="0" w:after="283"/>
              <w:jc w:val="left"/>
              <w:rPr>
                <w:b/>
              </w:rPr>
            </w:pPr>
            <w:r>
              <w:rPr>
                <w:b/>
              </w:rPr>
              <w:t>Net tangible book value per share as of July 31, 2026</w:t>
            </w:r>
          </w:p>
        </w:tc>
        <w:tc>
          <w:tcPr>
            <w:tcW w:w="1235" w:type="dxa"/>
            <w:tcBorders/>
            <w:shd w:fill="F2DBDB" w:val="clear"/>
            <w:vAlign w:val="center"/>
          </w:tcPr>
          <w:p>
            <w:pPr>
              <w:pStyle w:val="TableContents"/>
              <w:bidi w:val="0"/>
              <w:spacing w:before="0" w:after="283"/>
              <w:jc w:val="left"/>
              <w:rPr>
                <w:b/>
              </w:rPr>
            </w:pPr>
            <w:r>
              <w:rPr>
                <w:b/>
              </w:rPr>
              <w:t>$(2.81)</w:t>
            </w:r>
          </w:p>
        </w:tc>
      </w:tr>
      <w:tr>
        <w:trPr/>
        <w:tc>
          <w:tcPr>
            <w:tcW w:w="8970" w:type="dxa"/>
            <w:tcBorders/>
            <w:vAlign w:val="center"/>
          </w:tcPr>
          <w:p>
            <w:pPr>
              <w:pStyle w:val="TableContents"/>
              <w:bidi w:val="0"/>
              <w:spacing w:before="0" w:after="283"/>
              <w:jc w:val="left"/>
              <w:rPr>
                <w:b/>
              </w:rPr>
            </w:pPr>
            <w:r>
              <w:rPr>
                <w:b/>
              </w:rPr>
              <w:t>As adjusted net tangible book value per share after giving effect to the completion of the Rights Offering</w:t>
            </w:r>
          </w:p>
        </w:tc>
        <w:tc>
          <w:tcPr>
            <w:tcW w:w="1235" w:type="dxa"/>
            <w:tcBorders/>
            <w:vAlign w:val="center"/>
          </w:tcPr>
          <w:p>
            <w:pPr>
              <w:pStyle w:val="TableContents"/>
              <w:bidi w:val="0"/>
              <w:spacing w:before="0" w:after="283"/>
              <w:jc w:val="left"/>
              <w:rPr/>
            </w:pPr>
            <w:r>
              <w:rPr/>
              <w:t>$</w:t>
            </w:r>
            <w:r>
              <w:rPr>
                <w:b/>
              </w:rPr>
              <w:t>(2.12)</w:t>
            </w:r>
          </w:p>
        </w:tc>
      </w:tr>
      <w:tr>
        <w:trPr/>
        <w:tc>
          <w:tcPr>
            <w:tcW w:w="8970" w:type="dxa"/>
            <w:tcBorders/>
            <w:shd w:fill="F2DBDB" w:val="clear"/>
            <w:vAlign w:val="center"/>
          </w:tcPr>
          <w:p>
            <w:pPr>
              <w:pStyle w:val="TableContents"/>
              <w:bidi w:val="0"/>
              <w:spacing w:before="0" w:after="283"/>
              <w:jc w:val="left"/>
              <w:rPr>
                <w:b/>
              </w:rPr>
            </w:pPr>
            <w:r>
              <w:rPr>
                <w:b/>
              </w:rPr>
              <w:t>Increase in net tangible book value per share after giving effect to the completion of the Rights Offering</w:t>
            </w:r>
          </w:p>
        </w:tc>
        <w:tc>
          <w:tcPr>
            <w:tcW w:w="1235" w:type="dxa"/>
            <w:tcBorders/>
            <w:shd w:fill="F2DBDB" w:val="clear"/>
            <w:vAlign w:val="center"/>
          </w:tcPr>
          <w:p>
            <w:pPr>
              <w:pStyle w:val="TableContents"/>
              <w:bidi w:val="0"/>
              <w:spacing w:before="0" w:after="283"/>
              <w:jc w:val="left"/>
              <w:rPr/>
            </w:pPr>
            <w:r>
              <w:rPr/>
              <w:t>$</w:t>
            </w:r>
            <w:r>
              <w:rPr>
                <w:b/>
              </w:rPr>
              <w:t>0.69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accretion and dilution, and the table quantifying it, assume no exercise of any outstanding options or other potentially dilutive securities. The exercise of potentially dilutive securities having an exercise price less than the offering price would decrease the accretive effect to purchasers in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THE RIGHTS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distributing, at no charge, to the holders of our Class A Common Stock transferable subscription rights to purchase an aggregate of up to 4,225,352 shares of our Class A Common Stock at a subscription price of $3.55 per share. The offering will commence on September 30, 2026. We are offering to each of our stockholders one right for each share of Class A Common Stock owned by that stockholder as of 5:00 p.m., New York City time, on September 25, 2026 (the “Record Date”). Each right will entitle its holder to purchase additional shares of Class A Common Stock on a pro rata basis relative to their ownership interest in us as of the Record Date;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As of September 25, 2026, we had outstanding 33,774,121 shares of Class A Common Stock. As a result, each right entitles its holder to approximately 0.1251 shares of our Class A Common Stock. See “Risks Relating to the Rights Offering—The subscription price determined for this offering is not necessarily an indication of the fair value of our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rights will be evidenced by transferable rights certificates.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 If a sufficient number of shares of our Class A Common Stock is unavailable to fully satisfy the oversubscription privilege requests, the available shares of Class A Common Stock will be sold pro rata among rights holders who exercised their oversubscription privilege based on the number of shares of Class A Common Stock each rights holder subscribed for under the basic subscription privilege.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is being made to raise capital to provide us with additional liquidity See “Use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Important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important dates applicable to this offering and the rights.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2"/>
        <w:gridCol w:w="143"/>
        <w:gridCol w:w="1931"/>
        <w:gridCol w:w="143"/>
        <w:gridCol w:w="6136"/>
      </w:tblGrid>
      <w:tr>
        <w:trPr/>
        <w:tc>
          <w:tcPr>
            <w:tcW w:w="1852" w:type="dxa"/>
            <w:tcBorders>
              <w:bottom w:val="single" w:sz="8" w:space="0" w:color="000000"/>
            </w:tcBorders>
            <w:vAlign w:val="center"/>
          </w:tcPr>
          <w:p>
            <w:pPr>
              <w:pStyle w:val="TableContents"/>
              <w:bidi w:val="0"/>
              <w:spacing w:before="0" w:after="283"/>
              <w:ind w:left="0" w:right="0" w:hanging="0"/>
              <w:jc w:val="center"/>
              <w:rPr>
                <w:b/>
              </w:rPr>
            </w:pPr>
            <w:r>
              <w:rPr>
                <w:b/>
              </w:rPr>
              <w:t>Event</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1" w:type="dxa"/>
            <w:tcBorders>
              <w:bottom w:val="single" w:sz="8" w:space="0" w:color="000000"/>
            </w:tcBorders>
            <w:vAlign w:val="center"/>
          </w:tcPr>
          <w:p>
            <w:pPr>
              <w:pStyle w:val="TableContents"/>
              <w:bidi w:val="0"/>
              <w:spacing w:before="0" w:after="283"/>
              <w:ind w:left="0" w:right="0" w:hanging="0"/>
              <w:jc w:val="center"/>
              <w:rPr>
                <w:b/>
              </w:rPr>
            </w:pPr>
            <w:r>
              <w:rPr>
                <w:b/>
              </w:rPr>
              <w:t>Calendar Date</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6136" w:type="dxa"/>
            <w:tcBorders>
              <w:bottom w:val="single" w:sz="8" w:space="0" w:color="000000"/>
            </w:tcBorders>
            <w:vAlign w:val="center"/>
          </w:tcPr>
          <w:p>
            <w:pPr>
              <w:pStyle w:val="TableContents"/>
              <w:bidi w:val="0"/>
              <w:spacing w:before="0" w:after="283"/>
              <w:ind w:left="0" w:right="0" w:hanging="0"/>
              <w:jc w:val="center"/>
              <w:rPr>
                <w:b/>
              </w:rPr>
            </w:pPr>
            <w:r>
              <w:rPr>
                <w:b/>
              </w:rPr>
              <w:t>Significance</w:t>
            </w:r>
          </w:p>
        </w:tc>
      </w:tr>
      <w:tr>
        <w:trPr/>
        <w:tc>
          <w:tcPr>
            <w:tcW w:w="1852" w:type="dxa"/>
            <w:tcBorders/>
            <w:tcMar>
              <w:top w:w="60" w:type="dxa"/>
              <w:left w:w="60" w:type="dxa"/>
              <w:bottom w:w="60" w:type="dxa"/>
              <w:right w:w="60" w:type="dxa"/>
            </w:tcMar>
            <w:vAlign w:val="center"/>
          </w:tcPr>
          <w:p>
            <w:pPr>
              <w:pStyle w:val="TableContents"/>
              <w:bidi w:val="0"/>
              <w:spacing w:before="0" w:after="283"/>
              <w:ind w:left="0" w:right="0" w:hanging="0"/>
              <w:jc w:val="left"/>
              <w:rPr/>
            </w:pPr>
            <w:r>
              <w:rPr/>
              <w:t>Record Date</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1" w:type="dxa"/>
            <w:tcBorders/>
            <w:tcMar>
              <w:top w:w="60" w:type="dxa"/>
              <w:left w:w="60" w:type="dxa"/>
              <w:bottom w:w="60" w:type="dxa"/>
              <w:right w:w="60" w:type="dxa"/>
            </w:tcMar>
            <w:vAlign w:val="center"/>
          </w:tcPr>
          <w:p>
            <w:pPr>
              <w:pStyle w:val="TableContents"/>
              <w:bidi w:val="0"/>
              <w:spacing w:before="0" w:after="283"/>
              <w:ind w:left="0" w:right="0" w:hanging="0"/>
              <w:jc w:val="left"/>
              <w:rPr/>
            </w:pPr>
            <w:r>
              <w:rPr/>
              <w:t>5:00 p.m., New York City time, on September 25, 2026.</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6136" w:type="dxa"/>
            <w:tcBorders/>
            <w:tcMar>
              <w:top w:w="60" w:type="dxa"/>
              <w:left w:w="60" w:type="dxa"/>
              <w:bottom w:w="60" w:type="dxa"/>
              <w:right w:w="60" w:type="dxa"/>
            </w:tcMar>
            <w:vAlign w:val="center"/>
          </w:tcPr>
          <w:p>
            <w:pPr>
              <w:pStyle w:val="TableContents"/>
              <w:bidi w:val="0"/>
              <w:spacing w:before="0" w:after="283"/>
              <w:ind w:left="0" w:right="0" w:hanging="0"/>
              <w:jc w:val="left"/>
              <w:rPr/>
            </w:pPr>
            <w:r>
              <w:rPr/>
              <w:t>Only holders of record of our Class A Common Stock as of the close of business on this date, as determined by the Subscription Agent based on the book-entry facilities of DTC and the register maintained by Equiniti in its capacity as our transfer agent, will be entitled to receive rights.</w:t>
            </w:r>
          </w:p>
        </w:tc>
      </w:tr>
      <w:tr>
        <w:trPr/>
        <w:tc>
          <w:tcPr>
            <w:tcW w:w="1852" w:type="dxa"/>
            <w:tcBorders/>
            <w:tcMar>
              <w:top w:w="60" w:type="dxa"/>
              <w:left w:w="60" w:type="dxa"/>
              <w:bottom w:w="60" w:type="dxa"/>
              <w:right w:w="60" w:type="dxa"/>
            </w:tcMar>
            <w:vAlign w:val="center"/>
          </w:tcPr>
          <w:p>
            <w:pPr>
              <w:pStyle w:val="TableContents"/>
              <w:bidi w:val="0"/>
              <w:spacing w:before="0" w:after="283"/>
              <w:ind w:left="0" w:right="0" w:hanging="0"/>
              <w:jc w:val="left"/>
              <w:rPr/>
            </w:pPr>
            <w:r>
              <w:rPr/>
              <w:t>Subscription Period Commences</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1" w:type="dxa"/>
            <w:tcBorders/>
            <w:tcMar>
              <w:top w:w="60" w:type="dxa"/>
              <w:left w:w="60" w:type="dxa"/>
              <w:bottom w:w="60" w:type="dxa"/>
              <w:right w:w="60" w:type="dxa"/>
            </w:tcMar>
            <w:vAlign w:val="center"/>
          </w:tcPr>
          <w:p>
            <w:pPr>
              <w:pStyle w:val="TableContents"/>
              <w:bidi w:val="0"/>
              <w:spacing w:before="0" w:after="283"/>
              <w:ind w:left="0" w:right="0" w:hanging="0"/>
              <w:jc w:val="left"/>
              <w:rPr/>
            </w:pPr>
            <w:r>
              <w:rPr/>
              <w:t>September 30, 2026.</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6136" w:type="dxa"/>
            <w:tcBorders/>
            <w:tcMar>
              <w:top w:w="60" w:type="dxa"/>
              <w:left w:w="60" w:type="dxa"/>
              <w:bottom w:w="60" w:type="dxa"/>
              <w:right w:w="60" w:type="dxa"/>
            </w:tcMar>
            <w:vAlign w:val="center"/>
          </w:tcPr>
          <w:p>
            <w:pPr>
              <w:pStyle w:val="TableContents"/>
              <w:bidi w:val="0"/>
              <w:spacing w:before="0" w:after="283"/>
              <w:ind w:left="0" w:right="0" w:hanging="0"/>
              <w:jc w:val="left"/>
              <w:rPr/>
            </w:pPr>
            <w:r>
              <w:rPr/>
              <w:t>Holders of rights may begin to subscribe for new shares of Class A Common Stock.</w:t>
            </w:r>
          </w:p>
        </w:tc>
      </w:tr>
      <w:tr>
        <w:trPr/>
        <w:tc>
          <w:tcPr>
            <w:tcW w:w="1852" w:type="dxa"/>
            <w:tcBorders/>
            <w:tcMar>
              <w:top w:w="60" w:type="dxa"/>
              <w:left w:w="60" w:type="dxa"/>
              <w:bottom w:w="60" w:type="dxa"/>
              <w:right w:w="60" w:type="dxa"/>
            </w:tcMar>
            <w:vAlign w:val="center"/>
          </w:tcPr>
          <w:p>
            <w:pPr>
              <w:pStyle w:val="TableContents"/>
              <w:bidi w:val="0"/>
              <w:spacing w:before="0" w:after="283"/>
              <w:ind w:left="0" w:right="0" w:hanging="0"/>
              <w:jc w:val="left"/>
              <w:rPr/>
            </w:pPr>
            <w:r>
              <w:rPr/>
              <w:t>Last Day to Transfer Rights</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1" w:type="dxa"/>
            <w:tcBorders/>
            <w:tcMar>
              <w:top w:w="60" w:type="dxa"/>
              <w:left w:w="60" w:type="dxa"/>
              <w:bottom w:w="60" w:type="dxa"/>
              <w:right w:w="60" w:type="dxa"/>
            </w:tcMar>
            <w:vAlign w:val="center"/>
          </w:tcPr>
          <w:p>
            <w:pPr>
              <w:pStyle w:val="TableContents"/>
              <w:bidi w:val="0"/>
              <w:spacing w:before="0" w:after="283"/>
              <w:ind w:left="0" w:right="0" w:hanging="0"/>
              <w:jc w:val="left"/>
              <w:rPr/>
            </w:pPr>
            <w:r>
              <w:rPr/>
              <w:t>October 14, 2026.</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6136" w:type="dxa"/>
            <w:tcBorders/>
            <w:tcMar>
              <w:top w:w="60" w:type="dxa"/>
              <w:left w:w="60" w:type="dxa"/>
              <w:bottom w:w="60" w:type="dxa"/>
              <w:right w:w="60" w:type="dxa"/>
            </w:tcMar>
            <w:vAlign w:val="center"/>
          </w:tcPr>
          <w:p>
            <w:pPr>
              <w:pStyle w:val="TableContents"/>
              <w:bidi w:val="0"/>
              <w:spacing w:before="0" w:after="283"/>
              <w:ind w:left="0" w:right="0" w:hanging="0"/>
              <w:jc w:val="left"/>
              <w:rPr/>
            </w:pPr>
            <w:r>
              <w:rPr/>
              <w:t>Holders of rights who wish to transfer or sell their rights must do so on or prior to this date.</w:t>
            </w:r>
          </w:p>
        </w:tc>
      </w:tr>
      <w:tr>
        <w:trPr/>
        <w:tc>
          <w:tcPr>
            <w:tcW w:w="1852" w:type="dxa"/>
            <w:tcBorders/>
            <w:tcMar>
              <w:top w:w="60" w:type="dxa"/>
              <w:left w:w="60" w:type="dxa"/>
              <w:bottom w:w="60" w:type="dxa"/>
              <w:right w:w="60" w:type="dxa"/>
            </w:tcMar>
            <w:vAlign w:val="center"/>
          </w:tcPr>
          <w:p>
            <w:pPr>
              <w:pStyle w:val="TableContents"/>
              <w:bidi w:val="0"/>
              <w:spacing w:before="0" w:after="283"/>
              <w:ind w:left="0" w:right="0" w:hanging="0"/>
              <w:jc w:val="left"/>
              <w:rPr/>
            </w:pPr>
            <w:r>
              <w:rPr/>
              <w:t>Expiration Date; Subscription Period Ends</w:t>
            </w:r>
          </w:p>
        </w:tc>
        <w:tc>
          <w:tcPr>
            <w:tcW w:w="143" w:type="dxa"/>
            <w:tcBorders/>
            <w:tcMar>
              <w:top w:w="60" w:type="dxa"/>
              <w:left w:w="60" w:type="dxa"/>
              <w:bottom w:w="60" w:type="dxa"/>
              <w:right w:w="60" w:type="dxa"/>
            </w:tcMar>
            <w:vAlign w:val="center"/>
          </w:tcPr>
          <w:p>
            <w:pPr>
              <w:pStyle w:val="TableContents"/>
              <w:bidi w:val="0"/>
              <w:spacing w:before="0" w:after="283"/>
              <w:ind w:left="0" w:right="0" w:hanging="0"/>
              <w:jc w:val="left"/>
              <w:rPr>
                <w:sz w:val="4"/>
                <w:szCs w:val="4"/>
              </w:rPr>
            </w:pPr>
            <w:r>
              <w:rPr>
                <w:sz w:val="4"/>
                <w:szCs w:val="4"/>
              </w:rPr>
            </w:r>
          </w:p>
        </w:tc>
        <w:tc>
          <w:tcPr>
            <w:tcW w:w="1931" w:type="dxa"/>
            <w:tcBorders/>
            <w:tcMar>
              <w:top w:w="60" w:type="dxa"/>
              <w:left w:w="60" w:type="dxa"/>
              <w:bottom w:w="60" w:type="dxa"/>
              <w:right w:w="60" w:type="dxa"/>
            </w:tcMar>
            <w:vAlign w:val="center"/>
          </w:tcPr>
          <w:p>
            <w:pPr>
              <w:pStyle w:val="TableContents"/>
              <w:bidi w:val="0"/>
              <w:spacing w:before="0" w:after="283"/>
              <w:ind w:left="0" w:right="0" w:hanging="0"/>
              <w:jc w:val="left"/>
              <w:rPr/>
            </w:pPr>
            <w:r>
              <w:rPr/>
              <w:t>5:00 p.m., New York City time, on October 14, 2026.</w:t>
            </w:r>
          </w:p>
        </w:tc>
        <w:tc>
          <w:tcPr>
            <w:tcW w:w="143" w:type="dxa"/>
            <w:tcBorders/>
            <w:tcMar>
              <w:top w:w="60" w:type="dxa"/>
              <w:left w:w="60" w:type="dxa"/>
              <w:bottom w:w="60" w:type="dxa"/>
              <w:right w:w="60" w:type="dxa"/>
            </w:tcMar>
            <w:vAlign w:val="center"/>
          </w:tcPr>
          <w:p>
            <w:pPr>
              <w:pStyle w:val="TableContents"/>
              <w:bidi w:val="0"/>
              <w:spacing w:before="0" w:after="283"/>
              <w:jc w:val="left"/>
              <w:rPr>
                <w:sz w:val="4"/>
                <w:szCs w:val="4"/>
              </w:rPr>
            </w:pPr>
            <w:r>
              <w:rPr>
                <w:sz w:val="4"/>
                <w:szCs w:val="4"/>
              </w:rPr>
            </w:r>
          </w:p>
        </w:tc>
        <w:tc>
          <w:tcPr>
            <w:tcW w:w="6136" w:type="dxa"/>
            <w:tcBorders/>
            <w:tcMar>
              <w:top w:w="60" w:type="dxa"/>
              <w:left w:w="6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Deadline to exercise outstanding rights and to request additional new shares of Class A Common Stock under the oversubscription privilege.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rights may no longer subscribe for new shares of Class A Common Stock after this time.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shares of Class A Common Stock that are unsubscribed in this offering (if any) are expected to be purchased by the Investor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5"/>
        <w:gridCol w:w="60"/>
        <w:gridCol w:w="1194"/>
        <w:gridCol w:w="60"/>
        <w:gridCol w:w="6666"/>
      </w:tblGrid>
      <w:tr>
        <w:trPr/>
        <w:tc>
          <w:tcPr>
            <w:tcW w:w="222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66" w:type="dxa"/>
            <w:tcBorders/>
            <w:vAlign w:val="center"/>
          </w:tcPr>
          <w:p>
            <w:pPr>
              <w:pStyle w:val="TableContents"/>
              <w:bidi w:val="0"/>
              <w:spacing w:before="0" w:after="283"/>
              <w:ind w:left="0" w:right="0" w:hanging="0"/>
              <w:jc w:val="left"/>
              <w:rPr>
                <w:sz w:val="4"/>
                <w:szCs w:val="4"/>
              </w:rPr>
            </w:pPr>
            <w:r>
              <w:rPr>
                <w:sz w:val="4"/>
                <w:szCs w:val="4"/>
              </w:rPr>
            </w:r>
          </w:p>
        </w:tc>
      </w:tr>
      <w:tr>
        <w:trPr/>
        <w:tc>
          <w:tcPr>
            <w:tcW w:w="2225" w:type="dxa"/>
            <w:tcBorders/>
            <w:vAlign w:val="center"/>
          </w:tcPr>
          <w:p>
            <w:pPr>
              <w:pStyle w:val="TableContents"/>
              <w:bidi w:val="0"/>
              <w:spacing w:before="0" w:after="283"/>
              <w:ind w:left="0" w:right="0" w:hanging="0"/>
              <w:jc w:val="left"/>
              <w:rPr/>
            </w:pPr>
            <w:r>
              <w:rPr/>
              <w:t>Settlement of Rights Offering</w:t>
            </w:r>
          </w:p>
        </w:tc>
        <w:tc>
          <w:tcPr>
            <w:tcW w:w="60" w:type="dxa"/>
            <w:tcBorders/>
            <w:vAlign w:val="center"/>
          </w:tcPr>
          <w:p>
            <w:pPr>
              <w:pStyle w:val="TableContents"/>
              <w:bidi w:val="0"/>
              <w:spacing w:before="0" w:after="283"/>
              <w:ind w:left="0" w:right="0" w:hanging="0"/>
              <w:jc w:val="left"/>
              <w:rPr/>
            </w:pPr>
            <w:r>
              <w:rPr/>
              <w:t> </w:t>
            </w:r>
          </w:p>
        </w:tc>
        <w:tc>
          <w:tcPr>
            <w:tcW w:w="1194" w:type="dxa"/>
            <w:tcBorders/>
            <w:vAlign w:val="center"/>
          </w:tcPr>
          <w:p>
            <w:pPr>
              <w:pStyle w:val="TableContents"/>
              <w:bidi w:val="0"/>
              <w:spacing w:before="0" w:after="283"/>
              <w:ind w:left="0" w:right="0" w:hanging="0"/>
              <w:jc w:val="left"/>
              <w:rPr/>
            </w:pPr>
            <w:r>
              <w:rPr/>
              <w:t>October 19, 2026.</w:t>
            </w:r>
          </w:p>
        </w:tc>
        <w:tc>
          <w:tcPr>
            <w:tcW w:w="60" w:type="dxa"/>
            <w:tcBorders/>
            <w:vAlign w:val="center"/>
          </w:tcPr>
          <w:p>
            <w:pPr>
              <w:pStyle w:val="TableContents"/>
              <w:bidi w:val="0"/>
              <w:spacing w:before="0" w:after="283"/>
              <w:ind w:left="0" w:right="0" w:hanging="0"/>
              <w:jc w:val="left"/>
              <w:rPr/>
            </w:pPr>
            <w:r>
              <w:rPr/>
              <w:t> </w:t>
            </w:r>
          </w:p>
        </w:tc>
        <w:tc>
          <w:tcPr>
            <w:tcW w:w="6666" w:type="dxa"/>
            <w:tcBorders/>
            <w:vAlign w:val="center"/>
          </w:tcPr>
          <w:p>
            <w:pPr>
              <w:pStyle w:val="TableContents"/>
              <w:bidi w:val="0"/>
              <w:spacing w:before="0" w:after="283"/>
              <w:ind w:left="0" w:right="0" w:hanging="0"/>
              <w:jc w:val="left"/>
              <w:rPr/>
            </w:pPr>
            <w:r>
              <w:rPr/>
              <w:t>We expect to deliver the new shares of Class A Common Stock issued in respect of the rights through the book-entry facilities of DTC.</w:t>
            </w:r>
          </w:p>
        </w:tc>
      </w:tr>
      <w:tr>
        <w:trPr/>
        <w:tc>
          <w:tcPr>
            <w:tcW w:w="2225" w:type="dxa"/>
            <w:tcBorders/>
            <w:vAlign w:val="center"/>
          </w:tcPr>
          <w:p>
            <w:pPr>
              <w:pStyle w:val="TableContents"/>
              <w:bidi w:val="0"/>
              <w:spacing w:before="0" w:after="283"/>
              <w:ind w:left="0" w:right="0" w:hanging="0"/>
              <w:jc w:val="left"/>
              <w:rPr/>
            </w:pPr>
            <w:r>
              <w:rPr/>
              <w:t>Settlement of Backstop Commitment</w:t>
            </w:r>
          </w:p>
        </w:tc>
        <w:tc>
          <w:tcPr>
            <w:tcW w:w="60" w:type="dxa"/>
            <w:tcBorders/>
            <w:vAlign w:val="center"/>
          </w:tcPr>
          <w:p>
            <w:pPr>
              <w:pStyle w:val="TableContents"/>
              <w:bidi w:val="0"/>
              <w:spacing w:before="0" w:after="283"/>
              <w:ind w:left="0" w:right="0" w:hanging="0"/>
              <w:jc w:val="left"/>
              <w:rPr/>
            </w:pPr>
            <w:r>
              <w:rPr/>
              <w:t> </w:t>
            </w:r>
          </w:p>
        </w:tc>
        <w:tc>
          <w:tcPr>
            <w:tcW w:w="1194" w:type="dxa"/>
            <w:tcBorders/>
            <w:vAlign w:val="center"/>
          </w:tcPr>
          <w:p>
            <w:pPr>
              <w:pStyle w:val="TableContents"/>
              <w:bidi w:val="0"/>
              <w:spacing w:before="0" w:after="283"/>
              <w:ind w:left="0" w:right="0" w:hanging="0"/>
              <w:jc w:val="left"/>
              <w:rPr/>
            </w:pPr>
            <w:r>
              <w:rPr/>
              <w:t>October 21, 2026.</w:t>
            </w:r>
          </w:p>
        </w:tc>
        <w:tc>
          <w:tcPr>
            <w:tcW w:w="60" w:type="dxa"/>
            <w:tcBorders/>
            <w:vAlign w:val="center"/>
          </w:tcPr>
          <w:p>
            <w:pPr>
              <w:pStyle w:val="TableContents"/>
              <w:bidi w:val="0"/>
              <w:spacing w:before="0" w:after="283"/>
              <w:ind w:left="0" w:right="0" w:hanging="0"/>
              <w:jc w:val="left"/>
              <w:rPr/>
            </w:pPr>
            <w:r>
              <w:rPr/>
              <w:t> </w:t>
            </w:r>
          </w:p>
        </w:tc>
        <w:tc>
          <w:tcPr>
            <w:tcW w:w="6666" w:type="dxa"/>
            <w:tcBorders/>
            <w:vAlign w:val="center"/>
          </w:tcPr>
          <w:p>
            <w:pPr>
              <w:pStyle w:val="TableContents"/>
              <w:bidi w:val="0"/>
              <w:spacing w:before="0" w:after="283"/>
              <w:jc w:val="left"/>
              <w:rPr/>
            </w:pPr>
            <w:r>
              <w:rPr/>
              <w:t>We expect to deliver the new shares of Class A Common Stock issued pursuant to the Backstop Agreement through the book-entry facilities of DTC.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Backstop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Group’s obligation to purchase shares of Class A Common Stock pursuant to the Backstop Agreement is subject to customary closing conditions, including that (i) the company shall comply with its obligations under the Backstop Agreement in all material respects, (ii) the representations and warranties of the company set forth in the Backstop Agreement shall be true and correct as of the date of the Backstop Agreement and upon the closing of the purchase of shares pursuant to the Backstop Agreement, and any failure of any such representations and warranties to be so true and correct has not resulted in, and would not reasonably be expected to result in, individually or in the aggregate, a Company Material Adverse Effect (as defined in the Backstop Agreement); and (iii) consummation of this offering and delivery of a subscription notice to the Investor Group.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Backstop Agreement may be terminated upon the parties’ mutual written consent.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Class A Common Stock purchased by the Investor Group pursuant to the Backstop Agreement will be issued in a private placement transaction, exempt from the registration requirements of the Securities Act and, accordingly, will be restricted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its holder to purchase shares of Class A Common Stock on a pro rata basis relative to their ownership interest in us as of the Record Date, at a subscription price of $3.55, which corresponds to the previously announced formulation of the greater of (i) $3.55, representing the volume weighted average price of our Class A Common Stock for the 15-day trading period ending on the second trading day preceding the date of the Backstop Agreement and (ii) $2.26, representing the volume weighted average price of our Class A Common Stock for the 15-day trading period through and including the Record Date, in each case, per whole share of Class A Common Stock.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The subscription price per share for this offering was determined by the Board. This price was determined in connection with the negotiation of the Backstop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does not necessarily bear any relationship to the book value of our assets, cash flows, financial condition, net worth or any other established criteria used to value securities. You should not consider the subscription price to be an indication of the fair value of the Class A Common Stock to be offered in this offering. On and after the date of this prospectus, our Class A Common Stock may trade at prices above or below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Amendment, Withdrawal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amend or modify this offering, in whole or in part, at any time before completion of this offering. If we make any fundamental change to the terms of this offering after the date of effectiveness of this prospectus, we will file a post-effective amendment to the registration statement of which this prospectus forms 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and offer subscribers the opportunity to cancel their subscriptions. In such event, we will issue subscription refunds to each stockholder that subscribed for shares in this offering and recirculate an amended prospectus after the post-effective amendment is declared effective with the SEC. If we extend the Expiration Date in connection with any post-effective amendment, we will allow holders of rights a reasonable period of additional time to make new investment decisions on the basis of the new information set forth in the amended prospectus that will form a part of the post-effective amendment. In such event, we will issue a press release announcing the changes to this offering and the new offering Expiration Date. The terms and conditions of this offering will not be modified or amended after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reserve the right to withdraw and terminate this offering at any time for any reason. We also may terminate this offering at any time before its completion if our Board decides to do so in its sole discretion. If we terminate this offering, we will issue a press release notifying stockholders of the 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to the completion of this offering does not occur, or if this offering is terminated, in whole or in part, all affected rights will expire without value and all subscription payments received by the Subscription Agent will be returned promptly, without interest or deduction. See also “—Termination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Rights Offering on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interests and voting interests of the existing stockholders who do not exercise their basic subscription rights will be diluted. See “Risk Factors.”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entitle holders to a basic subscription privilege and an oversubscription privilege.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Basic Subscription Privilege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entitle the holder thereof to a basic subscription privilege. The basic subscription privilege entitles you to purchase additional shares of Class A Common Stock on a pro rata basis relative to your ownership interest in us as of the Record Date, upon delivery of the required documents and payment of the subscription price of $3.55 per whole share; however, as a result of “due bill” trading procedures, if you sell shares of Class A Common Stock after the Record Date but before the ex-dividend date, you will not be entitled to receive the rights with respect to those shares, and the purchaser of those shares will instead be entitled to receive the rights, provided that the purchaser continues to hold the shares through the ex-dividend date. As of September 25, 2026, we had outstanding 33,774,121 shares of Class A Common Stock. As a result, each right entitles its holder to approximately 0.1251 shares of our Class A Common Stock. See “Risks Relating to the Rights Offering—The subscription price determined for this offering is not necessarily an indication of the fair value of our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not required to exercise your basic subscription privilege, in full or in part, unless you wish to also purchase shares of Class A Common Stock under your oversubscription privilege described below, in which case you are required to exercise your basic subscription privilege in full. We will deliver any shares of Class A Common Stock that you purchase pursuant to the basic subscription privilege as soon as practicable after the Expiration Date. All shares that are purchased in this offering will be issued in uncertificated, book-entry form, which means that you will receive a direct registration account statement from our transfer agent reflecting ownership of such shares if you are a holder of record. If you hold your shares in the name of a bank, broker, dealer or other nominee, DTC will credit your nominee with the shares you purchased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Oversubscription Privilege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your basic subscription privilege, you may subscribe for additional shares of our Class A Common Stock upon delivery of the required documents and payment of the subscription price of $3.55 per whole share before the Expiration Date. You may only exercise your oversubscription privilege if you exercised your basic subscription privilege in full, including payment of the subscription price therefor, and other holders of rights do not exercise their basic subscription privilege in full. We will deliver any shares of Class A Common Stock that you purchase pursuant to the oversubscription privilege as soon as practicable after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Rata Allocation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not enough shares of our Class A Common Stock to satisfy all subscriptions made under the oversubscription privilege, we will allocate the remaining shares of our Class A Common Stock pro rata, after eliminating all fractional shares, among those oversubscribing rights holders. “Pro rata” means in proportion to the number of shares of our Class A Common Stock that you and the other rights holders have purchased by exercising your basic subscription privilege. If there is a pro rata allocation of the remaining shares of our Class A Common Stock and you receive an allocation of a greater number of shares of Class A Common Stock than you subscribed for under your oversubscription privilege, we will allocate to you only the number of shares of Class A Common Stock for which you subscribed. We will allocate the remaining shares of Class A Common Stock among all other holders exercising their oversubscription privileges.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Group will not be allocated any shares of Class A Common Stock pursuant to the Backstop Agreement until all of the rights holders exercising their oversubscription privileges, which could include the Investor Group, have been allocated the number of additional shares of Class A Common Stock for which they oversubscribed.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Exercise of Basic Subscription Privilege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your oversubscription privilege only if you exercise your basic subscription privilege in full. To determine if you have fully exercised your basic subscription privilege, we will consider only the basic subscription rights held by you in the same capacity. For example, suppose that you were granted rights for shares of our Class A Common Stock that you own individually and shares of our Class A Common Stock that you own collectively with your spouse. If you wish to exercise your oversubscription privilege with respect to the rights you own individually, but not with respect to the rights you own collectively with your spouse, you only need to fully exercise your basic subscription privilege with respect to your individually owned rights. You do not have to subscribe for any shares of Class A Common Stock under the rights owned collectively with your spouse to exercise your individual oversubscription privilege.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complete the portion of your rights certificate to exercise your oversubscription privilege, you will be representing and certifying that you have fully exercised your basic subscription privilege as to shares of our Class A Common Stock that you hold in that capacity. You must exercise your oversubscription privilege at the same time you exercise your basic subscription privilege in full.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 of Excess Payment</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exercised your oversubscription privilege and are allocated less than all of the shares of our Class A Common Stock for which you wished to subscribe, your excess payment for shares of Class A Common Stock that were not allocated to you will be returned to you via check, without interest or deduction, as soon as practicable after the Expiration Date. We will deliver or cause the transfer agent to deliver any shares that you purchase as soon as practicable after the Expiration Date and after all pro rata allocations and adjustments have been completed.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Subscription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evidenced by rights certificates, which may be physical certificates but will more likely be electronic certificates issued through the facilities of DTC. Except as described below under “—Non-U.S. Stockholders,” the rights certificates will be mailed to stockholders as of the Record Date or, if such stockholders’ shares of Class A Common Stock are held by a depository or nominee on his, her or its behalf, to such depository or nominee. Rights may be exercised by completing and signing the rights certificate that accompanies this prospectus together with any required signature guarantees and mailing it in the envelope provided, or otherwise delivering the completed and duly executed rights certificate to the Subscription Agent, together with payment in full for the shares of Class A Common Stock at the subscription price by the Expiration Date and any other supplemental documentation requested, unless delivery of the rights certificate is effected pursuant to the guaranteed delivery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rights certificates and related payments must be received by the Subscription Agent prior to 5:00 p.m., New York City time, on or before the Expiration Date, at the offices of the Subscription Agent at the address set forth below, unless delivery of the rights certificate is effected pursuant to the guaranteed delivery procedures described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participating rights holder may send the rights certificate together with payment for the shares of Class A Common Stock subscribed for in this offering to the Subscription Agent based on the subscription price of $3.55 per whole share. Except as described below under “Guaranteed Delivery Procedures,” to be accepted, the payment, together with a properly completed and executed rights certificate, must be received by the Subscription Agent at one of the Subscription Agent’s offices set forth below (see “—Delivery of Subscription Materials and Payment”), at or prior to 5:00 p.m., New York City time, on the Expiration Date. </w:t>
      </w:r>
      <w:r>
        <w:rPr>
          <w:rFonts w:ascii="Times New Roman;Times;Serif" w:hAnsi="Times New Roman;Times;Serif"/>
          <w:b/>
          <w:i w:val="false"/>
          <w:caps w:val="false"/>
          <w:smallCaps w:val="false"/>
          <w:sz w:val="20"/>
        </w:rPr>
        <w:t>Do not send rights certificates, notices of guaranteed delivery or payments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See “—Delivery of Subscription Materials and Payment” for more information on payment methods for the Class A Common Stock. The Subscription Agent will deposit all funds received by it prior to the final payment date into a segregated account pending pro-ration and distribution of the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delivery of rights certificates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the Subscription Agent and clearance of payment prior to 5:00 p.m., New York City time, on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Whichever of the methods described above is used, issuance of the shares of Class A Common Stock purchased is subject to collection of checks and actual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participating rights holder who subscribes for shares of Class A Common Stock does not make payment of any amounts due by the Expiration Date, the Subscription Agent reserves the right to take any or all of the following actions: (i) reallocate the shares of Class A Common Stock to other participating rights holders; (ii) apply any payment actually received by it from the participating rights holder toward the purchase of the greatest whole number of shares of Class A Common Stock which could be acquired by such participating rights holder upon exercise of the right; and (iii) exercise any and all other rights or remedies to which it may be entitled, including the right to set off against payments actually received by it with respect to such subscribed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concerning the timeliness, validity, form and eligibility of any exercise of rights will be determined by us, and such determinations will be final and binding.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The Subscription Agent will not be under any duty to give notification of any defect or irregularity in connection with the submission of rights certificates or incur any liability for failure to give such notification.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rights holders will have no right to revoke their subscription after the Subscription Agent’s receipt of their payment for shares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Missing or Incomplete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hold your shares of Class A Common Stock in the name of a custodian bank, broker, dealer or other nominee, the nominee will exercise the rights on your behalf in accordance with your instructions. </w:t>
      </w:r>
      <w:r>
        <w:rPr>
          <w:rFonts w:ascii="Times New Roman;Times;Serif" w:hAnsi="Times New Roman;Times;Serif"/>
          <w:b/>
          <w:i w:val="false"/>
          <w:caps w:val="false"/>
          <w:smallCaps w:val="false"/>
          <w:sz w:val="20"/>
        </w:rPr>
        <w:t>Your nominee may establish a deadline that may be before the Expiration Date that we have established for this offering.</w:t>
      </w:r>
      <w:r>
        <w:rPr>
          <w:rFonts w:ascii="Times New Roman;Times;Serif" w:hAnsi="Times New Roman;Times;Serif"/>
          <w:b w:val="false"/>
          <w:i w:val="false"/>
          <w:caps w:val="false"/>
          <w:smallCaps w:val="false"/>
          <w:sz w:val="20"/>
        </w:rPr>
        <w:t xml:space="preserve"> If you send a payment that is insufficient to purchase the number of shares of Class A Common Stock you requested, or if the number of shares of Class A Common Stock you requested is not specified in the forms, the payment received will be applied to exercise your rights to the fullest extent possible based on the amount of the payment received, subject to the availability of shares of Class A Common Stock under the oversubscription privilege and the elimination of fractional shares of Class A Common Stock. Any excess subscription payments received by the Subscription Agent will be returned, without interest, as soon as practicable following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fail to complete and sign the rights certificate or otherwise fail to follow the subscription procedures that apply to the exercise of your rights before the Expiration Date, the Subscription Agent will reject your subscription or accept it to the extent of the payment received. Neither we nor the Subscription Agent undertake any responsibility or action to contact you concerning an incomplete or incorrect subscription form, nor are we under any obligation to correct such forms. We have the sole discretion to determine whether a subscription exercise properly complies with the subscription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of the Rights Offering and Extensions, Amendments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your rights at any time before 5:00 p.m., New York City time, on October 14, 2026, the Expiration Date for this offering. We may, in our sole discretion, extend the time available for exercising the rights. If the commencement of this offering is delayed for a period of time, the Expiration Date of this offering will be similarly extended.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extend the duration of this offering as required by applicable law, and may choose to extend it if we decide that changes in the market price of our Class A Common Stock warrant an extension or if we decide to give investors more time to exercise their rights in this offering, although we do not presently intend to do so. We may extend the Expiration Date by giving oral or written notice to the Subscription Agent and the information agent on or before the scheduled Expiration Date. If we elect to extend the Expiration Date, we will issue a press release announcing such extension no later than 9:00 a.m., New York City time, on the next business day after the most recently announced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in our sole discretion, to amend or modify the terms of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exercise your rights before the Expiration Date, your unexercised rights will be null and void and will have no value. We will not be obligated to honor your exercise of rights if the Subscription Agent receives the documents relating to your exercise after the Expiration Date, regardless of when you transmitted the documents, except if you have timely transmitted the documents under the guaranteed delivery procedures described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terminate this offering, in whole or in part, in its sole discretion at any time for any reason. If we terminate this offering, any funds you paid to the Subscription Agent will be promptly refunded via check, without interest or deduction.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Completing Your Rights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and follow the instructions accompanying the rights certificates carefully.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responsible for the method of delivery of your rights certificates with your subscription price payment to the Subscription Agent. If you send your rights certificates and subscription price payment by mail, we recommend that you send them by traceable or overnight mail, properly insured, with return receipt requested. You should allow a sufficient number of days to ensure delivery to the Subscription Agent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Subscription Materials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for this offering is Broadridge Corporate Issuer Solutions, LLC. You should deliver your rights certificate and payment of the subscription price or, if applicable, notices of guaranteed delivery, to the Subscription Agent by one of the methods described below:</w:t>
      </w:r>
    </w:p>
    <w:p>
      <w:pPr>
        <w:pStyle w:val="TextBody"/>
        <w:bidi w:val="0"/>
        <w:spacing w:before="0" w:after="0"/>
        <w:ind w:left="0" w:right="0" w:firstLine="360"/>
        <w:jc w:val="left"/>
        <w:rPr>
          <w:caps w:val="false"/>
          <w:smallCaps w:val="false"/>
        </w:rPr>
      </w:pPr>
      <w:r>
        <w:rPr>
          <w:caps w:val="false"/>
          <w:smallCaps w:val="false"/>
        </w:rPr>
        <w:t> </w:t>
      </w:r>
    </w:p>
    <w:tbl>
      <w:tblPr>
        <w:tblW w:w="8728" w:type="dxa"/>
        <w:jc w:val="left"/>
        <w:tblInd w:w="0" w:type="dxa"/>
        <w:tblLayout w:type="fixed"/>
        <w:tblCellMar>
          <w:top w:w="0" w:type="dxa"/>
          <w:left w:w="0" w:type="dxa"/>
          <w:bottom w:w="28" w:type="dxa"/>
          <w:right w:w="0" w:type="dxa"/>
        </w:tblCellMar>
      </w:tblPr>
      <w:tblGrid>
        <w:gridCol w:w="4306"/>
        <w:gridCol w:w="116"/>
        <w:gridCol w:w="4306"/>
      </w:tblGrid>
      <w:tr>
        <w:trPr/>
        <w:tc>
          <w:tcPr>
            <w:tcW w:w="4306" w:type="dxa"/>
            <w:tcBorders>
              <w:bottom w:val="single" w:sz="8" w:space="0" w:color="000000"/>
            </w:tcBorders>
            <w:vAlign w:val="center"/>
          </w:tcPr>
          <w:p>
            <w:pPr>
              <w:pStyle w:val="TableContents"/>
              <w:bidi w:val="0"/>
              <w:spacing w:before="0" w:after="283"/>
              <w:ind w:left="0" w:right="0" w:hanging="0"/>
              <w:jc w:val="center"/>
              <w:rPr>
                <w:b/>
              </w:rPr>
            </w:pPr>
            <w:r>
              <w:rPr>
                <w:b/>
              </w:rPr>
              <w:t>By Mail</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bottom w:val="single" w:sz="8" w:space="0" w:color="000000"/>
            </w:tcBorders>
            <w:vAlign w:val="center"/>
          </w:tcPr>
          <w:p>
            <w:pPr>
              <w:pStyle w:val="TableContents"/>
              <w:bidi w:val="0"/>
              <w:spacing w:before="0" w:after="283"/>
              <w:ind w:left="0" w:right="0" w:hanging="0"/>
              <w:jc w:val="center"/>
              <w:rPr>
                <w:b/>
              </w:rPr>
            </w:pPr>
            <w:r>
              <w:rPr>
                <w:b/>
              </w:rPr>
              <w:t>By Overnight Carrier</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Broadridge Corporate Issuer Solutions, LLC</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Broadridge Corporate Issuer Solutions, LLC</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Attention: BCIS Re-Organization Dept.</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Attention: BCIS IWS</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P.O. Box 1317</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51 Mercedes Way</w:t>
            </w:r>
          </w:p>
        </w:tc>
      </w:tr>
      <w:tr>
        <w:trPr/>
        <w:tc>
          <w:tcPr>
            <w:tcW w:w="4306" w:type="dxa"/>
            <w:tcBorders/>
            <w:tcMar>
              <w:top w:w="28" w:type="dxa"/>
              <w:left w:w="28" w:type="dxa"/>
              <w:right w:w="28" w:type="dxa"/>
            </w:tcMar>
            <w:vAlign w:val="center"/>
          </w:tcPr>
          <w:p>
            <w:pPr>
              <w:pStyle w:val="TableContents"/>
              <w:bidi w:val="0"/>
              <w:spacing w:before="0" w:after="283"/>
              <w:ind w:left="0" w:right="0" w:hanging="0"/>
              <w:jc w:val="center"/>
              <w:rPr/>
            </w:pPr>
            <w:r>
              <w:rPr/>
              <w:t>Brentwood, New York 11717-0693</w:t>
            </w:r>
          </w:p>
        </w:tc>
        <w:tc>
          <w:tcPr>
            <w:tcW w:w="116" w:type="dxa"/>
            <w:tcBorders/>
            <w:tcMar>
              <w:top w:w="28" w:type="dxa"/>
              <w:left w:w="28" w:type="dxa"/>
              <w:right w:w="28" w:type="dxa"/>
            </w:tcMar>
            <w:vAlign w:val="center"/>
          </w:tcPr>
          <w:p>
            <w:pPr>
              <w:pStyle w:val="TableContents"/>
              <w:bidi w:val="0"/>
              <w:spacing w:before="0" w:after="283"/>
              <w:ind w:left="0" w:right="0" w:hanging="0"/>
              <w:jc w:val="left"/>
              <w:rPr/>
            </w:pPr>
            <w:r>
              <w:rPr/>
              <w:t> </w:t>
            </w:r>
          </w:p>
        </w:tc>
        <w:tc>
          <w:tcPr>
            <w:tcW w:w="4306" w:type="dxa"/>
            <w:tcBorders/>
            <w:tcMar>
              <w:top w:w="28" w:type="dxa"/>
              <w:left w:w="28" w:type="dxa"/>
              <w:right w:w="28" w:type="dxa"/>
            </w:tcMar>
            <w:vAlign w:val="center"/>
          </w:tcPr>
          <w:p>
            <w:pPr>
              <w:pStyle w:val="TableContents"/>
              <w:bidi w:val="0"/>
              <w:spacing w:before="0" w:after="283"/>
              <w:jc w:val="center"/>
              <w:rPr/>
            </w:pPr>
            <w:r>
              <w:rPr/>
              <w:t>Edgewood, New York 11717</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delivery to an address or by any method other than as set forth above will not constitute valid delivery, and we may not honor the exercise of your rights. In considering which method of delivery to use, holders of rights should take into consideration the amount of time remaining in this offering, as well as any guaranteed delivery procedures, to ensure that materials are delivered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must be made in full in U.S. currency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certified bank or cashier’s check drawn on a U.S. bank payable to “Broadridge Corporate Issuer Solutions, LLC, as Subscription Agent for Rent the Runway, Inc.”;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wire transfer or transfer of immediately available funds to the account maintained by the Subscription Agent (see the rights certificate for the wire instructions).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received after 5:00 p.m., New York City time, on the Expiration Date will not be honored, and, in such event, the Subscription Agent will return your payment to you, without interest, as soon as practicable. If you hold your shares of Class A Common Stock in street name, please contact your bank, broker or nominee for instructions on how to participate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About Exercising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assistance regarding the method of exercising your rights or requests for additional copies of this document, you should contact the Subscription Agent, Broadridge Corporate Issuer Solutions, LLC, at 888-789-8409 or by e-mail at shareholder@broadridge.com.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Rights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indicate the number of rights being exercised, or do not forward full payment of the total subscription price payment for the number of rights that you indicate are being exercised, (i) the Subscription Agent will have the right to reject and return your subscription for correction or (ii) you will be deemed to have exercised your basic subscription privilege with respect to the maximum number of rights that may be exercised with the aggregate subscription price payment you delivered to the Subscription Agent. If your aggregate subscription price payment is greater than the amount you owe for your subscription, you will be deemed to have exercised your oversubscription privilege to purchase the maximum number of shares of our Class A Common Stock with your overpayment. If we do not apply your full subscription price payment to your purchase of shares of our Class A Common Stock, we or the Subscription Agent will return the excess amount to you via check, without interest or deduction, as soon as practicable after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required to issue to you shares of our Class A Common Stock pursuant to this offering if, in our opinion, it would be unlawful to do so or you would be required to obtain prior clearance or approval from any state or federal regulatory authorities to own or control such shares if, on the Expiration Date, you have not obtained such clearance or approval. We reserve the right to delay the commencement of this offering in certain states or other jurisdictions if necessary to comply with local laws. We may elect not to offer shares to residents of any state or other jurisdiction whose laws would require a change in this offering in order to carry out this offering in such state or jurisdiction.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issued to a stockholder of record who would, in our opinion, be required to obtain prior clearance or approval from any state, federal or non-U.S. regulatory authority for the ownership or exercise of rights or the ownership of additional shares are null and void and may not be held or exercised by any such holder if, at such time, such holder has not obtained such clearance or approval.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Exercising a Portion of Your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subscribe for fewer than all of the shares of our Class A Common Stock represented by your rights certificate, you may receive from the Subscription Agent a new rights certificate representing your unused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indicate the number of rights being exercised, or if you do not make full payment of the total subscription price payment for the number of rights that you indicate are being exercised, (i) the Subscription Agent will have the right to reject and return your subscription for correction or (ii) you will be deemed to have exercised your right with respect to the maximum number of rights that may be exercised with the aggregate subscription price payment you delivered to the Subscription Agent. If we do not apply your full subscription price payment to the purchase of shares of Class A Common Stock, we or the Subscription Agent will return the excess amount to you via check, without interest or deduction, promptly after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Guaranteed Delivery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exercise subscription rights, but you do not have sufficient time to deliver the rights certificate evidencing your subscription rights to the Subscription Agent on or before the Expiration Date, you may exercise your subscription rights by delivering: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the Subscription Agent on or before the Expiration Date the payment for each share you elected to purchase pursuant to the exercise of rights in the manner set forth above under “—Method of Subscription”;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the Subscription Agent before the Expiration Date the form entitled “Notice of Guaranteed Delivery”;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properly completed rights certificate evidencing your rights being exercised and the form entitled “Nominee Holder Certification,” if applicable, with any required signatures guaranteed, to the Subscription Agent within one business day following the date you submit your Notice of Guaranteed Delivery.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Notice of Guaranteed Delivery must be delivered in substantially the same form provided with the Instructions for Use of Rent the Runway, Inc.’s rights certificate, which will be distributed to you with your rights certificate. Your Notice of Guaranteed Delivery must include a signature guarantee from an eligible institution, acceptable to the Subscription Agent. A form of that guarantee is included with the Notice of Guaranteed Delivery.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your Notice of Guaranteed Delivery, you must provide (i) your name, (ii) the number of rights represented by your rights certificate, the number of shares of our Class A Common Stock for which you are subscribing under your basic subscription privilege and the number of shares of our Class A Common Stock for which you are subscribing under your oversubscription privilege and (iii) your guarantee that you will deliver to the Subscription Agent a rights certificate evidencing the rights you are exercising within one business day following the date the Subscription Agent receives your Notice of Guaranteed Delivery.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deliver your Notice of Guaranteed Delivery to the Subscription Agent in the same manner as your rights certificate at the address set forth above under “—Delivery of Subscription Materials and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Procedures for DTC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exercise of your basic subscription privilege and your oversubscription privilege may be made through the facilities of DTC. If you are a broker, dealer, trustee or a depositary for securities who holds our Class A Common Stock for the account of others as a nominee holder, you may exercise your basic subscription privilege and your oversubscription privilege through DTC’s PSOP Function on the “agents subscription over PTS” procedures and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charging any fee or sales commission to issue rights to you or to issue shares of Class A Common Stock to you if you exercise your rights. If you exercise your rights through the record holders of your shares of Class A Common Stock, you are responsible for paying any commissions, fees, taxes or other expenses your record holder may charge you. We will pay all fees and expenses of the Subscription Agent related to this offering and have also agreed to indemnify the Subscription Agent from liabilities that it may incur in connection with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Fractional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will be sold at a purchase price of $3.55 per whole share. We will not issue fractional shares of Class A Common Stock or cash in lieu of fractional shares of Class A Common Stock. Fractional shares of Class A Common Stock resulting from the exercise of the basic subscription and oversubscription privileges will be eliminated by rounding down to the nearest whole share of Class A Common Stock, with such adjustments as may be necessary to ensure that we offer no more than 4,225,352 shares of Class A Common Stock in this offering. In the event that, because of the rounding of fractional shares of Class A Common Stock, this offering would have been subscribed in an amount in excess of 4,225,352 shares of Class A Common Stock, all holders’ shares issued in this offering will be reduced in an equitable manner. Any excess subscription payments received by the Subscription Agent will be returned, without interest, as soon as practicable.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to Beneficial Holders and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broker, a trustee or a depositary for securities who holds shares of our Class A Common Stock for the account of others on the Record Date, you should notify the respective beneficial owners of such shares of this offering as soon as possible to find out their intentions with respect to exercising their rights. You should obtain instructions from the beneficial owner with respect to their rights, as set forth in the instructions we have provided to you for your distribution to beneficial owners. If the beneficial owner so instructs, you should complete the appropriate rights certificates and submit them to the Subscription Agent with the proper payment. If you hold shares of our Class A Common Stock for the account of more than one beneficial owner, you may exercise the number of rights to which all such beneficial owners in the aggregate otherwise would have been entitled had they been direct record holders of our Class A Common Stock on the Record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you, as a nominee record holder, make a proper showing to the Subscription Agent by submitting the form entitled “Nominee Holder Certification” that we will provide to you with your rights offering materials. If you did not receive this form, you should contact the Subscription Agent, Broadridge Corporate Issuer Solutions, LLC, to request a copy.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of our Class A Common Stock or will receive your rights through a broker, custodian bank or other nominee, we will ask your broker, custodian bank or other nominee to notify you of this offering. If you wish to exercise your rights, you will need to have your broker, custodian bank or other nominee act for you. To indicate your decision with respect to your rights, you should complete and return to your broker, custodian bank or other nominee the form entitled “Beneficial Owner Election Form.” You should receive this form from your broker, custodian bank or other nominee with the other offering materials. If you wish to obtain a separate rights certificate, you should contact the nominee as soon as possible and request that a separate rights certificate be issued to you. You should contact your broker, custodian bank or other nominee if you do not receive this form, but you believe you are entitled to participate in this offering. We are not responsible if you do not receive the form from your broker, custodian bank or nominee or if you receive it without sufficient time to respond.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Subscriptions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resolve all questions regarding the validity and form of the exercise of your rights, including time of receipt and eligibility to participate in this offering. Our determination will be final and binding. Once made, subscriptions and directions are irrevocable, and we will not accept any alternative, conditional or contingent subscriptions or directions. We reserve the absolute right to reject any subscriptions or directions not properly submitted or the acceptance of which would be unlawful. You must resolve any irregularities in connection with your subscriptions before the subscription period expires, unless we waive them in our sole discretion. Neither we nor the Subscription Agent is under any duty to notify you or your representative of defects in your subscriptions. A subscription will be considered accepted, subject to our right to withdraw or terminate this offering, only when the Subscription Agent receives a properly completed and duly executed rights certificate, any other required documents and the full subscription payment. Our interpretations of the terms and conditions of this offering will be final and binding.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Funds Held by Subscription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will hold your payment of the subscription price in a segregated account with other payments received from other rights holders until we issue shares of our Class A Common Stock to you upon consummation of this offering or the withdrawal or termination of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Subscription Agent returns payments to you through your broker, dealer, custodian bank or other nominee, then such broker, dealer, custodian bank or other nominee may charge you separate service or administration fees. We are not responsible for covering or reimbursing any such fees.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no rights as a holder of the shares of our Class A Common Stock that you purchase in this offering until you receive a direct registration account statement from our transfer agent reflecting ownership of such shares, or your account at your nominee is credited with the shares of our Class A Common Stock purchased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Revocation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you have exercised your rights or have instructed your nominee of your subscription request, you may not revoke or change your exercise or request a refund of monies paid. All exercises of rights are irrevocable, even if you learn information about us that you consider unfavorable. You should not exercise your rights unless you are certain that you wish to purchase shares of our Class A Common Stock at the subscription price. Rights not exercised prior to the Expiration Date of this offering will expire and will have no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and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traded on the Nasdaq Global Market under the symbol “RENT.” On September 25, 2026, the last reported sale price of our shares of Class A Common Stock on the Nasdaq was $1.67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not be listed for trading on the Nasdaq or any other national securities exchange or nationally recognized trading 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and Sales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evidenced by a rights certificate may be transferred (i) in whole, by endorsing the rights certificate for transfer in accordance with the accompanying instructions or (ii) in part, by delivering to the Subscription Agent a rights certificate properly endorsed for transfer, with instructions to register such portion of the rights evidenced thereby in the name of the transferee and to issue a new rights certificate to the transferee evidencing such transferred rights. In such event, a new rights certificate evidencing the balance of the rights will be issued to the stockholder or, if the stockholder so instructs, to an additional transferee. The signature on the rights certificate must correspond to the name as written upon the face of the rights certificate, without alteration, enlargement, or any change. A signature guarantee must be provided by an Eligible Guarantor Institution as that term is defined in Rule 17Ad-15 under the Exchange Act, subject to the standards and procedures adopted by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wishing to transfer all or a portion of their rights should allow at least five business days prior to the Expiration Date of this offering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Neither we nor the Subscription Agent shall have any liability to a transferee or transferor of rights if rights certificates are not received in time for exercise prior to the Expiration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fees charged by the Subscription Agent, which will be paid by us, all commissions, fees and other expenses (including brokerage commissions and transfer taxes) incurred or charged in connection with the purchase, sale or exercise of rights will be for the account of the transferor of the rights. None of those commissions, fees or expenses will be paid by us or the Subscription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the rights will be eligible for transfer through, and that the exercise of the basic subscription and oversubscription privileges may be effected through, the facilities of DTC. Holders of DTC exercised rights may exercise the oversubscription right in respect of such DTC exercised rights by properly completing and duly executing and delivering to the Subscription Agent, at or before 5:00 p.m., New York City time, on the Expiration Date, a nominee holder over-rights certificate or a substantially similar form satisfactory to the Subscription Agent, together with payment of the estimated subscription price for the number of shares for which the oversubscription privilege is to be exercised.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 is the transfer agent and registrar for our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Broadridge Corporate Issuer Solutions, LLC to act as Subscription Agent for this offering. You should direct any questions or requests for assistance concerning the method of subscribing for the shares of our Class A Common Stock or for additional copies of this prospectus to the Subscription Agent. Please refer to the “Questions About Exercising Subscription Rights” above for contact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 Common Stock Outstanding After the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33,757,416 shares of our Class A Common Stock issued and outstanding as of July 31, 2026, approximately 37,982,768 shares of our Class A Common Stock will be issued and outstanding after giving effect to this offering, assuming full exercise of all basic subscription privileges. We will not be issuing share certificates for the Class A Common Stock issued pursuant to this offering. Issuance of Class A Common Stock will be made electronically via book entry by Equiniti Trust Company, LLC, our transfer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authorities governing transactions such as this offering are complex and unclear in certain respects (including with respect to the effects of the oversubscription privilege), we believe and intend to take the position that a holder’s receipt or exercise of rights should generally be non-taxable for U.S. federal income tax purposes. This position regarding the non-taxable treatment of this offering is, however, not binding on the Internal Revenue Service (the “IRS”) or the courts. You should consult your tax advisor as to the particular tax consequences to you of the receipt of rights in this offering and the exercise, sale or lapse of the rights, including the applicability of any state, local or non-U.S. tax laws in light of your particular circumstances. For a more detailed discussion, see “Material U.S. Federal Income Tax Consequences.”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will not mail rights certificates to stockholders on the Record Date whose addresses are outside the United States, and such holders’ rights certificates will be held by the Subscription Agent for their account until any instructions are received to exercise their rights. If you are a stockholder whose address is outside the United States, to exercise your rights, you must notify the Subscription Agent before 11:00 a.m., New York City time, on October 7, 2026, which is five business days prior to the Expiration Date, unless extended by us, and, if we so request, must establish to our satisfaction that you are permitted to exercise your rights under applicable law. Any questions related to exercising rights should be directed to the Subscription Agent. If these procedures are not followed prior to the Expiration Date, those holders’ rights will expire. We will decide all questions concerning the timeliness, validity, form and eligibility of the exercise of your rights, and any such determinations by us will be final and binding.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is not being made in any state or other jurisdiction in which it would be unlawful to do so, nor are we selling to you, or accepting any offers from you to purchase, shares of our Class A Common Stock if you are a resident of any such state or other jurisdiction. If necessary, we may delay commencement of this offering in certain states or other jurisdictions in order to comply with the securities law requirements of those states or other jurisdictions. We do not anticipate that there will be any changes in this offering, and we may, in our sole discretion, decline to make modifications to the terms of this offering requested by regulators in states or other jurisdictions, in which case stockholders who live in those states or other jurisdictions will not be eligible to participate in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Our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who hold shares of Class A Common Stock may participate in this offering at the same subscription price as all other stockholders, but none of our executive officers and directors are obligated to so participate.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shares of our Class A Common Stock must be made according to each investor’s evaluation of such investor’s own best interests and after considering all of the information herein, including the “Risk Factors” section beginning on page 8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our Board has, or will, make any recommendation to stockholders whether to exercise their rights in this offering. You should make an independent investment decision about whether to exercise your rights based on your own assessment of our business and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MATERIAL U.S. FEDERAL INCOME TAX CONSEQUENCES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the receipt, exercise (or expiration) and disposition of the rights acquired through this offering and the ownership and disposition of shares of our Class A Common Stock received upon exercise of the rights. This discussion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rights or shares of our Class A Common Stock. We have not sought and will not seek any rulings from the IRS regarding the matters discussed below. There can be no assurance the IRS or a court will not take a contrary position to that discussed below regarding the tax consequences of the receipt of rights through this offering by persons holding shares of our Class A Common Stock entitled to receive rights pursuant to this offering, the exercise (or expiration) of the rights, the disposition of the rights, and the ownership and disposition of shares of our Class A Common Stock acquired upon exercise of the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limited to the rights acquired through this offering and shares of our Class A Common Stock acquired upon exercise of rights, in each case, that are held as a “capital asset” within the meaning of Section 1221 of the Code (generally, property held for investment). This discussion does not address all U.S. federal income tax consequences relevant to a holder’s particular circumstances, including the impact of any minimum tax or the Medicare contribution tax on net investment income. In addition, it does not address consequences relevant to holders subject to special rules, including, without limitation: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left"/>
              <w:rPr/>
            </w:pPr>
            <w:r>
              <w:rPr/>
              <w:t>U.S. expatriates and former citizens or long-term residents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holding the rights or shares of our Class A Common Stock as part of a hedge, straddle or other risk reduction strategy or as part of a conversion transaction or other integrated investment;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pPr>
            <w:r>
              <w:rPr/>
              <w:t>banks, insurance companies, and other financial institutions;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brokers, dealers or traders in securities or currencies or traders that elect to mark-to-market their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controlled foreign corporations,” “passive foreign investment companies,” and corporations that accumulate earnings to avoid U.S. federal income tax;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 corporations, partnerships or other entities or arrangements treated as partnerships or other pass-through entities for U.S. federal income tax purposes (and investors therein);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real estate investment trusts, regulated investment companies, grantor trusts, tax-exempt organizations or governmental organizations;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deemed to sell the rights or shares of our Class A Common Stock under the constructive sale provisions of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subject to special tax accounting rules as a result of any item of gross income being taken into account in an applicable financial statement (as defined in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who received, hold or will receive shares of our Class A Common Stock or the rights pursuant to the exercise of any employee stock option or otherwise as compensation and persons who hold restricted Class A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424"/>
        <w:gridCol w:w="9652"/>
      </w:tblGrid>
      <w:tr>
        <w:trPr/>
        <w:tc>
          <w:tcPr>
            <w:tcW w:w="12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rFonts w:ascii="Symbol" w:hAnsi="Symbol"/>
              </w:rPr>
            </w:pPr>
            <w:r>
              <w:rPr>
                <w:rFonts w:ascii="Symbol" w:hAnsi="Symbol"/>
              </w:rPr>
              <w:t>·</w:t>
            </w:r>
          </w:p>
        </w:tc>
        <w:tc>
          <w:tcPr>
            <w:tcW w:w="9652" w:type="dxa"/>
            <w:tcBorders/>
            <w:vAlign w:val="center"/>
          </w:tcPr>
          <w:p>
            <w:pPr>
              <w:pStyle w:val="TableContents"/>
              <w:bidi w:val="0"/>
              <w:spacing w:before="0" w:after="283"/>
              <w:jc w:val="left"/>
              <w:rPr/>
            </w:pPr>
            <w:r>
              <w:rPr/>
              <w:t>tax-qualified retirement plans;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persons who own or have owned (directly, indirectly or constructively) 5% or more of our Class A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U.S. Holders (as defined below) that have a functional currency other than the U.S. dollar;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members of the Investor Group that purchase our Class A Common Stock pursuant to the Backstop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shares of our Class A Common Stock, receives rights pursuant to this offering or receives shares of our Class A Common Stock upon exercise of rights, as the case may be, the tax treatment of a partner in the partnership will generally depend on the status of the partner, the activities of the partnership and certain determinations made at the partner level. Accordingly, partnerships and the partners in such partnerships should consult their tax advisors regarding the U.S. federal income tax consequences to them.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for information purposes only and is not tax advice. Investors should consult their tax advisors with respect to the application of U.S. federal income tax laws to their particular situations as well as any tax consequences of the receipt, ownership, exercise and disposition of rights and the ownership and disposition of shares of our Class A Common Stock acquired upon exercise of rights arising under the U.S. federal estate or gift tax laws or under the laws of any state, local or non-U.S. taxing jurisdiction or under any applicable income tax treaty.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Definition of a U.S. Holder</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any beneficial owner of shares of our Class A Common Stock, subscription rights distributed in this offering or shares of our Class A Common Stock acquired upon exercise of rights, as the case may be, that, for U.S. federal income tax purposes, is or is treated as any of the following: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3"/>
        <w:gridCol w:w="9928"/>
      </w:tblGrid>
      <w:tr>
        <w:trPr/>
        <w:tc>
          <w:tcPr>
            <w:tcW w:w="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Symbol" w:hAnsi="Symbol"/>
              </w:rPr>
            </w:pPr>
            <w:r>
              <w:rPr>
                <w:rFonts w:ascii="Symbol" w:hAnsi="Symbol"/>
              </w:rPr>
              <w:t>·</w:t>
            </w:r>
          </w:p>
        </w:tc>
        <w:tc>
          <w:tcPr>
            <w:tcW w:w="9928" w:type="dxa"/>
            <w:tcBorders/>
            <w:vAlign w:val="center"/>
          </w:tcPr>
          <w:p>
            <w:pPr>
              <w:pStyle w:val="TableContents"/>
              <w:bidi w:val="0"/>
              <w:spacing w:before="0" w:after="283"/>
              <w:jc w:val="left"/>
              <w:rPr/>
            </w:pPr>
            <w:r>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corporation created or organized under the laws of the United States, any state thereof, or the District of Columbia;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4"/>
        <w:gridCol w:w="10031"/>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10031" w:type="dxa"/>
            <w:tcBorders/>
            <w:vAlign w:val="center"/>
          </w:tcPr>
          <w:p>
            <w:pPr>
              <w:pStyle w:val="TableContents"/>
              <w:bidi w:val="0"/>
              <w:spacing w:before="0" w:after="283"/>
              <w:jc w:val="left"/>
              <w:rPr/>
            </w:pPr>
            <w:r>
              <w:rPr/>
              <w:t>an estate or trust, the income of which is subject to U.S. federal income tax regardless of its source.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Receipt of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authorities governing transactions such as this offering are complex and unclear in certain respects (including with respect to the effects of the over-subscription privilege), we believe and intend to take the position that a U.S. Holder’s receipt of rights pursuant to this offering should not be treated as a taxable distribution with respect to such holder’s existing shares of Class A Common Stock for U.S. federal income tax purposes. Section 305(a) of the Code generally provides that the receipt by a stockholder of a right to acquire stock or warrants is not included in the taxable income of the stockholder; however, the general non-recognition rule in Section 305(a) of the Code is subject to exceptions described in Section 305(b) of the Code, which include “disproportionate distributions.” A disproportionate distribution is generally a distribution or a series of distributions, including deemed distributions, that has the effect of the receipt of cash or other property by some stockholders (including holders of rights to acquire stock and holders of debt instruments convertible into stock) and an increase in the proportionate interest of other stockholders (including holders of rights to acquire stock and holders of debt instruments convertible into stock) in a corporation’s assets or earnings and profits.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any distributions of cash or property (other than stock or rights to acquire stock) with respect to our stock or stock options. Currently, we do not intend to make any future distributions of cash or property (other than stock or rights to acquire stock) with respect to our stock or stock options; however, there is no guarantee that we will not make such distributions or payments, or distributions or payments in respect of other equity or convertible debt instruments,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position regarding the non-taxable treatment of this offering is not binding on the IRS or the courts. If this position is finally determined by the IRS or a court to be incorrect, whether because, contrary to our expectations, distributions of cash or property (other than stock or rights to acquire stock) are made with respect to our stock or stock options, because the issuance of the rights is a “disproportionate distribution” or for any other reason, the fair market value of the rights would be taxable to U.S. Holders of our Class A Common Stock generally in the manner as described below under “—Distributions on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discussion is based upon the treatment of this offering as a non-taxable distribution with respect to a U.S. Holder’s existing shares of Class A Common Stock for U.S. federal income tax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Basis and Holding Period in the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fair market value of the rights a U.S. Holder receives is less than 15% of the fair market value of the U.S. Holder’s existing shares of Class A Common Stock with respect to which the rights are distributed on the date the U.S. Holder receives the rights, Section 307(b) of the Code provides that the rights will be allocated a zero tax basis for U.S. federal income tax purposes, unless the U.S. Holder elects to allocate the tax basis in the holder’s existing shares of Class A Common Stock between the existing shares of Class A Common Stock and the rights in proportion to the relative fair market values of the existing shares of Class A Common Stock and the rights determined on the date of receipt of the rights. If a U.S. Holder chooses to allocate tax basis between the holder’s existing common shares and the rights, the U.S. Holder must make this election on a statement included with the holder’s timely filed U.S. federal income tax return (including extensions) for the taxable year in which the U.S. Holder receives the rights. Such an election is irrevocable.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the fair market value of the rights a U.S. Holder receives is 15% or more of the fair market value of the holder’s existing shares of Class A Common Stock on the date the U.S. Holder receives the rights, then the U.S. Holder must allocate tax basis in the existing shares of Class A Common Stock between those shares and the rights the U.S. Holder receives in proportion to their fair market values determined on the date the U.S. Holder receives the rights. Please refer to the discussion below regarding the U.S. tax treatment of a U.S. Holder that, at the time of the receipt of the right, no longer holds the Class A Common Stock with respect to which the right was distributed.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the rights on the date that the rights are distributed is uncertain, and we have not obtained, and do not intend to obtain, an appraisal of the fair market value of the rights on that date. In determining the fair market value of the rights, U.S. Holders should consider all relevant facts and circumstances, including, without limitation, any difference between the subscription price of the rights and the trading price of our shares of Class A Common Stock on the date that the rights are distributed, the fair market value and the length of the period during which the rights may be exercised.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holding period in the rights it receives will include the holding period of the U.S. Holder’s existing shares of Class A Common Stock with respect to which the rights are distributed.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not recognize gain or loss upon the exercise of a right received in this offering. A U.S. Holder’s adjusted tax basis, if any, in the right plus the subscription price will establish the U.S. Holder’s initial tax basis in the shares of Class A Common Stock received upon exercise of such U.S. Holder’s right. It is unclear whether a U.S. Holder’s holding period for a share of Class A Common Stock acquired upon exercise of a right in this offering will begin on the date of exercise or the day following the date of exercise.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the receipt or exercise of the right, the U.S. Holder no longer holds the Class A Common Stock with respect to which the right was distributed, then certain aspects of the tax treatment of the receipt and exercise of the right are unclear, including (i) the allocation of the tax basis between the shares of our Class A Common Stock previously sold and the right, (ii) the impact of such allocation on the amount and timing of gain or loss recognized with respect to the shares of our Class A Common Stock previously sold, and (iii) the impact of such allocation on the tax basis of the shares of our Class A Common Stock acquired upon exercise of the right. Furthermore, if you exercise the rights and sell other shares of our Class A Common Stock within the 61-day period beginning 30 days before the exercise date and ending 30 days after the exercise date, the “wash sale” rules may disallow the recognition of any loss upon the sale of our Class A Common Stock. If a U.S. Holder exercises a right received in this offering after disposing of shares of our Class A Common Stock with respect to which the right is received, the U.S. Holder should consult its tax advisor.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Expiration of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allows rights received in this offering to expire, the U.S. Holder should not recognize any gain or loss for U.S. federal income tax purposes, and the U.S. Holder should re-allocate any portion of the tax basis in its existing common shares previously allocated to the rights that have expired to such U.S. Holder’s existing common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or Other Disposition of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or other taxable disposition of rights received in this offering, a U.S. Holder generally will recognize capital gain or loss equal to the difference between the amount realized and the U.S. Holder’s adjusted tax basis, if any, in such rights. Such capital gain or loss will be long-term capital gain or loss if the U.S. Holder’s holding period of the rights exceeded one year at the time of disposition. Long-term capital gains recognized by certain non-corporate taxpayers, including individuals, generally are subject to reduced rates of taxation. The deductibility of capital losses is subject to limitations.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declaring or paying cash dividends to holders of our Class A Common Stock in the foreseeable future. However, if we do make distributions of cash or property on our Class A Common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that certain holding period and other requirements are satisfied. Distributions in excess of our current and accumulated earnings and profits will constitute a return of capital and first be applied against and reduce a U.S. Holder’s adjusted tax basis in its Class A Common Stock, as the case may be, but not below zero. Any excess will be treated as capital gain and will be treated as described below under “—Sale, Exchange or Other Disposition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or Other Disposition of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or other taxable disposition of our Class A Common Stock, a U.S. Holder generally will recognize capital gain or loss equal to the difference between the amount realized (not including any amount attributable to declared and unpaid dividends, which will be taxable to U.S. Holders who have not previously included such dividends in income as described above under “—Distributions on Class A Common Stock”) and the U.S. Holder’s adjusted tax basis in our Class A Common Stock. Such capital gain or loss will generally be long-term capital gain or loss if the U.S. Holder’s holding period for our Class A Common Stock exceeded one year at the time of disposition. Long-term capital gains recognized by certain non-corporate U.S. Holders, including individuals, generally are subject to reduced rates of taxation. The deductibility of capital losses is subject to limitations.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Information Reporting and Backup Withholding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subject to information reporting and backup withholding when such holder receives dividend payments (including constructive dividends) or receives proceeds from the sale or other taxable disposition of the shares of our Class A Common Stock acquired through the exercise of rights. Certain U.S. Holders are exempt from backup withholding, including corporations and certain tax-exempt organizations. A U.S. Holder will be subject to backup withholding unless such holder provides the holder’s taxpayer identification number and otherwise complies with applicable requirements of the backup withholding rules or the holder provides proof of an applicable exemption.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any beneficial owner of shares of our Class A Common Stock, our rights or shares of our Class A Common Stock acquired upon exercise of rights, as the case may be, that is neither a U.S. Holder nor an entity or arrangement treated as a partnership for U.S. federal income tax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Receipt, Exercise and Expiration of the Rights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assumes that the receipt of rights will be treated as a non-taxable distribution. See “—Tax Considerations Applicable to U.S. Holders-Receipt of Rights” above. In such case, Non-U.S. Holders will not be subject to U.S. federal income tax (or any withholding thereof) on the receipt, exercise or expiration of the rights. Otherwise, the fair market value of the rights would be taxable to Non-U.S. Holders of our Class A Common Stock generally in the manner as described below under “—Distributions on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declaring or paying cash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Disposition of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on effectively connected income, dividends paid to a Non-U.S. Holder will be subject to U.S. federal withholding tax at a rate of 30% of the gross amount of the dividends (or such lower rate specified by an applicable income tax treaty), provided that the Non-U.S. Holder furnishes a valid IRS Form W-8BEN or W-8BEN-E (or other applicable documentation) claiming such benefits. Dividends will not be subject to withholding if they are effectively connected with the conduct of a trade or business within the United States and the Non-U.S. Holder provides a valid IRS Form W-8ECI. A Non-U.S. Holder that does not timely furnish the required documentation, but that qualifies for a reduced treaty rate, may obtain a refund of any excess amounts withheld by timely filing an appropriate claim for refund with the IRS.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tax advisors regarding their entitlement to benefits under any applicable income tax treaty.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effectively connected dividends will be subject to U.S. federal income tax on a net income basis at the regular graduated U.S. federal income tax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or Other Disposition of Rights or Class A Common Stock</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under “—Information Reporting and Backup Withholding” and “— FATCA,” a Non-U.S. Holder will not be subject to U.S. federal income tax on any gain realized upon the sale or other taxable disposition of our rights or Class A Common Stock unless: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Non-U.S. Holder is a nonresident alien individual present in the United States for 183 days or more during the taxable year of the disposition and certain other requirements are met;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subscription rights distributed in this offering or Class A Common Stock constitute a U.S. real property interest (“USRPI”) by reason of our status as a U.S. real property holding corporation (“USRPHC”) for U.S. federal income tax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described in the second bullet point above will be subject to U.S. federal income tax at a rate of 30% (or such lower rate specified by an applicable income tax treaty) on gain realized upon the sale or other taxable disposition of our rights or Class A Common Stock, which may be offset by U.S. source capital losses of the Non-U.S. Holder (even though the individual is not considered a resident of the United States), provided that the Non-U.S. Holder has timely filed U.S. federal income tax returns with respect to such losses.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tax advisors regarding potentially applicable income tax treaties that may provide for different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(including constructive dividends) on our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deemed distributions) on our Class A Common Stock paid to the Non-U.S. Holder, regardless of whether such distributions constitute dividends or whether any tax was actually withheld. In addition, proceeds of the sale or other taxable disposition of our rights or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rights or Class A Common Stock conducted through a non-U.S. office of a non-U.S. broker generally will not be subject to backup withholding or information reporting.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Code commonly referred to as “FATCA” require withholding of 30% on payments of dividends on our Class A Common Stock, as well as of gross proceeds of dispositions of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Class A Common Stock. If FATCA withholding is imposed, a beneficial owner that is not a foreign financial institution generally may obtain a refund of any amounts withheld by filing a U.S. federal income tax return (which may entail significant administrative burden).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consult their tax advisors regarding the potential application of withholding under FATCA to their receipt, ownership, and exercise and disposition of rights and the ownership and disposition of shares of our Class A Common Stock acquired upon exercise of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or about September 30, 2026, the rights will be distributed to holders of our Class A Common Stock as of the Record Date. If you wish to exercise your rights and purchase shares of Class A Common Stock in this offering, you should timely comply with the procedures described in “Description of the Rights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offered pursuant to this offering are being offered by us directly to all holders of our Class A Common Stock. We intend to distribute subscription materials, including rights certificates, to those persons that were holders of our Class A Common Stock on the Record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Broadridge Corporate Issuer Solutions, LLC, as the Subscription Agent. We will pay all customary fees and expenses of the Subscription Agent related to this offering. We have also agreed to indemnify the Subscription Agent with respect to certain liabilities that it may incur in connection with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employed any brokers, dealers or underwriters in connection with the solicitation or exercise of rights. Our officers and directors may solicit responses from the holders of rights in connection with this offering, but such officers and directors will not receive any commissions or compensation for such services other than their normal compensation.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rights that are not subscribed for by existing stockholders will not be reoffered to the public. Pursuant to the Backstop Agreement, the Investor Group has agreed to purchase from us, at a price per share equal to the subscription price, all unsubscribed shares of Class A Common Stock in this offering (if any) for cash. The Investor Group will be entitled to exercise its own subscription rights that it receives pursuant to this offering, and it will not receive any fee for acting as the backstop purchaser for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incur approximately $0.7 million in total expenses in connection with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rights are transferable, they will not be listed for trading on the Nasdaq or any other national securities exchange or nationally recognized trading 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hereby will be passed upon for the company by Davis Polk &amp; Wardwell LLP.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January 31, 2026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S-1 with the SEC with respect to the securities offered by this prospectus. This prospectus does not include all of the information contained in the registration statement. You should refer to the registration statement and its exhibits for additional information. Whenever we make references in this prospectus to any of our contracts, agreement or other documents, the references are not necessarily complete, and you should refer to the exhibits attached to the registration statement for copies of the actual contract, agreement or other document.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file annual, quarterly and current reports, proxy statements and other information with the SEC. Our SEC filings are available to the public on the SEC’s website at http://www.sec.gov. Information about us, including certain SEC filings, is also available at our website at investors.renttherunway.com. However, the information contained in, or that can be accessed through, our website is not incorporated by reference in, and is not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 this prospectus the information in other documents that we file with the SEC, which means that we can disclose important information to you by referring you to those documents. The information incorporated or deemed to be incorporated by reference is considered to be a part of this prospectus, and any statement made in a document incorporated by reference into this prospectus will be deemed to be modified or superseded for purposes of this prospectus to the extent that a statement contained in this prospectus modifies or supersedes that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 this prospectus the documents listed below and any future filings that we may make with the SEC under Sections 13(a), 13(c), 14 or 15(d) of the Exchange Act prior to the termination of this offering (provided, however, that we are not incorporating, in each case, any documents or information deemed to have been “furnished” under Items 2.02, 7.01 or 9.01 of Form 8-K or other information deemed to have been “furnished” and not filed in accordance with SEC rules):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Annual Report on Form 10-K for the fiscal year ended January 31, 2026, filed with the SEC on </w:t>
            </w:r>
            <w:hyperlink r:id="rId3">
              <w:r>
                <w:rPr>
                  <w:rStyle w:val="InternetLink"/>
                </w:rPr>
                <w:t>April 14,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Quarterly Reports on Form 10-Q for the fiscal quarter ended April 30, 2026, filed with the SEC on </w:t>
            </w:r>
            <w:hyperlink r:id="rId4">
              <w:r>
                <w:rPr>
                  <w:rStyle w:val="InternetLink"/>
                </w:rPr>
                <w:t>June 3, 2026</w:t>
              </w:r>
            </w:hyperlink>
            <w:r>
              <w:rPr/>
              <w:t xml:space="preserve">, and for the fiscal quarter ended July 31, 2026, filed with the SEC on </w:t>
            </w:r>
            <w:hyperlink r:id="rId5">
              <w:r>
                <w:rPr>
                  <w:rStyle w:val="InternetLink"/>
                  <w:color w:val="0000FF"/>
                </w:rPr>
                <w:t>September 11, 2026</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7" w:type="dxa"/>
            <w:tcBorders/>
            <w:vAlign w:val="center"/>
          </w:tcPr>
          <w:p>
            <w:pPr>
              <w:pStyle w:val="TableContents"/>
              <w:bidi w:val="0"/>
              <w:spacing w:before="0" w:after="283"/>
              <w:jc w:val="left"/>
              <w:rPr/>
            </w:pPr>
            <w:r>
              <w:rPr/>
              <w:t xml:space="preserve">Definitive Proxy Statement on Schedule 14A, filed with the SEC on </w:t>
            </w:r>
            <w:hyperlink r:id="rId6">
              <w:r>
                <w:rPr>
                  <w:rStyle w:val="InternetLink"/>
                </w:rPr>
                <w:t>June 1, 2026</w:t>
              </w:r>
            </w:hyperlink>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Current Reports on Form 8-K, filed with the SEC on </w:t>
            </w:r>
            <w:hyperlink r:id="rId7">
              <w:r>
                <w:rPr>
                  <w:rStyle w:val="InternetLink"/>
                </w:rPr>
                <w:t>April 15, 2026</w:t>
              </w:r>
            </w:hyperlink>
            <w:r>
              <w:rPr/>
              <w:t xml:space="preserve">, </w:t>
            </w:r>
            <w:hyperlink r:id="rId8">
              <w:r>
                <w:rPr>
                  <w:rStyle w:val="InternetLink"/>
                </w:rPr>
                <w:t>May 13, 2026</w:t>
              </w:r>
            </w:hyperlink>
            <w:r>
              <w:rPr/>
              <w:t xml:space="preserve"> (excluding Item 7.01), </w:t>
            </w:r>
            <w:hyperlink r:id="rId9">
              <w:r>
                <w:rPr>
                  <w:rStyle w:val="InternetLink"/>
                </w:rPr>
                <w:t>May 21, 2026</w:t>
              </w:r>
            </w:hyperlink>
            <w:r>
              <w:rPr/>
              <w:t xml:space="preserve">, </w:t>
            </w:r>
            <w:hyperlink r:id="rId10">
              <w:r>
                <w:rPr>
                  <w:rStyle w:val="InternetLink"/>
                </w:rPr>
                <w:t>July 16, 2026</w:t>
              </w:r>
            </w:hyperlink>
            <w:r>
              <w:rPr/>
              <w:t xml:space="preserve">, </w:t>
            </w:r>
            <w:hyperlink r:id="rId11">
              <w:r>
                <w:rPr>
                  <w:rStyle w:val="InternetLink"/>
                </w:rPr>
                <w:t>August 13, 2026</w:t>
              </w:r>
            </w:hyperlink>
            <w:r>
              <w:rPr/>
              <w:t xml:space="preserve">, </w:t>
            </w:r>
            <w:hyperlink r:id="rId12">
              <w:r>
                <w:rPr>
                  <w:rStyle w:val="InternetLink"/>
                </w:rPr>
                <w:t>September 1, 2026</w:t>
              </w:r>
            </w:hyperlink>
            <w:r>
              <w:rPr/>
              <w:t xml:space="preserve">, </w:t>
            </w:r>
            <w:hyperlink r:id="rId13">
              <w:r>
                <w:rPr>
                  <w:rStyle w:val="InternetLink"/>
                </w:rPr>
                <w:t>September 4, 2026</w:t>
              </w:r>
            </w:hyperlink>
            <w:r>
              <w:rPr/>
              <w:t xml:space="preserve"> and </w:t>
            </w:r>
            <w:hyperlink r:id="rId14">
              <w:r>
                <w:rPr>
                  <w:rStyle w:val="InternetLink"/>
                </w:rPr>
                <w:t>September 11, 2026</w:t>
              </w:r>
            </w:hyperlink>
            <w:r>
              <w:rPr/>
              <w:t xml:space="preserve"> (including Items 1.01 and 3.02).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herein. Requests for such copies should be made by writing or telephoning us at the following address: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the Runway,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Jay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Brooklyn, New York 11201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524-6860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057275" cy="1457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057275" cy="1457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RENT THE RUNWAY,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Subscription Rights to Purchase 4,225,352 Shares of</w:t>
        <w:br/>
        <w:t>Class A Common Stock at $3.55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68327/000146832726000020/wdq-20260131.htm" TargetMode="External"/><Relationship Id="rId4" Type="http://schemas.openxmlformats.org/officeDocument/2006/relationships/hyperlink" Target="https://www.sec.gov/ix?doc=/Archives/edgar/data/1468327/000146832726000031/rent-20260430.htm" TargetMode="External"/><Relationship Id="rId5" Type="http://schemas.openxmlformats.org/officeDocument/2006/relationships/hyperlink" Target="https://www.sec.gov/ix?doc=/Archives/edgar/data/0001468327/000146832726000088/rent-20260731.htm" TargetMode="External"/><Relationship Id="rId6" Type="http://schemas.openxmlformats.org/officeDocument/2006/relationships/hyperlink" Target="https://www.sec.gov/ix?doc=/Archives/edgar/data/1468327/000114036126023446/ny20064283x2_def14a.htm" TargetMode="External"/><Relationship Id="rId7" Type="http://schemas.openxmlformats.org/officeDocument/2006/relationships/hyperlink" Target="https://www.sec.gov/ix?doc=/Archives/edgar/data/0001468327/000095010326005727/dp245184_8k.htm" TargetMode="External"/><Relationship Id="rId8" Type="http://schemas.openxmlformats.org/officeDocument/2006/relationships/hyperlink" Target="https://www.sec.gov/ix?doc=/Archives/edgar/data/0001468327/000095010326007131/dp246596_8k.htm" TargetMode="External"/><Relationship Id="rId9" Type="http://schemas.openxmlformats.org/officeDocument/2006/relationships/hyperlink" Target="https://www.sec.gov/Archives/edgar/data/1468327/000146832726000025/form8-kmay212026.htm" TargetMode="External"/><Relationship Id="rId10" Type="http://schemas.openxmlformats.org/officeDocument/2006/relationships/hyperlink" Target="https://www.sec.gov/Archives/edgar/data/1468327/000146832726000044/formannualmeetingresultsdi.htm" TargetMode="External"/><Relationship Id="rId11" Type="http://schemas.openxmlformats.org/officeDocument/2006/relationships/hyperlink" Target="https://www.sec.gov/Archives/edgar/data/1468327/000146832726000064/form8-k3rdarbylaws.htm" TargetMode="External"/><Relationship Id="rId12" Type="http://schemas.openxmlformats.org/officeDocument/2006/relationships/hyperlink" Target="https://www.sec.gov/ix?doc=/Archives/edgar/data/1468327/000095010326013373/dp252774_8k.htm" TargetMode="External"/><Relationship Id="rId13" Type="http://schemas.openxmlformats.org/officeDocument/2006/relationships/hyperlink" Target="https://www.sec.gov/ix?doc=/Archives/edgar/data/1468327/000146832726000069/wdq-20260903.htm" TargetMode="External"/><Relationship Id="rId14" Type="http://schemas.openxmlformats.org/officeDocument/2006/relationships/hyperlink" Target="https://www.sec.gov/ix?doc=/Archives/edgar/data/1468327/000095010326013810/dp253178_8k.htm" TargetMode="External"/><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21857</Words>
  <Characters>112683</Characters>
  <CharactersWithSpaces>134766</CharactersWithSpaces>
  <Paragraphs>1965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